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720" w:firstLine="132"/>
        <w:jc w:val="both"/>
        <w:rPr>
          <w:rFonts w:ascii="Forte" w:hAnsi="Forte" w:cs="Forte" w:eastAsia="Forte"/>
          <w:b/>
          <w:color w:val="auto"/>
          <w:spacing w:val="0"/>
          <w:position w:val="0"/>
          <w:sz w:val="56"/>
          <w:shd w:fill="auto" w:val="clear"/>
        </w:rPr>
      </w:pPr>
      <w:r>
        <w:rPr>
          <w:rFonts w:ascii="Forte" w:hAnsi="Forte" w:cs="Forte" w:eastAsia="Forte"/>
          <w:b/>
          <w:color w:val="auto"/>
          <w:spacing w:val="0"/>
          <w:position w:val="0"/>
          <w:sz w:val="56"/>
          <w:shd w:fill="auto" w:val="clear"/>
        </w:rPr>
        <w:t xml:space="preserve">V Ý R O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56"/>
          <w:shd w:fill="auto" w:val="clear"/>
        </w:rPr>
        <w:t xml:space="preserve">Č N </w:t>
      </w:r>
      <w:r>
        <w:rPr>
          <w:rFonts w:ascii="Forte" w:hAnsi="Forte" w:cs="Forte" w:eastAsia="Forte"/>
          <w:b/>
          <w:color w:val="auto"/>
          <w:spacing w:val="0"/>
          <w:position w:val="0"/>
          <w:sz w:val="56"/>
          <w:shd w:fill="auto" w:val="clear"/>
        </w:rPr>
        <w:t xml:space="preserve">Á   S P R Á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56"/>
          <w:shd w:fill="auto" w:val="clear"/>
        </w:rPr>
        <w:t xml:space="preserve"> V </w:t>
      </w:r>
      <w:r>
        <w:rPr>
          <w:rFonts w:ascii="Forte" w:hAnsi="Forte" w:cs="Forte" w:eastAsia="Forte"/>
          <w:b/>
          <w:color w:val="auto"/>
          <w:spacing w:val="0"/>
          <w:position w:val="0"/>
          <w:sz w:val="56"/>
          <w:shd w:fill="auto" w:val="clear"/>
        </w:rPr>
        <w:t xml:space="preserve">A</w:t>
      </w:r>
    </w:p>
    <w:p>
      <w:pPr>
        <w:suppressAutoHyphens w:val="true"/>
        <w:spacing w:before="0" w:after="0" w:line="240"/>
        <w:ind w:right="203" w:left="360" w:firstLine="540"/>
        <w:jc w:val="both"/>
        <w:rPr>
          <w:rFonts w:ascii="Forte" w:hAnsi="Forte" w:cs="Forte" w:eastAsia="Forte"/>
          <w:b/>
          <w:color w:val="auto"/>
          <w:spacing w:val="0"/>
          <w:position w:val="0"/>
          <w:sz w:val="56"/>
          <w:shd w:fill="auto" w:val="clear"/>
        </w:rPr>
      </w:pPr>
    </w:p>
    <w:p>
      <w:pPr>
        <w:suppressAutoHyphens w:val="true"/>
        <w:spacing w:before="0" w:after="0" w:line="240"/>
        <w:ind w:right="203" w:left="2880" w:firstLine="720"/>
        <w:jc w:val="both"/>
        <w:rPr>
          <w:rFonts w:ascii="Forte" w:hAnsi="Forte" w:cs="Forte" w:eastAsia="Forte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Forte" w:hAnsi="Forte" w:cs="Forte" w:eastAsia="Forte"/>
          <w:b/>
          <w:color w:val="auto"/>
          <w:spacing w:val="0"/>
          <w:position w:val="0"/>
          <w:sz w:val="48"/>
          <w:shd w:fill="auto" w:val="clear"/>
        </w:rPr>
        <w:t xml:space="preserve">R O K   2 0 2 5</w:t>
      </w:r>
    </w:p>
    <w:p>
      <w:pPr>
        <w:suppressAutoHyphens w:val="true"/>
        <w:spacing w:before="0" w:after="0" w:line="240"/>
        <w:ind w:right="203" w:left="3000" w:firstLine="540"/>
        <w:jc w:val="both"/>
        <w:rPr>
          <w:rFonts w:ascii="Forte" w:hAnsi="Forte" w:cs="Forte" w:eastAsia="Forte"/>
          <w:b/>
          <w:color w:val="auto"/>
          <w:spacing w:val="0"/>
          <w:position w:val="0"/>
          <w:sz w:val="56"/>
          <w:shd w:fill="auto" w:val="clear"/>
        </w:rPr>
      </w:pPr>
    </w:p>
    <w:p>
      <w:pPr>
        <w:suppressAutoHyphens w:val="true"/>
        <w:spacing w:before="0" w:after="0" w:line="240"/>
        <w:ind w:right="203" w:left="300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6"/>
          <w:shd w:fill="auto" w:val="clear"/>
        </w:rPr>
      </w:pPr>
    </w:p>
    <w:p>
      <w:pPr>
        <w:suppressAutoHyphens w:val="true"/>
        <w:spacing w:before="0" w:after="0" w:line="240"/>
        <w:ind w:right="203" w:left="300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6"/>
          <w:shd w:fill="auto" w:val="clear"/>
        </w:rPr>
      </w:pPr>
    </w:p>
    <w:p>
      <w:pPr>
        <w:suppressAutoHyphens w:val="true"/>
        <w:spacing w:before="0" w:after="0" w:line="240"/>
        <w:ind w:right="203" w:left="300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56"/>
          <w:shd w:fill="auto" w:val="clear"/>
        </w:rPr>
      </w:pPr>
    </w:p>
    <w:p>
      <w:pPr>
        <w:suppressAutoHyphens w:val="true"/>
        <w:spacing w:before="0" w:after="0" w:line="240"/>
        <w:ind w:right="203" w:left="90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object w:dxaOrig="6531" w:dyaOrig="4899">
          <v:rect xmlns:o="urn:schemas-microsoft-com:office:office" xmlns:v="urn:schemas-microsoft-com:vml" id="rectole0000000000" style="width:326.550000pt;height:244.9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78"/>
        <w:ind w:right="0" w:left="288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78"/>
        <w:ind w:right="0" w:left="288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Obsah:</w:t>
      </w:r>
    </w:p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"/>
        </w:num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Činnosť Nitrianskej nad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ácie DIE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ŤA v roku 2025</w:t>
      </w:r>
    </w:p>
    <w:p>
      <w:p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2"/>
        </w:num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Dary a finan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é prostriedky v hodnotenom období NND</w:t>
      </w:r>
    </w:p>
    <w:p>
      <w:pPr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4"/>
        </w:numPr>
        <w:tabs>
          <w:tab w:val="left" w:pos="1000" w:leader="none"/>
        </w:tabs>
        <w:suppressAutoHyphens w:val="true"/>
        <w:spacing w:before="0" w:after="0" w:line="240"/>
        <w:ind w:right="334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á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čtovn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á závierka, zhodnotenie základných údajov, výrok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</w:t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audítora </w:t>
      </w:r>
    </w:p>
    <w:p>
      <w:pPr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6"/>
        </w:num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Preh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ľad 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 prijatých príspevkoch a výnosoch</w:t>
      </w:r>
    </w:p>
    <w:p>
      <w:pPr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8"/>
        </w:num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Preh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ľad o daroch pre NND presahuj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úcich sumu 330,- €</w:t>
      </w:r>
    </w:p>
    <w:p>
      <w:pPr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0"/>
        </w:num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Preh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ľad o obdarovan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ých a daroch poskytnutých NND v roku 2025</w:t>
      </w:r>
    </w:p>
    <w:p>
      <w:p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2"/>
        </w:num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Plán nákladov a výnosov</w:t>
      </w:r>
    </w:p>
    <w:p>
      <w:pPr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4"/>
        </w:num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Nada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á listina a orgány nadácie</w:t>
      </w:r>
    </w:p>
    <w:p>
      <w:pPr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6"/>
        </w:num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Odmena pre správcu nadácie </w:t>
      </w:r>
    </w:p>
    <w:p>
      <w:p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8"/>
        </w:num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Preh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ľad 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činnosti nadačn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ých fondov</w:t>
      </w:r>
    </w:p>
    <w:p>
      <w:p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0"/>
        </w:numPr>
        <w:tabs>
          <w:tab w:val="left" w:pos="1000" w:leader="none"/>
        </w:tabs>
        <w:suppressAutoHyphens w:val="true"/>
        <w:spacing w:before="0" w:after="0" w:line="240"/>
        <w:ind w:right="203" w:left="100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Ostatné</w:t>
      </w: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br/>
        <w:br/>
      </w: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Za rozhodné obdobie za rok 2025 Nitrianska nadácia DIE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ŤA predklad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á túto výro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ú správu:</w:t>
      </w:r>
    </w:p>
    <w:p>
      <w:pPr>
        <w:suppressAutoHyphens w:val="true"/>
        <w:spacing w:before="0" w:after="0" w:line="240"/>
        <w:ind w:right="203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90" w:leader="none"/>
        </w:tabs>
        <w:suppressAutoHyphens w:val="true"/>
        <w:spacing w:before="0" w:after="0" w:line="240"/>
        <w:ind w:right="203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90" w:leader="none"/>
        </w:tabs>
        <w:suppressAutoHyphens w:val="true"/>
        <w:spacing w:before="0" w:after="0" w:line="240"/>
        <w:ind w:right="203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4"/>
        </w:numPr>
        <w:tabs>
          <w:tab w:val="left" w:pos="690" w:leader="none"/>
        </w:tabs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Preh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ľad činnost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í vykonávaných v hodnotenom období s uvedením vz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ťahu k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 verejnoprospe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šn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ému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čelu nad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ácie</w:t>
      </w:r>
    </w:p>
    <w:p>
      <w:pPr>
        <w:tabs>
          <w:tab w:val="left" w:pos="69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203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 roku 2025 Nitrianska nadácia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neorganizovala žiadne samostatn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benefi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podujatie. </w:t>
      </w:r>
    </w:p>
    <w:p>
      <w:pPr>
        <w:suppressAutoHyphens w:val="true"/>
        <w:spacing w:before="0" w:after="0" w:line="240"/>
        <w:ind w:right="203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9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69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38"/>
        </w:numPr>
        <w:tabs>
          <w:tab w:val="left" w:pos="690" w:leader="none"/>
        </w:tabs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Dary a finan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é prostriedky v hodnotenom období NND</w:t>
      </w:r>
    </w:p>
    <w:p>
      <w:pPr>
        <w:tabs>
          <w:tab w:val="left" w:pos="690" w:leader="none"/>
        </w:tabs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203" w:left="54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203" w:left="54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ab/>
        <w:t xml:space="preserve">2.1.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Poskytnuté nepe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ňažn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é dary:</w:t>
      </w:r>
    </w:p>
    <w:p>
      <w:pPr>
        <w:tabs>
          <w:tab w:val="left" w:pos="720" w:leader="none"/>
        </w:tabs>
        <w:suppressAutoHyphens w:val="true"/>
        <w:spacing w:before="0" w:after="0" w:line="240"/>
        <w:ind w:right="203" w:left="0" w:firstLine="54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120" w:line="240"/>
        <w:ind w:right="-108" w:left="5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V roku 2025 Nitrianska nadácia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neposkytla žiadne nepeňažn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dary.</w:t>
      </w:r>
    </w:p>
    <w:p>
      <w:pPr>
        <w:tabs>
          <w:tab w:val="left" w:pos="720" w:leader="none"/>
        </w:tabs>
        <w:suppressAutoHyphens w:val="true"/>
        <w:spacing w:before="0" w:after="120" w:line="240"/>
        <w:ind w:right="-108" w:left="540" w:firstLine="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540" w:firstLine="18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2.2.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Poskytnuté pe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ňažn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é príspevky z podielu zaplatenej dane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čerpan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é v r. 2025:</w:t>
      </w:r>
    </w:p>
    <w:p>
      <w:pPr>
        <w:suppressAutoHyphens w:val="true"/>
        <w:spacing w:before="0" w:after="0" w:line="240"/>
        <w:ind w:right="203" w:left="540" w:firstLine="18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203" w:left="540" w:firstLine="1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 roku 2025 Nitrianska nadácia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poskytla finančn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dary v hodnote 1.000,- €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nasledovným prijímate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ľom:  </w:t>
      </w:r>
    </w:p>
    <w:p>
      <w:pPr>
        <w:spacing w:before="0" w:after="0" w:line="240"/>
        <w:ind w:right="-108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5"/>
        </w:numPr>
        <w:spacing w:before="0" w:after="0" w:line="240"/>
        <w:ind w:right="-108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maloletá Leoni Lexmann, v zastúpení matkou Ing. arch. Karin Lexmann  1.000,- €. </w:t>
      </w:r>
    </w:p>
    <w:p>
      <w:pPr>
        <w:spacing w:before="0" w:after="0" w:line="240"/>
        <w:ind w:right="-108" w:left="90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203" w:left="0" w:firstLine="72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Poskytnuté príspevky celkom: 1.000,- € </w:t>
      </w:r>
    </w:p>
    <w:p>
      <w:pPr>
        <w:suppressAutoHyphens w:val="true"/>
        <w:spacing w:before="0" w:after="0" w:line="240"/>
        <w:ind w:right="203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0" w:firstLine="72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2.3.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Poskytnuté príspevky z verejnej zbierky:</w:t>
      </w:r>
    </w:p>
    <w:p>
      <w:pPr>
        <w:suppressAutoHyphens w:val="true"/>
        <w:spacing w:before="0" w:after="0" w:line="240"/>
        <w:ind w:right="203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69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 rok 2025 Nitrianska nadácia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nežiadala MV SR 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vydanie povolenia na konanie verejnej zmierky. Na základe uvedeného je 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kon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štatovať, že žiadna verejn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 zbierka sa v roku 2025 nekonala.</w:t>
      </w:r>
    </w:p>
    <w:p>
      <w:pPr>
        <w:suppressAutoHyphens w:val="true"/>
        <w:spacing w:before="0" w:after="0" w:line="240"/>
        <w:ind w:right="203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203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7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78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55"/>
        </w:numPr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Ro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á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čtovn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á závierka, zhodnotenie základných údajov, zahrnutých v nej</w:t>
      </w:r>
    </w:p>
    <w:p>
      <w:pPr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203" w:left="0" w:firstLine="69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čtovn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 závierka, výkaz ziskov a strát, súvaha, poznámky k 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čtovnej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ávierke bola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zostavená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ňa 07.09.2026 a schv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álená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ňa 07.09.2026. </w:t>
      </w:r>
    </w:p>
    <w:tbl>
      <w:tblPr/>
      <w:tblGrid>
        <w:gridCol w:w="4110"/>
        <w:gridCol w:w="578"/>
        <w:gridCol w:w="369"/>
        <w:gridCol w:w="30"/>
        <w:gridCol w:w="150"/>
        <w:gridCol w:w="605"/>
        <w:gridCol w:w="122"/>
        <w:gridCol w:w="15"/>
        <w:gridCol w:w="15"/>
        <w:gridCol w:w="405"/>
        <w:gridCol w:w="466"/>
        <w:gridCol w:w="45"/>
        <w:gridCol w:w="45"/>
        <w:gridCol w:w="80"/>
        <w:gridCol w:w="565"/>
        <w:gridCol w:w="168"/>
        <w:gridCol w:w="75"/>
        <w:gridCol w:w="465"/>
        <w:gridCol w:w="360"/>
        <w:gridCol w:w="308"/>
        <w:gridCol w:w="502"/>
        <w:gridCol w:w="699"/>
        <w:gridCol w:w="735"/>
        <w:gridCol w:w="781"/>
        <w:gridCol w:w="442"/>
        <w:gridCol w:w="822"/>
      </w:tblGrid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Tabu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ľka v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ýnosových polo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žiek v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 EUR</w:t>
            </w:r>
          </w:p>
        </w:tc>
        <w:tc>
          <w:tcPr>
            <w:tcW w:w="57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54" w:type="dxa"/>
            <w:gridSpan w:val="4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3" w:type="dxa"/>
            <w:gridSpan w:val="8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1" w:type="dxa"/>
            <w:gridSpan w:val="6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-25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36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-25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-25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4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7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54" w:type="dxa"/>
            <w:gridSpan w:val="4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3" w:type="dxa"/>
            <w:gridSpan w:val="8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1" w:type="dxa"/>
            <w:gridSpan w:val="6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36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4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  rok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2021</w:t>
            </w: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2022</w:t>
            </w: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2023</w:t>
            </w: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2024</w:t>
            </w: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2025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Bankové úroky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Príspevky od organizácií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Príspevky od fyzických osôb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Prijaté dary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1100</w:t>
            </w: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1100</w:t>
            </w: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1900</w:t>
            </w: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1200</w:t>
            </w: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900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 predaja služieb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výnosy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Príspevky z verejných zbierok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Príspevky z podielu zaplatenej dane: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Z toho spotrebované v roku 2025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2600</w:t>
            </w: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2900</w:t>
            </w: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1450</w:t>
            </w: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1200</w:t>
            </w: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1000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Transfer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spolu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3700</w:t>
            </w:r>
          </w:p>
        </w:tc>
        <w:tc>
          <w:tcPr>
            <w:tcW w:w="907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4000</w:t>
            </w:r>
          </w:p>
        </w:tc>
        <w:tc>
          <w:tcPr>
            <w:tcW w:w="901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3350</w:t>
            </w:r>
          </w:p>
        </w:tc>
        <w:tc>
          <w:tcPr>
            <w:tcW w:w="90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2400</w:t>
            </w:r>
          </w:p>
        </w:tc>
        <w:tc>
          <w:tcPr>
            <w:tcW w:w="900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1900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7" w:type="dxa"/>
            <w:gridSpan w:val="4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2" w:type="dxa"/>
            <w:gridSpan w:val="5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1" w:type="dxa"/>
            <w:gridSpan w:val="5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0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8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Tabu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ľka n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ákladových polo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žiek v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EUR</w:t>
            </w:r>
          </w:p>
        </w:tc>
        <w:tc>
          <w:tcPr>
            <w:tcW w:w="1127" w:type="dxa"/>
            <w:gridSpan w:val="4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2" w:type="dxa"/>
            <w:gridSpan w:val="5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1" w:type="dxa"/>
            <w:gridSpan w:val="5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0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8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7" w:type="dxa"/>
            <w:gridSpan w:val="4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2" w:type="dxa"/>
            <w:gridSpan w:val="5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1" w:type="dxa"/>
            <w:gridSpan w:val="5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70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9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8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   rok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2021</w:t>
            </w: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2022</w:t>
            </w: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2023</w:t>
            </w: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2024</w:t>
            </w: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Spotreba materiálu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spr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áva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Spotreba materiálu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PC + servisn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práce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Spotreba materiálu - akcie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Spotreba energie - nájom Farská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465</w:t>
            </w: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671</w:t>
            </w: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1485</w:t>
            </w: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234</w:t>
            </w: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406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žby - spr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áva - audit, sprac. 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čtov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žby - spr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áva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ostatné - smetné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41</w:t>
            </w: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52</w:t>
            </w: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52</w:t>
            </w: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74</w:t>
            </w: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104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žby - spr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áva - telef. linka, internet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286</w:t>
            </w: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285</w:t>
            </w: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280</w:t>
            </w: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288</w:t>
            </w: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357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žby - spr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áva - nájomné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žby - akcie 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žby - ost. služby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softv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ér + servis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102</w:t>
            </w: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257</w:t>
            </w: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167</w:t>
            </w: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183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Opravy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Cestovné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Mzdové náklady, poistné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Bankové poplatky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233</w:t>
            </w: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249</w:t>
            </w: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291</w:t>
            </w: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298</w:t>
            </w: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315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náklady- da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ň z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finan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ých transakcií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</w:p>
        </w:tc>
      </w:tr>
      <w:tr>
        <w:trPr>
          <w:trHeight w:val="240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dary a príspevky pe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ňažn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69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dary nepe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ňažn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príspevky z podielu zapl. dane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2600</w:t>
            </w: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2900</w:t>
            </w: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1450</w:t>
            </w: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1200</w:t>
            </w: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1000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prostriedky z verejnej zbierky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Odpísanie poh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ň z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príjmu u zdroja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spolu</w:t>
            </w:r>
          </w:p>
        </w:tc>
        <w:tc>
          <w:tcPr>
            <w:tcW w:w="947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3727</w:t>
            </w:r>
          </w:p>
        </w:tc>
        <w:tc>
          <w:tcPr>
            <w:tcW w:w="937" w:type="dxa"/>
            <w:gridSpan w:val="6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4157</w:t>
            </w:r>
          </w:p>
        </w:tc>
        <w:tc>
          <w:tcPr>
            <w:tcW w:w="916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3815</w:t>
            </w:r>
          </w:p>
        </w:tc>
        <w:tc>
          <w:tcPr>
            <w:tcW w:w="933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2261</w:t>
            </w: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2374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7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54" w:type="dxa"/>
            <w:gridSpan w:val="4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3" w:type="dxa"/>
            <w:gridSpan w:val="8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1" w:type="dxa"/>
            <w:gridSpan w:val="6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36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4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Hospodársky výsledok nadácie </w:t>
            </w:r>
          </w:p>
        </w:tc>
        <w:tc>
          <w:tcPr>
            <w:tcW w:w="977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-27</w:t>
            </w:r>
          </w:p>
        </w:tc>
        <w:tc>
          <w:tcPr>
            <w:tcW w:w="892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-157</w:t>
            </w:r>
          </w:p>
        </w:tc>
        <w:tc>
          <w:tcPr>
            <w:tcW w:w="976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- 465</w:t>
            </w:r>
          </w:p>
        </w:tc>
        <w:tc>
          <w:tcPr>
            <w:tcW w:w="888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139</w:t>
            </w: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- 474</w:t>
            </w:r>
          </w:p>
        </w:tc>
      </w:tr>
      <w:tr>
        <w:trPr>
          <w:trHeight w:val="255" w:hRule="auto"/>
          <w:jc w:val="right"/>
        </w:trPr>
        <w:tc>
          <w:tcPr>
            <w:tcW w:w="411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budúcich období</w:t>
            </w:r>
          </w:p>
        </w:tc>
        <w:tc>
          <w:tcPr>
            <w:tcW w:w="977" w:type="dxa"/>
            <w:gridSpan w:val="3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2617</w:t>
            </w:r>
          </w:p>
        </w:tc>
        <w:tc>
          <w:tcPr>
            <w:tcW w:w="892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1148</w:t>
            </w:r>
          </w:p>
        </w:tc>
        <w:tc>
          <w:tcPr>
            <w:tcW w:w="976" w:type="dxa"/>
            <w:gridSpan w:val="5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805</w:t>
            </w:r>
          </w:p>
        </w:tc>
        <w:tc>
          <w:tcPr>
            <w:tcW w:w="888" w:type="dxa"/>
            <w:gridSpan w:val="4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509</w:t>
            </w:r>
          </w:p>
        </w:tc>
        <w:tc>
          <w:tcPr>
            <w:tcW w:w="825" w:type="dxa"/>
            <w:gridSpan w:val="2"/>
            <w:tcBorders>
              <w:top w:val="single" w:color="000000" w:sz="3"/>
              <w:left w:val="single" w:color="000000" w:sz="0"/>
              <w:bottom w:val="single" w:color="000000" w:sz="3"/>
              <w:right w:val="single" w:color="000000" w:sz="3"/>
            </w:tcBorders>
            <w:shd w:color="auto" w:fill="auto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2374</w:t>
            </w:r>
          </w:p>
        </w:tc>
      </w:tr>
    </w:tbl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Arial" w:hAnsi="Arial" w:cs="Arial" w:eastAsia="Arial"/>
          <w:color w:val="EE0000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 roku 2025 boli prijaté príspevky z podielu zaplatenej dane vo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vý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ške 3.065,46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€. </w:t>
      </w:r>
    </w:p>
    <w:p>
      <w:pPr>
        <w:tabs>
          <w:tab w:val="left" w:pos="720" w:leader="none"/>
        </w:tabs>
        <w:suppressAutoHyphens w:val="true"/>
        <w:spacing w:before="0" w:after="0" w:line="240"/>
        <w:ind w:right="203" w:left="0" w:firstLine="0"/>
        <w:jc w:val="both"/>
        <w:rPr>
          <w:rFonts w:ascii="Times New Roman" w:hAnsi="Times New Roman" w:cs="Times New Roman" w:eastAsia="Times New Roman"/>
          <w:color w:val="EE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EE0000"/>
          <w:spacing w:val="0"/>
          <w:position w:val="0"/>
          <w:sz w:val="24"/>
          <w:shd w:fill="auto" w:val="clear"/>
        </w:rPr>
        <w:tab/>
      </w:r>
    </w:p>
    <w:p>
      <w:pPr>
        <w:tabs>
          <w:tab w:val="left" w:pos="720" w:leader="none"/>
        </w:tabs>
        <w:suppressAutoHyphens w:val="true"/>
        <w:spacing w:before="0" w:after="0" w:line="240"/>
        <w:ind w:right="203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Nitrianska nadácia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neeviduje žiadne pohľad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ávky vo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 tret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ím osobám.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Ďalšie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ávky nadácia neeviduje. Záväzky, ktoré nadácia eviduje sú v lehote splatnosti. </w:t>
      </w:r>
    </w:p>
    <w:p>
      <w:pPr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66"/>
        </w:numPr>
        <w:tabs>
          <w:tab w:val="left" w:pos="690" w:leader="none"/>
        </w:tabs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Preh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ľad 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 prijatých príspevkoch a výnosoch</w:t>
      </w:r>
    </w:p>
    <w:p>
      <w:pPr>
        <w:tabs>
          <w:tab w:val="left" w:pos="69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650" w:leader="none"/>
          <w:tab w:val="left" w:pos="720" w:leader="none"/>
        </w:tabs>
        <w:suppressAutoHyphens w:val="true"/>
        <w:spacing w:before="0" w:after="0" w:line="240"/>
        <w:ind w:right="203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Prijaté príspevky a výnosy Nitrianskej nadácie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za rok 2025 podľa nasleduj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úceho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rozpisu: </w:t>
      </w:r>
    </w:p>
    <w:p>
      <w:pPr>
        <w:tabs>
          <w:tab w:val="left" w:pos="650" w:leader="none"/>
          <w:tab w:val="left" w:pos="720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170"/>
        </w:numPr>
        <w:tabs>
          <w:tab w:val="left" w:pos="720" w:leader="none"/>
          <w:tab w:val="left" w:pos="1010" w:leader="none"/>
        </w:tabs>
        <w:suppressAutoHyphens w:val="true"/>
        <w:spacing w:before="0" w:after="0" w:line="240"/>
        <w:ind w:right="0" w:left="709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prijaté príspevky z podielu zaplatenej dane</w:t>
      </w:r>
    </w:p>
    <w:p>
      <w:pPr>
        <w:numPr>
          <w:ilvl w:val="0"/>
          <w:numId w:val="170"/>
        </w:numPr>
        <w:tabs>
          <w:tab w:val="left" w:pos="720" w:leader="none"/>
          <w:tab w:val="left" w:pos="1010" w:leader="none"/>
        </w:tabs>
        <w:suppressAutoHyphens w:val="true"/>
        <w:spacing w:before="0" w:after="0" w:line="240"/>
        <w:ind w:right="0" w:left="709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príspevky od fyzických osôb</w:t>
      </w:r>
    </w:p>
    <w:p>
      <w:pPr>
        <w:numPr>
          <w:ilvl w:val="0"/>
          <w:numId w:val="170"/>
        </w:numPr>
        <w:tabs>
          <w:tab w:val="left" w:pos="720" w:leader="none"/>
          <w:tab w:val="left" w:pos="1010" w:leader="none"/>
        </w:tabs>
        <w:suppressAutoHyphens w:val="true"/>
        <w:spacing w:before="0" w:after="0" w:line="240"/>
        <w:ind w:right="0" w:left="709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príspevky z verejnej zbierky </w:t>
      </w:r>
    </w:p>
    <w:p>
      <w:pPr>
        <w:numPr>
          <w:ilvl w:val="0"/>
          <w:numId w:val="170"/>
        </w:numPr>
        <w:tabs>
          <w:tab w:val="left" w:pos="720" w:leader="none"/>
          <w:tab w:val="left" w:pos="1010" w:leader="none"/>
        </w:tabs>
        <w:suppressAutoHyphens w:val="true"/>
        <w:spacing w:before="0" w:after="0" w:line="240"/>
        <w:ind w:right="0" w:left="709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úroky z vkladov</w:t>
      </w:r>
    </w:p>
    <w:p>
      <w:pPr>
        <w:numPr>
          <w:ilvl w:val="0"/>
          <w:numId w:val="170"/>
        </w:numPr>
        <w:tabs>
          <w:tab w:val="left" w:pos="720" w:leader="none"/>
          <w:tab w:val="left" w:pos="1010" w:leader="none"/>
        </w:tabs>
        <w:suppressAutoHyphens w:val="true"/>
        <w:spacing w:before="0" w:after="0" w:line="240"/>
        <w:ind w:right="0" w:left="709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žby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predaja poskytnutých slu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žieb</w:t>
      </w:r>
    </w:p>
    <w:p>
      <w:pPr>
        <w:tabs>
          <w:tab w:val="left" w:pos="720" w:leader="none"/>
        </w:tabs>
        <w:suppressAutoHyphens w:val="true"/>
        <w:spacing w:before="0" w:after="0" w:line="240"/>
        <w:ind w:right="0" w:left="709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50" w:leader="none"/>
          <w:tab w:val="left" w:pos="720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ad 1)  prijaté príspevky z podielu zaplatenej dane</w:t>
        <w:tab/>
        <w:t xml:space="preserve">  </w:t>
        <w:tab/>
        <w:t xml:space="preserve">              3.065,46 €</w:t>
      </w:r>
    </w:p>
    <w:p>
      <w:pPr>
        <w:tabs>
          <w:tab w:val="left" w:pos="650" w:leader="none"/>
          <w:tab w:val="left" w:pos="720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ad 2)  príspevky od fyzických osôb </w:t>
        <w:tab/>
        <w:tab/>
        <w:t xml:space="preserve">   </w:t>
        <w:tab/>
        <w:tab/>
        <w:t xml:space="preserve">                 0,00 € </w:t>
      </w:r>
    </w:p>
    <w:p>
      <w:pPr>
        <w:tabs>
          <w:tab w:val="left" w:pos="650" w:leader="none"/>
          <w:tab w:val="left" w:pos="720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ad 3)  príspevky z verejnej zbierky</w:t>
        <w:tab/>
        <w:tab/>
        <w:tab/>
        <w:tab/>
        <w:t xml:space="preserve">       </w:t>
        <w:tab/>
        <w:t xml:space="preserve">     0,00 €</w:t>
      </w:r>
    </w:p>
    <w:p>
      <w:pPr>
        <w:tabs>
          <w:tab w:val="left" w:pos="650" w:leader="none"/>
          <w:tab w:val="left" w:pos="720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ad 4)  úroky z bankových vkladov </w:t>
        <w:tab/>
        <w:tab/>
        <w:tab/>
        <w:t xml:space="preserve">     </w:t>
        <w:tab/>
        <w:tab/>
        <w:t xml:space="preserve">           0,00 €</w:t>
      </w:r>
    </w:p>
    <w:p>
      <w:pPr>
        <w:tabs>
          <w:tab w:val="left" w:pos="650" w:leader="none"/>
          <w:tab w:val="left" w:pos="720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ad 5)  tr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žby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predaja poskytnutých slu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žieb</w:t>
        <w:tab/>
        <w:tab/>
        <w:tab/>
        <w:tab/>
        <w:t xml:space="preserve">           0,00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€</w:t>
      </w:r>
    </w:p>
    <w:p>
      <w:pPr>
        <w:tabs>
          <w:tab w:val="left" w:pos="650" w:leader="none"/>
          <w:tab w:val="left" w:pos="720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tabs>
          <w:tab w:val="left" w:pos="69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174"/>
        </w:numPr>
        <w:tabs>
          <w:tab w:val="left" w:pos="690" w:leader="none"/>
        </w:tabs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Preh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ľad 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 darcoch, u ktorých hodnota finan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ých príspevkov presiahla sumu 330,- €</w:t>
      </w:r>
    </w:p>
    <w:p>
      <w:pPr>
        <w:tabs>
          <w:tab w:val="left" w:pos="69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0" w:left="851" w:hanging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V roku 2025 Nitrianska nadácia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prijala finančn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dary súhrnne v hodnote 900,- €:</w:t>
      </w:r>
    </w:p>
    <w:p>
      <w:pPr>
        <w:tabs>
          <w:tab w:val="left" w:pos="720" w:leader="none"/>
        </w:tabs>
        <w:suppressAutoHyphens w:val="true"/>
        <w:spacing w:before="0" w:after="0" w:line="240"/>
        <w:ind w:right="0" w:left="851" w:hanging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77"/>
        </w:numPr>
        <w:tabs>
          <w:tab w:val="left" w:pos="567" w:leader="none"/>
        </w:tabs>
        <w:suppressAutoHyphens w:val="true"/>
        <w:spacing w:before="0" w:after="0" w:line="240"/>
        <w:ind w:right="192" w:left="567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MUDr. Slavomíra Ková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</w:t>
        <w:tab/>
        <w:tab/>
        <w:tab/>
        <w:tab/>
        <w:tab/>
        <w:t xml:space="preserve">400,- €</w:t>
      </w:r>
    </w:p>
    <w:p>
      <w:pPr>
        <w:numPr>
          <w:ilvl w:val="0"/>
          <w:numId w:val="177"/>
        </w:numPr>
        <w:tabs>
          <w:tab w:val="left" w:pos="567" w:leader="none"/>
        </w:tabs>
        <w:suppressAutoHyphens w:val="true"/>
        <w:spacing w:before="0" w:after="0" w:line="240"/>
        <w:ind w:right="192" w:left="567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Kristína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Štefankov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</w:t>
        <w:tab/>
        <w:tab/>
        <w:tab/>
        <w:tab/>
        <w:tab/>
        <w:tab/>
        <w:t xml:space="preserve">300,- €</w:t>
      </w:r>
    </w:p>
    <w:p>
      <w:pPr>
        <w:numPr>
          <w:ilvl w:val="0"/>
          <w:numId w:val="177"/>
        </w:numPr>
        <w:tabs>
          <w:tab w:val="left" w:pos="567" w:leader="none"/>
        </w:tabs>
        <w:suppressAutoHyphens w:val="true"/>
        <w:spacing w:before="0" w:after="0" w:line="240"/>
        <w:ind w:right="0" w:left="567" w:firstLine="14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Kristína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Štefankov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</w:t>
        <w:tab/>
        <w:tab/>
        <w:tab/>
        <w:tab/>
        <w:tab/>
        <w:tab/>
        <w:t xml:space="preserve">200,- €</w:t>
      </w:r>
    </w:p>
    <w:p>
      <w:pPr>
        <w:tabs>
          <w:tab w:val="left" w:pos="720" w:leader="none"/>
        </w:tabs>
        <w:suppressAutoHyphens w:val="true"/>
        <w:spacing w:before="0" w:after="0" w:line="240"/>
        <w:ind w:right="0" w:left="8520" w:hanging="85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9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69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181"/>
        </w:numPr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Preh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ľad 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 fyzických osobách a právnických osobách, ktorým nadácia poskytla prostriedky na verejnoprospe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šn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ý 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čel, na ktor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ý bola zalo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žen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á a informácia o spôsobe pou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žitia t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ýchto prostriedkov</w:t>
      </w:r>
    </w:p>
    <w:p>
      <w:pPr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203" w:left="85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 priebehu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oku 2025 Nitrianska nadácia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neposkytla na verejnoprospešn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čel žiadne finančn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prostriedky fyzickým ani právnickým osobám. </w:t>
      </w:r>
    </w:p>
    <w:p>
      <w:pPr>
        <w:numPr>
          <w:ilvl w:val="0"/>
          <w:numId w:val="184"/>
        </w:numPr>
        <w:tabs>
          <w:tab w:val="left" w:pos="410" w:leader="none"/>
        </w:tabs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Plán nákladov a výnosov nadácie v 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členen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í pod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ľa jednotliv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ých druhov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činnost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í nadácie a výdavky na správu nadácie, vrátane rozhodnutia správnej rady pod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ľa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§ 28 ods.1 a v 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členen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í pod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ľa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§ 28 ods. 2 a 3</w:t>
      </w:r>
    </w:p>
    <w:p>
      <w:pPr>
        <w:tabs>
          <w:tab w:val="left" w:pos="41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84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 zasadnutí správnej rady Nitrianskej nadáci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dňa 16.12.2024 bol schv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álený predlo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rozpo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čet Nitrianskej nad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ácie Die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 rok 2025 v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úlade s § 28 ods. 1, pod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jednotlivých druhov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činnost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í: 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Činnosť NND: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výchovné a pracovné pomôcky </w:t>
        <w:tab/>
        <w:tab/>
        <w:tab/>
        <w:tab/>
        <w:t xml:space="preserve"> </w:t>
        <w:tab/>
        <w:t xml:space="preserve">   200,-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rehabilita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pomôcky</w:t>
        <w:tab/>
        <w:tab/>
        <w:tab/>
        <w:tab/>
        <w:tab/>
        <w:tab/>
        <w:t xml:space="preserve">   300,-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spolo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čensk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é, kultúrne a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športov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akcie    </w:t>
        <w:tab/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   200,-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vytváranie estetizujúceho prostredia</w:t>
        <w:tab/>
        <w:tab/>
        <w:tab/>
        <w:tab/>
        <w:t xml:space="preserve">   300,- € 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5. benefi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é akcie</w:t>
        <w:tab/>
        <w:tab/>
        <w:tab/>
        <w:tab/>
        <w:tab/>
        <w:t xml:space="preserve">       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   200,- € 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Spolu na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činnosť nad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ácie</w:t>
        <w:tab/>
        <w:tab/>
        <w:t xml:space="preserve">           </w:t>
        <w:tab/>
        <w:t xml:space="preserve">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1.200,-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 správu nadácie pod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§ 28 ods. 1 v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členen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 pod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§ 28 ods. 2 a 3 boli schválené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nasledovné plánované výdavky: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Správa nadácie: 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ochrana a zhodnotenie majetku nadácie </w:t>
        <w:tab/>
        <w:t xml:space="preserve">  </w:t>
        <w:tab/>
        <w:t xml:space="preserve">  </w:t>
        <w:tab/>
        <w:t xml:space="preserve"> </w:t>
        <w:tab/>
        <w:t xml:space="preserve">    400,-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propagácia verejnoprospe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čelu nad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ácie    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    300,-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prevádzka nadácie </w:t>
        <w:tab/>
        <w:tab/>
        <w:tab/>
        <w:t xml:space="preserve">       </w:t>
        <w:tab/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1.700,-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odmena za výkon funkcie správcu </w:t>
        <w:tab/>
        <w:tab/>
        <w:tab/>
        <w:t xml:space="preserve">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náhrada výdavkov pod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 osobitn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predpisu</w:t>
        <w:tab/>
        <w:tab/>
        <w:tab/>
        <w:t xml:space="preserve">    200,-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mzdové náklady</w:t>
        <w:tab/>
        <w:tab/>
        <w:tab/>
        <w:tab/>
        <w:tab/>
        <w:tab/>
        <w:t xml:space="preserve">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7. iné náklady spojené s prevádzkou nadácie  </w:t>
        <w:tab/>
        <w:tab/>
        <w:t xml:space="preserve">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200,-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Spolu na správu nadácie</w:t>
        <w:tab/>
        <w:t xml:space="preserve">                 </w:t>
        <w:tab/>
        <w:t xml:space="preserve">       </w:t>
        <w:tab/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2.800,- €</w:t>
      </w:r>
    </w:p>
    <w:p>
      <w:pPr>
        <w:tabs>
          <w:tab w:val="left" w:pos="171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84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Ďalšie členenie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ákladov tak, ako to uvádza ustanovenie § 28 ods. 3 v nada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čnej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listine podrobnejšie upraven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 nebolo a preto ani neboli na rok 2025 rozpo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čtovan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é. Tento    rozpo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čet na rok 2025 bol na zasadnut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 správnej rady 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ňa 16.12.2024 schv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álený, vrátane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ého presunu medzi jednotlivými 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žkami podľa potreby. </w:t>
      </w:r>
    </w:p>
    <w:p>
      <w:pPr>
        <w:tabs>
          <w:tab w:val="left" w:pos="630" w:leader="none"/>
        </w:tabs>
        <w:suppressAutoHyphens w:val="true"/>
        <w:spacing w:before="0" w:after="0" w:line="240"/>
        <w:ind w:right="-22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8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Predpokladané výnosy pod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 tohto rozpočtu boli kalkulovan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vo vý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ške 4.000,-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€ a skuto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výnosy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činili 2.400,-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€. Správna rada kon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štatuje, že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rozpočet vo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ýnosovej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časti nad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ácie na rok 2025 bol pod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ľa ročnej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čtovnej z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ávierky naplnený na cca 52%.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84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 základe uvedeného správna rada rozhodla,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že celkov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výdavky nadácie boli pou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v súlade s §28 ods. 1 zákona a schva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ľuje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áklady na správu nadácie pod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§28 vo vy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ššie uvedenom členen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pod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§28 ods. 2 a 3.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630" w:firstLine="21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Správna rada na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zasadnutí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ňa 8.12.2025 schv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álila rozpo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čet Nitrianskej    </w:t>
        <w:tab/>
        <w:t xml:space="preserve">  nad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ácie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 rok 2026 v súlade s § 28 ods. 1 Zákona o nadáciách pod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  </w:t>
        <w:tab/>
        <w:t xml:space="preserve">  jednotliv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ých druhov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činnost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í: 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Činnosť NND: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výchovné a pracovné pomôcky </w:t>
        <w:tab/>
        <w:tab/>
        <w:tab/>
        <w:tab/>
        <w:t xml:space="preserve"> </w:t>
        <w:tab/>
        <w:t xml:space="preserve">   200,-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rehabilita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pomôcky</w:t>
        <w:tab/>
        <w:tab/>
        <w:tab/>
        <w:tab/>
        <w:tab/>
        <w:tab/>
        <w:t xml:space="preserve">   600,-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spolo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čensk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é, kultúrne a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športov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akcie    </w:t>
        <w:tab/>
        <w:tab/>
        <w:tab/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vytváranie estetizujúceho prostredia</w:t>
        <w:tab/>
        <w:tab/>
        <w:tab/>
        <w:tab/>
        <w:t xml:space="preserve">   800,- € 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5. benefi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é akcie</w:t>
        <w:tab/>
        <w:tab/>
        <w:tab/>
        <w:tab/>
        <w:tab/>
        <w:t xml:space="preserve">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  0,- € 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Spolu na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činnosť nad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ácie</w:t>
        <w:tab/>
        <w:tab/>
        <w:t xml:space="preserve">           </w:t>
        <w:tab/>
        <w:t xml:space="preserve">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1.600,-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 správu nadácie pod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§ 28 ods. 1 v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členen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 pod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§ 28 ods. 2 a 3 boli schválené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nasledovné plánované výdavky: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Správa nadácie: 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ochrana a zhodnotenie majetku nadácie </w:t>
        <w:tab/>
        <w:t xml:space="preserve">  </w:t>
        <w:tab/>
        <w:t xml:space="preserve">  </w:t>
        <w:tab/>
        <w:t xml:space="preserve"> </w:t>
        <w:tab/>
        <w:t xml:space="preserve">   400,-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propagácia verejnoprospe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čelu nad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ácie    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   200,-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prevádzka nadácie </w:t>
        <w:tab/>
        <w:tab/>
        <w:tab/>
        <w:t xml:space="preserve">       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 </w:t>
        <w:tab/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1.300,-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odmena za výkon funkcie správcu </w:t>
        <w:tab/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náhrada výdavkov pod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ľa osobitn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predpisu</w:t>
        <w:tab/>
        <w:tab/>
        <w:tab/>
        <w:t xml:space="preserve">   200,-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mzdové náklady</w:t>
        <w:tab/>
        <w:tab/>
        <w:tab/>
        <w:tab/>
        <w:tab/>
        <w:tab/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7. iné náklady spojené s prevádzkou nadácie  </w:t>
        <w:tab/>
        <w:tab/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    100,- €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Spolu na správu nadácie</w:t>
        <w:tab/>
        <w:t xml:space="preserve">                 </w:t>
        <w:tab/>
        <w:t xml:space="preserve">       </w:t>
        <w:tab/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2.200,- €</w:t>
      </w:r>
    </w:p>
    <w:p>
      <w:pPr>
        <w:tabs>
          <w:tab w:val="left" w:pos="171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Ďalšie členenie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ákladov tak, ako to uvádza ustanovenie § 28 ods. 3 zákona o nadáciách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nada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čnej listine podrobnejšie upraven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nebolo, a preto ani neboli na rok 2026 rozpo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čtovan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é. Tento rozpo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čet na rok 2026 bol na zasadnut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správnej rady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ňa 8.12.2025 schv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álený, vrátane 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ého presunu medzi jednotlivými polo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žkami podľa potreby. </w:t>
      </w: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Predpokladané príjmy na rok 2026 sú v sume cca 3.800,- €.</w:t>
      </w:r>
    </w:p>
    <w:p>
      <w:pPr>
        <w:spacing w:before="0" w:after="160" w:line="278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78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00"/>
        </w:numPr>
        <w:tabs>
          <w:tab w:val="left" w:pos="410" w:leader="none"/>
        </w:tabs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Zmeny vykonané v nada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čnej listine 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 v zlo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žen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í orgánov nadácie v priebehu hodnoteného obdobia</w:t>
      </w:r>
    </w:p>
    <w:p>
      <w:pPr>
        <w:tabs>
          <w:tab w:val="left" w:pos="41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650" w:leader="none"/>
        </w:tabs>
        <w:suppressAutoHyphens w:val="true"/>
        <w:spacing w:before="0" w:after="0" w:line="240"/>
        <w:ind w:right="203" w:left="29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 priebehu hodnoteného obdobia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neboli v nada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čnej listine vykonan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žiadne zmeny.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Rovnako nedo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šlo ku žiadnej zmene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zlo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orgánov nadácie. </w:t>
      </w:r>
    </w:p>
    <w:p>
      <w:pPr>
        <w:tabs>
          <w:tab w:val="left" w:pos="650" w:leader="none"/>
        </w:tabs>
        <w:suppressAutoHyphens w:val="true"/>
        <w:spacing w:before="0" w:after="0" w:line="240"/>
        <w:ind w:right="203" w:left="290" w:firstLine="570"/>
        <w:jc w:val="both"/>
        <w:rPr>
          <w:rFonts w:ascii="Times New Roman" w:hAnsi="Times New Roman" w:cs="Times New Roman" w:eastAsia="Times New Roman"/>
          <w:color w:val="4472C4"/>
          <w:spacing w:val="0"/>
          <w:position w:val="0"/>
          <w:sz w:val="24"/>
          <w:shd w:fill="auto" w:val="clear"/>
        </w:rPr>
      </w:pPr>
    </w:p>
    <w:p>
      <w:pPr>
        <w:tabs>
          <w:tab w:val="left" w:pos="650" w:leader="none"/>
        </w:tabs>
        <w:suppressAutoHyphens w:val="true"/>
        <w:spacing w:before="0" w:after="0" w:line="240"/>
        <w:ind w:right="203" w:left="290" w:firstLine="57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Funk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obdobie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členov spr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ávnej rady NND skon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čilo dňa 31.10.2023. Na zasadnut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správnej rady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ňa 13.10.2023 boli členovia spr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ávnej rady potvrdení vo funkciách na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funk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é obdobie 3 rokov. Správna rada pokra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čuje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činnosti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v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 pôvodnom zlo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í.</w:t>
      </w:r>
    </w:p>
    <w:p>
      <w:pPr>
        <w:tabs>
          <w:tab w:val="left" w:pos="650" w:leader="none"/>
        </w:tabs>
        <w:suppressAutoHyphens w:val="true"/>
        <w:spacing w:before="0" w:after="0" w:line="240"/>
        <w:ind w:right="203" w:left="290" w:firstLine="57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41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204"/>
        </w:numPr>
        <w:tabs>
          <w:tab w:val="left" w:pos="720" w:leader="none"/>
        </w:tabs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Odmeny za výkon funkcie správcu nadácie</w:t>
      </w:r>
    </w:p>
    <w:p>
      <w:pPr>
        <w:tabs>
          <w:tab w:val="left" w:pos="72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650" w:leader="none"/>
        </w:tabs>
        <w:suppressAutoHyphens w:val="true"/>
        <w:spacing w:before="0" w:after="0" w:line="240"/>
        <w:ind w:right="203" w:left="290" w:firstLine="57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Správcovi nadácie za výkon funkcie v rozhodnom období v roku 2025 nebola vyplatená odmena. </w:t>
      </w:r>
    </w:p>
    <w:p>
      <w:pPr>
        <w:tabs>
          <w:tab w:val="left" w:pos="650" w:leader="none"/>
        </w:tabs>
        <w:suppressAutoHyphens w:val="true"/>
        <w:spacing w:before="0" w:after="0" w:line="240"/>
        <w:ind w:right="203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</w:p>
    <w:p>
      <w:pPr>
        <w:tabs>
          <w:tab w:val="left" w:pos="72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209"/>
        </w:numPr>
        <w:tabs>
          <w:tab w:val="left" w:pos="410" w:leader="none"/>
        </w:tabs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Preh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ľad 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činnosti nadačn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ých fondov spolu s preh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ľadom 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 prostriedkoch nada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čn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ých fondov</w:t>
      </w:r>
    </w:p>
    <w:p>
      <w:pPr>
        <w:tabs>
          <w:tab w:val="left" w:pos="41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203" w:left="360" w:firstLine="5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Nitrianska nadácia Die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ťa nem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 vytvorený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žiadny nadačn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 fond.</w:t>
      </w:r>
    </w:p>
    <w:p>
      <w:pPr>
        <w:tabs>
          <w:tab w:val="left" w:pos="41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41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numPr>
          <w:ilvl w:val="0"/>
          <w:numId w:val="213"/>
        </w:numPr>
        <w:tabs>
          <w:tab w:val="left" w:pos="410" w:leader="none"/>
        </w:tabs>
        <w:suppressAutoHyphens w:val="true"/>
        <w:spacing w:before="0" w:after="0" w:line="240"/>
        <w:ind w:right="203" w:left="105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Ďalšie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údaje</w:t>
      </w:r>
    </w:p>
    <w:p>
      <w:pPr>
        <w:tabs>
          <w:tab w:val="left" w:pos="410" w:leader="none"/>
        </w:tabs>
        <w:suppressAutoHyphens w:val="true"/>
        <w:spacing w:before="0" w:after="0" w:line="240"/>
        <w:ind w:right="203" w:left="105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630" w:leader="none"/>
        </w:tabs>
        <w:suppressAutoHyphens w:val="true"/>
        <w:spacing w:before="0" w:after="0" w:line="240"/>
        <w:ind w:right="203" w:left="270" w:firstLine="5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časťou v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ýro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čnej spr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ávy na pokyn správnej rady sú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ďalšie pr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ílohy, a to 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čtovn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závierka za rok 2025.</w:t>
      </w:r>
    </w:p>
    <w:p>
      <w:pPr>
        <w:tabs>
          <w:tab w:val="left" w:pos="720" w:leader="none"/>
        </w:tabs>
        <w:suppressAutoHyphens w:val="true"/>
        <w:spacing w:before="0" w:after="0" w:line="240"/>
        <w:ind w:right="203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Vypracovala: MUDr. Marta Miklo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škov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á, správca nadácie </w:t>
      </w:r>
    </w:p>
    <w:p>
      <w:pPr>
        <w:tabs>
          <w:tab w:val="left" w:pos="720" w:leader="none"/>
        </w:tabs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20" w:leader="none"/>
        </w:tabs>
        <w:suppressAutoHyphens w:val="true"/>
        <w:spacing w:before="0" w:after="0" w:line="240"/>
        <w:ind w:right="203" w:left="360" w:firstLine="54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 Nitre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14.9.202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num w:numId="10">
    <w:abstractNumId w:val="144"/>
  </w:num>
  <w:num w:numId="12">
    <w:abstractNumId w:val="138"/>
  </w:num>
  <w:num w:numId="14">
    <w:abstractNumId w:val="132"/>
  </w:num>
  <w:num w:numId="16">
    <w:abstractNumId w:val="126"/>
  </w:num>
  <w:num w:numId="18">
    <w:abstractNumId w:val="120"/>
  </w:num>
  <w:num w:numId="20">
    <w:abstractNumId w:val="114"/>
  </w:num>
  <w:num w:numId="22">
    <w:abstractNumId w:val="108"/>
  </w:num>
  <w:num w:numId="24">
    <w:abstractNumId w:val="102"/>
  </w:num>
  <w:num w:numId="26">
    <w:abstractNumId w:val="96"/>
  </w:num>
  <w:num w:numId="28">
    <w:abstractNumId w:val="90"/>
  </w:num>
  <w:num w:numId="30">
    <w:abstractNumId w:val="84"/>
  </w:num>
  <w:num w:numId="34">
    <w:abstractNumId w:val="78"/>
  </w:num>
  <w:num w:numId="38">
    <w:abstractNumId w:val="72"/>
  </w:num>
  <w:num w:numId="45">
    <w:abstractNumId w:val="66"/>
  </w:num>
  <w:num w:numId="55">
    <w:abstractNumId w:val="60"/>
  </w:num>
  <w:num w:numId="166">
    <w:abstractNumId w:val="54"/>
  </w:num>
  <w:num w:numId="170">
    <w:abstractNumId w:val="48"/>
  </w:num>
  <w:num w:numId="174">
    <w:abstractNumId w:val="42"/>
  </w:num>
  <w:num w:numId="177">
    <w:abstractNumId w:val="36"/>
  </w:num>
  <w:num w:numId="181">
    <w:abstractNumId w:val="30"/>
  </w:num>
  <w:num w:numId="184">
    <w:abstractNumId w:val="24"/>
  </w:num>
  <w:num w:numId="200">
    <w:abstractNumId w:val="18"/>
  </w:num>
  <w:num w:numId="204">
    <w:abstractNumId w:val="12"/>
  </w:num>
  <w:num w:numId="209">
    <w:abstractNumId w:val="6"/>
  </w:num>
  <w:num w:numId="21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