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Poznámky k účtovnej závierke mikro účtovnej jednotky</w:t>
      </w:r>
    </w:p>
    <w:p>
      <w:pPr>
        <w:spacing w:after="160"/>
        <w:jc w:val="center"/>
      </w:pPr>
      <w:r>
        <w:rPr>
          <w:b/>
          <w:sz w:val="22"/>
        </w:rPr>
        <w:t>zostavenej k 31. decembru 2024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68"/>
        <w:gridCol w:w="4968"/>
      </w:tblGrid>
      <w:tr>
        <w:tc>
          <w:tcPr>
            <w:tcW w:type="dxa" w:w="2376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E5E7EB"/>
          </w:tcPr>
          <w:p>
            <w:r>
              <w:rPr>
                <w:b/>
              </w:rPr>
              <w:t>Obchodné meno</w:t>
            </w:r>
          </w:p>
        </w:tc>
        <w:tc>
          <w:tcPr>
            <w:tcW w:type="dxa" w:w="7416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r>
              <w:t>FTSI s. r. o.</w:t>
            </w:r>
          </w:p>
        </w:tc>
      </w:tr>
      <w:tr>
        <w:tc>
          <w:tcPr>
            <w:tcW w:type="dxa" w:w="2376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E5E7EB"/>
          </w:tcPr>
          <w:p>
            <w:r>
              <w:rPr>
                <w:b/>
              </w:rPr>
              <w:t>IČO</w:t>
            </w:r>
          </w:p>
        </w:tc>
        <w:tc>
          <w:tcPr>
            <w:tcW w:type="dxa" w:w="7416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r>
              <w:t>56 052 847</w:t>
            </w:r>
          </w:p>
        </w:tc>
      </w:tr>
      <w:tr>
        <w:tc>
          <w:tcPr>
            <w:tcW w:type="dxa" w:w="2376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E5E7EB"/>
          </w:tcPr>
          <w:p>
            <w:r>
              <w:rPr>
                <w:b/>
              </w:rPr>
              <w:t>DIČ</w:t>
            </w:r>
          </w:p>
        </w:tc>
        <w:tc>
          <w:tcPr>
            <w:tcW w:type="dxa" w:w="7416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r>
              <w:t>2122199244</w:t>
            </w:r>
          </w:p>
        </w:tc>
      </w:tr>
      <w:tr>
        <w:tc>
          <w:tcPr>
            <w:tcW w:type="dxa" w:w="2376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E5E7EB"/>
          </w:tcPr>
          <w:p>
            <w:r>
              <w:rPr>
                <w:b/>
              </w:rPr>
              <w:t>Sídlo</w:t>
            </w:r>
          </w:p>
        </w:tc>
        <w:tc>
          <w:tcPr>
            <w:tcW w:type="dxa" w:w="7416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r>
              <w:t>Štefánikova 699, 905 01 Senica</w:t>
            </w:r>
          </w:p>
        </w:tc>
      </w:tr>
    </w:tbl>
    <w:p>
      <w:pPr>
        <w:pStyle w:val="Heading1"/>
        <w:keepNext/>
      </w:pPr>
      <w:r>
        <w:t>I Všeobecné údaje</w:t>
      </w:r>
    </w:p>
    <w:p>
      <w:pPr>
        <w:pStyle w:val="BodyText"/>
      </w:pPr>
      <w:r>
        <w:t>Účtovná závierka spoločnosti FTSI s. r. o. je zostavená ako riadna účtovná závierka mikro účtovnej jednotky za účtovné obdobie od 1. januára 2024 do 31. decembra 2024.</w:t>
      </w:r>
    </w:p>
    <w:p>
      <w:pPr>
        <w:pStyle w:val="BodyText"/>
      </w:pPr>
      <w:r>
        <w:t>Spoločnosť sa v účtovnom období nachádzala v počiatočnej fáze podnikateľskej činnosti a nevykázala výnosy z hospodárskej činnosti.</w:t>
      </w:r>
    </w:p>
    <w:p>
      <w:pPr>
        <w:pStyle w:val="BodyText"/>
      </w:pPr>
      <w:r>
        <w:t>Účtovná závierka bola zostavená za predpokladu nepretržitého pokračovania účtovnej jednotky vo svojej činnosti.</w:t>
      </w:r>
    </w:p>
    <w:p>
      <w:pPr>
        <w:pStyle w:val="Heading1"/>
        <w:keepNext/>
      </w:pPr>
      <w:r>
        <w:t>II Informácie o prijatých postupoch</w:t>
      </w:r>
    </w:p>
    <w:p>
      <w:pPr>
        <w:pStyle w:val="BodyText"/>
      </w:pPr>
      <w:r>
        <w:t>Účtovná jednotka vedie podvojné účtovníctvo podľa zákona č. 431/2002 Z. z. o účtovníctve v znení neskorších predpisov a podľa opatrenia Ministerstva financií Slovenskej republiky, ktorým sa ustanovujú podrobnosti o postupoch účtovania a účtovej osnove pre podnikateľov účtujúcich v sústave podvojného účtovníctva.</w:t>
      </w:r>
    </w:p>
    <w:p>
      <w:pPr>
        <w:pStyle w:val="BodyText"/>
      </w:pPr>
      <w:r>
        <w:t>Účtovná závierka bola zostavená na základe účtovníctva vedeného v peňažných jednotkách euro. Majetok a záväzky sa oceňujú v súlade so zákonom o účtovníctve. Pohľadávky a záväzky sa pri ich vzniku oceňujú menovitou hodnotou a peňažné prostriedky sa vykazujú v menovitej hodnote.</w:t>
      </w:r>
    </w:p>
    <w:p>
      <w:pPr>
        <w:pStyle w:val="BodyText"/>
      </w:pPr>
      <w:r>
        <w:t>Účtovná jednotka v účtovnom období nevykazovala dlhodobý nehmotný majetok, dlhodobý hmotný majetok ani dlhodobý finančný majetok.</w:t>
      </w:r>
    </w:p>
    <w:p>
      <w:pPr>
        <w:pStyle w:val="Heading1"/>
        <w:keepNext/>
      </w:pPr>
      <w:r>
        <w:t>III Informácie vysvetľujúce a dopĺňajúce súvahu</w:t>
      </w:r>
    </w:p>
    <w:p>
      <w:pPr>
        <w:pStyle w:val="Heading2"/>
        <w:keepNext/>
      </w:pPr>
      <w:r>
        <w:t>Majetok</w:t>
      </w:r>
    </w:p>
    <w:p>
      <w:pPr>
        <w:pStyle w:val="BodyText"/>
      </w:pPr>
      <w:r>
        <w:t>Celková hodnota majetku k 31. decembru 2024 predstavovala 812 686 EUR. Majetok tvoril výlučne obežný majetok.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68"/>
        <w:gridCol w:w="4968"/>
      </w:tblGrid>
      <w:tr>
        <w:trPr>
          <w:tblHeader w:val="true"/>
        </w:trPr>
        <w:tc>
          <w:tcPr>
            <w:tcW w:type="dxa" w:w="7560"/>
            <w:shd w:fill="3741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</w:rPr>
              <w:t>Položka</w:t>
            </w:r>
          </w:p>
        </w:tc>
        <w:tc>
          <w:tcPr>
            <w:tcW w:type="dxa" w:w="2232"/>
            <w:shd w:fill="3741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</w:rPr>
              <w:t>Hodnota v EUR</w:t>
            </w:r>
          </w:p>
        </w:tc>
      </w:tr>
      <w:tr>
        <w:tc>
          <w:tcPr>
            <w:tcW w:type="dxa" w:w="7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left"/>
            </w:pPr>
            <w:r>
              <w:t>Ostatné krátkodobé pohľadávky</w:t>
            </w:r>
          </w:p>
        </w:tc>
        <w:tc>
          <w:tcPr>
            <w:tcW w:type="dxa" w:w="22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right"/>
            </w:pPr>
            <w:r>
              <w:t>790 765</w:t>
            </w:r>
          </w:p>
        </w:tc>
      </w:tr>
      <w:tr>
        <w:tc>
          <w:tcPr>
            <w:tcW w:type="dxa" w:w="7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/>
          </w:tcPr>
          <w:p>
            <w:pPr>
              <w:jc w:val="left"/>
            </w:pPr>
            <w:r>
              <w:t>Peniaze a účty v bankách</w:t>
            </w:r>
          </w:p>
        </w:tc>
        <w:tc>
          <w:tcPr>
            <w:tcW w:type="dxa" w:w="22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/>
          </w:tcPr>
          <w:p>
            <w:pPr>
              <w:jc w:val="right"/>
            </w:pPr>
            <w:r>
              <w:t>21 921</w:t>
            </w:r>
          </w:p>
        </w:tc>
      </w:tr>
      <w:tr>
        <w:tc>
          <w:tcPr>
            <w:tcW w:type="dxa" w:w="7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left"/>
            </w:pPr>
            <w:r>
              <w:t>Majetok spolu</w:t>
            </w:r>
          </w:p>
        </w:tc>
        <w:tc>
          <w:tcPr>
            <w:tcW w:type="dxa" w:w="22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right"/>
            </w:pPr>
            <w:r>
              <w:t>812 686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Vlastné imanie a záväzky</w:t>
      </w:r>
    </w:p>
    <w:p>
      <w:pPr>
        <w:pStyle w:val="BodyText"/>
      </w:pPr>
      <w:r>
        <w:t>Vlastné imanie spoločnosti k 31. decembru 2024 bolo záporné vo výške 39 635 EUR. Základné imanie predstavovalo 5 000 EUR a výsledkom hospodárenia za účtovné obdobie bola strata 44 635 EUR.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4968"/>
        <w:gridCol w:w="4968"/>
      </w:tblGrid>
      <w:tr>
        <w:trPr>
          <w:tblHeader w:val="true"/>
        </w:trPr>
        <w:tc>
          <w:tcPr>
            <w:tcW w:type="dxa" w:w="7560"/>
            <w:shd w:fill="3741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</w:rPr>
              <w:t>Položka</w:t>
            </w:r>
          </w:p>
        </w:tc>
        <w:tc>
          <w:tcPr>
            <w:tcW w:type="dxa" w:w="2232"/>
            <w:shd w:fill="374151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</w:rPr>
              <w:t>Hodnota v EUR</w:t>
            </w:r>
          </w:p>
        </w:tc>
      </w:tr>
      <w:tr>
        <w:tc>
          <w:tcPr>
            <w:tcW w:type="dxa" w:w="7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left"/>
            </w:pPr>
            <w:r>
              <w:t>Základné imanie</w:t>
            </w:r>
          </w:p>
        </w:tc>
        <w:tc>
          <w:tcPr>
            <w:tcW w:type="dxa" w:w="22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right"/>
            </w:pPr>
            <w:r>
              <w:t>5 000</w:t>
            </w:r>
          </w:p>
        </w:tc>
      </w:tr>
      <w:tr>
        <w:tc>
          <w:tcPr>
            <w:tcW w:type="dxa" w:w="7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/>
          </w:tcPr>
          <w:p>
            <w:pPr>
              <w:jc w:val="left"/>
            </w:pPr>
            <w:r>
              <w:t>Výsledok hospodárenia za účtovné obdobie</w:t>
            </w:r>
          </w:p>
        </w:tc>
        <w:tc>
          <w:tcPr>
            <w:tcW w:type="dxa" w:w="22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/>
          </w:tcPr>
          <w:p>
            <w:pPr>
              <w:jc w:val="right"/>
            </w:pPr>
            <w:r>
              <w:t>-44 635</w:t>
            </w:r>
          </w:p>
        </w:tc>
      </w:tr>
      <w:tr>
        <w:tc>
          <w:tcPr>
            <w:tcW w:type="dxa" w:w="7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left"/>
            </w:pPr>
            <w:r>
              <w:t>Vlastné imanie spolu</w:t>
            </w:r>
          </w:p>
        </w:tc>
        <w:tc>
          <w:tcPr>
            <w:tcW w:type="dxa" w:w="22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right"/>
            </w:pPr>
            <w:r>
              <w:t>-39 635</w:t>
            </w:r>
          </w:p>
        </w:tc>
      </w:tr>
      <w:tr>
        <w:tc>
          <w:tcPr>
            <w:tcW w:type="dxa" w:w="7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/>
          </w:tcPr>
          <w:p>
            <w:pPr>
              <w:jc w:val="left"/>
            </w:pPr>
            <w:r>
              <w:t>Dlhodobé záväzky</w:t>
            </w:r>
          </w:p>
        </w:tc>
        <w:tc>
          <w:tcPr>
            <w:tcW w:type="dxa" w:w="22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/>
          </w:tcPr>
          <w:p>
            <w:pPr>
              <w:jc w:val="right"/>
            </w:pPr>
            <w:r>
              <w:t>842 371</w:t>
            </w:r>
          </w:p>
        </w:tc>
      </w:tr>
      <w:tr>
        <w:tc>
          <w:tcPr>
            <w:tcW w:type="dxa" w:w="7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left"/>
            </w:pPr>
            <w:r>
              <w:t>Krátkodobé záväzky z obchodného styku</w:t>
            </w:r>
          </w:p>
        </w:tc>
        <w:tc>
          <w:tcPr>
            <w:tcW w:type="dxa" w:w="22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right"/>
            </w:pPr>
            <w:r>
              <w:t>9 866</w:t>
            </w:r>
          </w:p>
        </w:tc>
      </w:tr>
      <w:tr>
        <w:tc>
          <w:tcPr>
            <w:tcW w:type="dxa" w:w="7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/>
          </w:tcPr>
          <w:p>
            <w:pPr>
              <w:jc w:val="left"/>
            </w:pPr>
            <w:r>
              <w:t>Ostatné krátkodobé záväzky</w:t>
            </w:r>
          </w:p>
        </w:tc>
        <w:tc>
          <w:tcPr>
            <w:tcW w:type="dxa" w:w="22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3F4F6"/>
          </w:tcPr>
          <w:p>
            <w:pPr>
              <w:jc w:val="right"/>
            </w:pPr>
            <w:r>
              <w:t>84</w:t>
            </w:r>
          </w:p>
        </w:tc>
      </w:tr>
      <w:tr>
        <w:tc>
          <w:tcPr>
            <w:tcW w:type="dxa" w:w="75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left"/>
            </w:pPr>
            <w:r>
              <w:t>Záväzky spolu</w:t>
            </w:r>
          </w:p>
        </w:tc>
        <w:tc>
          <w:tcPr>
            <w:tcW w:type="dxa" w:w="2232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jc w:val="right"/>
            </w:pPr>
            <w:r>
              <w:t>852 321</w:t>
            </w:r>
          </w:p>
        </w:tc>
      </w:tr>
    </w:tbl>
    <w:p>
      <w:pPr>
        <w:spacing w:after="0"/>
      </w:pPr>
    </w:p>
    <w:p>
      <w:pPr>
        <w:pStyle w:val="BodyText"/>
      </w:pPr>
      <w:r>
        <w:rPr>
          <w:b/>
        </w:rPr>
        <w:t>Dlhodobé záväzky vo výške 842 371 EUR</w:t>
      </w:r>
      <w:r>
        <w:t xml:space="preserve"> súvisia so zmluvou o úpise uzatvorenou v súvislosti so začatím činnosti spoločnosti.</w:t>
      </w:r>
    </w:p>
    <w:p>
      <w:pPr>
        <w:pStyle w:val="Heading1"/>
        <w:keepNext/>
      </w:pPr>
      <w:r>
        <w:t>IV Informácie vysvetľujúce a dopĺňajúce výkaz ziskov a strát</w:t>
      </w:r>
    </w:p>
    <w:p>
      <w:pPr>
        <w:pStyle w:val="BodyText"/>
      </w:pPr>
      <w:r>
        <w:t>Spoločnosť v roku 2024 nevykázala výnosy z hospodárskej činnosti. Náklady na hospodársku činnosť predstavovali 44 868 EUR a v celom rozsahu ich tvorili náklady na služby.</w:t>
      </w:r>
    </w:p>
    <w:p>
      <w:pPr>
        <w:pStyle w:val="BodyText"/>
      </w:pPr>
      <w:r>
        <w:t>Výnosy z finančnej činnosti predstavovali 598 EUR a tvorili ich kurzové zisky. Náklady na finančnú činnosť predstavovali 365 EUR, z toho kurzové straty 328 EUR a ostatné náklady na finančnú činnosť 37 EUR.</w:t>
      </w:r>
    </w:p>
    <w:p>
      <w:pPr>
        <w:pStyle w:val="BodyText"/>
      </w:pPr>
      <w:r>
        <w:t>Výsledkom hospodárenia pred zdanením aj po zdanení bola strata 44 635 EUR. Účtovná jednotka nevykázala daň z príjmov.</w:t>
      </w:r>
    </w:p>
    <w:p>
      <w:pPr>
        <w:pStyle w:val="Heading1"/>
        <w:keepNext/>
      </w:pPr>
      <w:r>
        <w:t>V Ostatné informácie</w:t>
      </w:r>
    </w:p>
    <w:p>
      <w:pPr>
        <w:pStyle w:val="BodyText"/>
      </w:pPr>
      <w:r>
        <w:t>Účtovná jednotka v účtovnom období nevykázala ďalšie významné skutočnosti, ktoré by si vyžadovali osobitné zverejnenie v poznámkach.</w:t>
      </w:r>
    </w:p>
    <w:p>
      <w:pPr>
        <w:pStyle w:val="BodyText"/>
      </w:pPr>
      <w:r>
        <w:t>Po 31. decembri 2024 do dňa zostavenia účtovnej závierky nenastali udalosti, ktoré by mali významný vplyv na verné zobrazenie skutočností uvádzaných v účtovnej závierke za rok 2024.</w:t>
      </w:r>
    </w:p>
    <w:p>
      <w:pPr>
        <w:spacing w:before="280"/>
      </w:pPr>
      <w:r>
        <w:t>Dátum zostavenia: 14. septembra 2026</w:t>
      </w:r>
    </w:p>
    <w:sectPr w:rsidR="00FC693F" w:rsidRPr="0006063C" w:rsidSect="00034616">
      <w:footerReference w:type="default" r:id="rId9"/>
      <w:pgSz w:w="12240" w:h="15840"/>
      <w:pgMar w:top="792" w:right="1152" w:bottom="79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FTSI s. r. o.  |  Poznámky k účtovnej závierke 2024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FTSI s. r. o. za rok 2024</dc:title>
  <dc:subject>Poznámky mikro účtovnej jednotky</dc:subject>
  <dc:creator>FTSI s. r. 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