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E45" w:rsidRDefault="00576EE1">
      <w:r>
        <w:rPr>
          <w:b/>
          <w:color w:val="1F4E79"/>
          <w:sz w:val="40"/>
        </w:rPr>
        <w:t>Poznámky Úč MÚJ 3-01</w:t>
      </w:r>
    </w:p>
    <w:p w:rsidR="00D60E45" w:rsidRDefault="00576EE1">
      <w:pPr>
        <w:spacing w:after="240"/>
      </w:pPr>
      <w:r>
        <w:rPr>
          <w:i/>
          <w:color w:val="595959"/>
          <w:sz w:val="24"/>
        </w:rPr>
        <w:t>k termínu: 31.12.2025</w:t>
      </w:r>
      <w:bookmarkStart w:id="0" w:name="_GoBack"/>
      <w:bookmarkEnd w:id="0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D60E45">
        <w:tc>
          <w:tcPr>
            <w:tcW w:w="4968" w:type="dxa"/>
            <w:shd w:val="clear" w:color="auto" w:fill="F2F4F7"/>
          </w:tcPr>
          <w:p w:rsidR="00D60E45" w:rsidRDefault="00576EE1">
            <w:pPr>
              <w:spacing w:before="40" w:after="40"/>
            </w:pPr>
            <w:r>
              <w:rPr>
                <w:b/>
                <w:sz w:val="20"/>
              </w:rPr>
              <w:t xml:space="preserve">Názov spoločnosti: </w:t>
            </w:r>
            <w:r>
              <w:rPr>
                <w:sz w:val="20"/>
              </w:rPr>
              <w:t>Barnel s.r.o.</w:t>
            </w:r>
          </w:p>
        </w:tc>
        <w:tc>
          <w:tcPr>
            <w:tcW w:w="4968" w:type="dxa"/>
            <w:shd w:val="clear" w:color="auto" w:fill="F2F4F7"/>
          </w:tcPr>
          <w:p w:rsidR="00D60E45" w:rsidRDefault="00576EE1">
            <w:pPr>
              <w:spacing w:before="40" w:after="40"/>
            </w:pPr>
            <w:r>
              <w:rPr>
                <w:b/>
                <w:sz w:val="20"/>
              </w:rPr>
              <w:t xml:space="preserve">IČO: </w:t>
            </w:r>
            <w:r>
              <w:rPr>
                <w:sz w:val="20"/>
              </w:rPr>
              <w:t>53154126</w:t>
            </w:r>
          </w:p>
        </w:tc>
      </w:tr>
      <w:tr w:rsidR="00D60E45">
        <w:tc>
          <w:tcPr>
            <w:tcW w:w="4968" w:type="dxa"/>
            <w:shd w:val="clear" w:color="auto" w:fill="F2F4F7"/>
          </w:tcPr>
          <w:p w:rsidR="00D60E45" w:rsidRDefault="00576EE1">
            <w:pPr>
              <w:spacing w:before="40" w:after="40"/>
            </w:pPr>
            <w:r>
              <w:rPr>
                <w:b/>
                <w:sz w:val="20"/>
              </w:rPr>
              <w:t xml:space="preserve">Sídlo spoločnosti: </w:t>
            </w:r>
            <w:r>
              <w:rPr>
                <w:sz w:val="20"/>
              </w:rPr>
              <w:t>Tolstého 5 Bratislava</w:t>
            </w:r>
          </w:p>
        </w:tc>
        <w:tc>
          <w:tcPr>
            <w:tcW w:w="4968" w:type="dxa"/>
            <w:shd w:val="clear" w:color="auto" w:fill="F2F4F7"/>
          </w:tcPr>
          <w:p w:rsidR="00D60E45" w:rsidRDefault="00576EE1">
            <w:pPr>
              <w:spacing w:before="40" w:after="40"/>
            </w:pPr>
            <w:r>
              <w:rPr>
                <w:b/>
                <w:sz w:val="20"/>
              </w:rPr>
              <w:t xml:space="preserve">DIČ: </w:t>
            </w:r>
            <w:r>
              <w:rPr>
                <w:sz w:val="20"/>
              </w:rPr>
              <w:t>2121290325</w:t>
            </w:r>
          </w:p>
        </w:tc>
      </w:tr>
    </w:tbl>
    <w:p w:rsidR="00D60E45" w:rsidRDefault="00D60E45">
      <w:pPr>
        <w:spacing w:after="120"/>
      </w:pPr>
    </w:p>
    <w:p w:rsidR="00D60E45" w:rsidRDefault="00576EE1">
      <w:pPr>
        <w:keepNext/>
        <w:spacing w:before="280" w:after="80"/>
      </w:pPr>
      <w:r>
        <w:rPr>
          <w:b/>
          <w:color w:val="1F4E79"/>
          <w:sz w:val="28"/>
        </w:rPr>
        <w:t>I. VŠEOBECNÉ ÚDAJE</w:t>
      </w:r>
    </w:p>
    <w:p w:rsidR="00D60E45" w:rsidRDefault="00576EE1">
      <w:pPr>
        <w:keepNext/>
        <w:spacing w:before="200" w:after="60"/>
      </w:pPr>
      <w:r>
        <w:rPr>
          <w:b/>
          <w:color w:val="2F5597"/>
          <w:sz w:val="24"/>
        </w:rPr>
        <w:t>I. (1) Názov právnickej osoby a jej sídlo alebo meno a priezvisko fyzickej osoby</w:t>
      </w:r>
    </w:p>
    <w:p w:rsidR="00D60E45" w:rsidRDefault="00576EE1">
      <w:pPr>
        <w:spacing w:after="60"/>
      </w:pPr>
      <w:r>
        <w:rPr>
          <w:b/>
        </w:rPr>
        <w:t xml:space="preserve">Názov a sídlo: </w:t>
      </w:r>
      <w:r>
        <w:t>Barnel s.r.o., Tolstého 5 Bratislava</w:t>
      </w:r>
    </w:p>
    <w:p w:rsidR="00D60E45" w:rsidRDefault="00576EE1">
      <w:pPr>
        <w:keepNext/>
        <w:spacing w:before="200" w:after="60"/>
      </w:pPr>
      <w:r>
        <w:rPr>
          <w:b/>
          <w:color w:val="2F5597"/>
          <w:sz w:val="24"/>
        </w:rPr>
        <w:t>I. (2) Údaje o konsolidovanom celku</w:t>
      </w:r>
    </w:p>
    <w:p w:rsidR="00D60E45" w:rsidRDefault="00576EE1">
      <w:pPr>
        <w:spacing w:after="60"/>
      </w:pPr>
      <w:r>
        <w:t>Spoločnosť nie je súčasťou konsolidovaného celku.</w:t>
      </w:r>
    </w:p>
    <w:p w:rsidR="00D60E45" w:rsidRDefault="00576EE1">
      <w:pPr>
        <w:keepNext/>
        <w:spacing w:before="200" w:after="60"/>
      </w:pPr>
      <w:r>
        <w:rPr>
          <w:b/>
          <w:color w:val="2F5597"/>
          <w:sz w:val="24"/>
        </w:rPr>
        <w:t>I. (3) Počet zamestnancov</w:t>
      </w:r>
    </w:p>
    <w:p w:rsidR="00D60E45" w:rsidRDefault="00576EE1">
      <w:pPr>
        <w:spacing w:after="60"/>
      </w:pPr>
      <w:r>
        <w:rPr>
          <w:b/>
        </w:rPr>
        <w:t xml:space="preserve">Priemerný prepočítaný počet zamestnancov: </w:t>
      </w:r>
      <w:r>
        <w:t>0</w:t>
      </w:r>
    </w:p>
    <w:p w:rsidR="00D60E45" w:rsidRDefault="00576EE1">
      <w:pPr>
        <w:keepNext/>
        <w:spacing w:before="280" w:after="80"/>
      </w:pPr>
      <w:r>
        <w:rPr>
          <w:b/>
          <w:color w:val="1F4E79"/>
          <w:sz w:val="28"/>
        </w:rPr>
        <w:t>II. INFORMÁCIE O PRIJATÝCH POSTUPOCH</w:t>
      </w:r>
    </w:p>
    <w:p w:rsidR="00D60E45" w:rsidRDefault="00576EE1">
      <w:pPr>
        <w:keepNext/>
        <w:spacing w:before="200" w:after="60"/>
      </w:pPr>
      <w:r>
        <w:rPr>
          <w:b/>
          <w:color w:val="2F5597"/>
          <w:sz w:val="24"/>
        </w:rPr>
        <w:t>II. (1) Výc</w:t>
      </w:r>
      <w:r>
        <w:rPr>
          <w:b/>
          <w:color w:val="2F5597"/>
          <w:sz w:val="24"/>
        </w:rPr>
        <w:t>hodiská pre zostavenie účtovnej závierky</w:t>
      </w:r>
    </w:p>
    <w:p w:rsidR="00D60E45" w:rsidRDefault="00576EE1">
      <w:pPr>
        <w:spacing w:after="60"/>
      </w:pPr>
      <w:r>
        <w:t>Účtovná závierka bola zostavená za predpokladu nepretržitého trvania spoločnosti. Účtovné metódy a všeobecné zásady boli účtovnou jednotkou konzistentne aplikované.</w:t>
      </w:r>
    </w:p>
    <w:p w:rsidR="00D60E45" w:rsidRDefault="00576EE1">
      <w:pPr>
        <w:keepNext/>
        <w:spacing w:before="200" w:after="60"/>
      </w:pPr>
      <w:r>
        <w:rPr>
          <w:b/>
          <w:color w:val="2F5597"/>
          <w:sz w:val="24"/>
        </w:rPr>
        <w:t xml:space="preserve">II. (2) Spôsob oceňovania jednotlivých položiek </w:t>
      </w:r>
      <w:r>
        <w:rPr>
          <w:b/>
          <w:color w:val="2F5597"/>
          <w:sz w:val="24"/>
        </w:rPr>
        <w:t>majetku a záväzkov</w:t>
      </w:r>
    </w:p>
    <w:p w:rsidR="00D60E45" w:rsidRDefault="00576EE1">
      <w:pPr>
        <w:spacing w:after="60"/>
      </w:pPr>
      <w:r>
        <w:rPr>
          <w:b/>
        </w:rPr>
        <w:t xml:space="preserve">Dlhodobý nehmotný majetok (DNM): </w:t>
      </w:r>
      <w:r>
        <w:t>Spoločnosť nevlastní DNM. DNM sa oceňuje obstarávacou cenou, ktorá zahŕňa cenu obstarania a náklady súvisiace s obstaraním.</w:t>
      </w:r>
    </w:p>
    <w:p w:rsidR="00D60E45" w:rsidRDefault="00576EE1">
      <w:pPr>
        <w:spacing w:after="60"/>
      </w:pPr>
      <w:r>
        <w:rPr>
          <w:b/>
        </w:rPr>
        <w:t xml:space="preserve">Dlhodobý hmotný majetok (DHM): </w:t>
      </w:r>
      <w:r>
        <w:t>Spoločnosť nevlastní DHM. DHM sa oceňuje obstaráv</w:t>
      </w:r>
      <w:r>
        <w:t>acou cenou, ktorá zahŕňa cenu obstarania a náklady súvisiace s obstaraním.</w:t>
      </w:r>
    </w:p>
    <w:p w:rsidR="00D60E45" w:rsidRDefault="00576EE1">
      <w:pPr>
        <w:spacing w:after="60"/>
      </w:pPr>
      <w:r>
        <w:rPr>
          <w:b/>
        </w:rPr>
        <w:t xml:space="preserve">Dlhodobý finančný majetok (DFM): </w:t>
      </w:r>
      <w:r>
        <w:t>Spoločnosť nevlastní DFM. DFM sa oceňuje obstarávacou cenou, ktorá zahŕňa cenu obstarania a náklady súvisiace s obstaraním.</w:t>
      </w:r>
    </w:p>
    <w:p w:rsidR="00D60E45" w:rsidRDefault="00576EE1">
      <w:pPr>
        <w:spacing w:after="60"/>
      </w:pPr>
      <w:r>
        <w:rPr>
          <w:b/>
        </w:rPr>
        <w:t xml:space="preserve">Zásoby: </w:t>
      </w:r>
      <w:r>
        <w:t>Zásoby sa oceňuj</w:t>
      </w:r>
      <w:r>
        <w:t>ú obstarávacou cenou, ktorá zahŕňa cenu obstarania a náklady súvisiace s obstaraním.</w:t>
      </w:r>
    </w:p>
    <w:p w:rsidR="00D60E45" w:rsidRDefault="00576EE1">
      <w:pPr>
        <w:pStyle w:val="Zoznamsodrkami"/>
        <w:spacing w:after="60"/>
      </w:pPr>
      <w:r>
        <w:t>Zásoby materiálu (112) a tovaru (132) sa oceňujú váženým aritmetickým priemerom z obstarávacích cien.</w:t>
      </w:r>
    </w:p>
    <w:p w:rsidR="00D60E45" w:rsidRDefault="00576EE1">
      <w:pPr>
        <w:pStyle w:val="Zoznamsodrkami"/>
        <w:spacing w:after="60"/>
      </w:pPr>
      <w:r>
        <w:t>Zásoby nedokončenej výroby a výrobkov (121, 122, 123) sa oceňujú vnút</w:t>
      </w:r>
      <w:r>
        <w:t>ropodnikovými kalkulovanými cenami.</w:t>
      </w:r>
    </w:p>
    <w:p w:rsidR="00D60E45" w:rsidRDefault="00576EE1">
      <w:pPr>
        <w:pStyle w:val="Zoznamsodrkami"/>
        <w:spacing w:after="60"/>
      </w:pPr>
      <w:r>
        <w:t>Zníženie hodnoty zásob sa upravuje vytvorením opravnej položky.</w:t>
      </w:r>
    </w:p>
    <w:p w:rsidR="00D60E45" w:rsidRDefault="00576EE1">
      <w:pPr>
        <w:spacing w:after="60"/>
      </w:pPr>
      <w:r>
        <w:rPr>
          <w:b/>
        </w:rPr>
        <w:t xml:space="preserve">Pohľadávky: </w:t>
      </w:r>
      <w:r>
        <w:t>Pohľadávky sa oceňujú ich menovitou hodnotou.</w:t>
      </w:r>
    </w:p>
    <w:p w:rsidR="00D60E45" w:rsidRDefault="00576EE1">
      <w:pPr>
        <w:spacing w:after="60"/>
      </w:pPr>
      <w:r>
        <w:rPr>
          <w:b/>
        </w:rPr>
        <w:t xml:space="preserve">Krátkodobý finančný majetok: </w:t>
      </w:r>
      <w:r>
        <w:t>Peňažné prostriedky a ceniny sa oceňujú ich menovitou hodnotou. Zníže</w:t>
      </w:r>
      <w:r>
        <w:t>nie ich hodnoty sa vyjadruje opravnou položkou.</w:t>
      </w:r>
    </w:p>
    <w:p w:rsidR="00D60E45" w:rsidRDefault="00576EE1">
      <w:pPr>
        <w:spacing w:after="60"/>
      </w:pPr>
      <w:r>
        <w:rPr>
          <w:b/>
        </w:rPr>
        <w:lastRenderedPageBreak/>
        <w:t xml:space="preserve">Záväzky vrátane rezerv, dlhopisov, pôžičiek a úverov: </w:t>
      </w:r>
      <w:r>
        <w:t>Záväzky sa oceňujú ich menovitou hodnotou. Rezervy sa tvoria na krytie známych rizík alebo strát z podnikania. Oceňujú sa v očakávanej výške záväzku.</w:t>
      </w:r>
    </w:p>
    <w:p w:rsidR="00D60E45" w:rsidRDefault="00576EE1">
      <w:pPr>
        <w:spacing w:after="60"/>
      </w:pPr>
      <w:r>
        <w:rPr>
          <w:b/>
        </w:rPr>
        <w:t>Deri</w:t>
      </w:r>
      <w:r>
        <w:rPr>
          <w:b/>
        </w:rPr>
        <w:t xml:space="preserve">vátové operácie: </w:t>
      </w:r>
      <w:r>
        <w:t>Deriváty sa oceňujú reálnou hodnotou.</w:t>
      </w:r>
    </w:p>
    <w:p w:rsidR="00D60E45" w:rsidRDefault="00576EE1">
      <w:pPr>
        <w:keepNext/>
        <w:spacing w:before="200" w:after="60"/>
      </w:pPr>
      <w:r>
        <w:rPr>
          <w:b/>
          <w:color w:val="2F5597"/>
          <w:sz w:val="24"/>
        </w:rPr>
        <w:t>II. (3) Spôsob zostavenia odpisového plánu pre DHM a DNM</w:t>
      </w:r>
    </w:p>
    <w:p w:rsidR="00D60E45" w:rsidRDefault="00576EE1">
      <w:pPr>
        <w:spacing w:after="60"/>
      </w:pPr>
      <w:r>
        <w:t>Dlhodobý hmotný majetok (DHM):</w:t>
      </w:r>
    </w:p>
    <w:p w:rsidR="00D60E45" w:rsidRDefault="00576EE1">
      <w:pPr>
        <w:pStyle w:val="Zoznamsodrkami"/>
        <w:spacing w:after="60"/>
      </w:pPr>
      <w:r>
        <w:t>Odpisy DHM vychádzajú z predpokladanej doby jeho používania a predpokladaného priebehu jeho opotrebovania.</w:t>
      </w:r>
    </w:p>
    <w:p w:rsidR="00D60E45" w:rsidRDefault="00576EE1">
      <w:pPr>
        <w:pStyle w:val="Zoznamsodrkami"/>
        <w:spacing w:after="60"/>
      </w:pPr>
      <w:r>
        <w:t>DHM sa</w:t>
      </w:r>
      <w:r>
        <w:t xml:space="preserve"> začína odpisovať prvým dňom mesiaca, v ktorom bol DHM daný do používania.</w:t>
      </w:r>
    </w:p>
    <w:p w:rsidR="00D60E45" w:rsidRDefault="00576EE1">
      <w:pPr>
        <w:pStyle w:val="Zoznamsodrkami"/>
        <w:spacing w:after="60"/>
      </w:pPr>
      <w:r>
        <w:t>Účtovné odpisy DHM sa rovnajú daňovým odpisom.</w:t>
      </w:r>
    </w:p>
    <w:p w:rsidR="00D60E45" w:rsidRDefault="00576EE1">
      <w:pPr>
        <w:pStyle w:val="Zoznamsodrkami"/>
        <w:spacing w:after="60"/>
      </w:pPr>
      <w:r>
        <w:t>Drobný DHM, ktorého obstarávacia cena je 1700 Eur a nižšia, sa odpisuje jednorázovo pri uvedení do používania.</w:t>
      </w:r>
    </w:p>
    <w:p w:rsidR="00D60E45" w:rsidRDefault="00576EE1">
      <w:pPr>
        <w:pStyle w:val="Zoznamsodrkami"/>
        <w:spacing w:after="60"/>
      </w:pPr>
      <w:r>
        <w:t xml:space="preserve">Drobný DHM sa považuje </w:t>
      </w:r>
      <w:r>
        <w:t>za zásoby.</w:t>
      </w:r>
    </w:p>
    <w:p w:rsidR="00D60E45" w:rsidRDefault="00576EE1">
      <w:pPr>
        <w:spacing w:after="60"/>
      </w:pPr>
      <w:r>
        <w:t>Dlhodobý nehmotný majetok (DNM):</w:t>
      </w:r>
    </w:p>
    <w:p w:rsidR="00D60E45" w:rsidRDefault="00576EE1">
      <w:pPr>
        <w:pStyle w:val="Zoznamsodrkami"/>
        <w:spacing w:after="60"/>
      </w:pPr>
      <w:r>
        <w:t>Odpisy DNM vychádzajú z predpokladanej doby jeho používania a predpokladaného priebehu jeho opotrebovania.</w:t>
      </w:r>
    </w:p>
    <w:p w:rsidR="00D60E45" w:rsidRDefault="00576EE1">
      <w:pPr>
        <w:pStyle w:val="Zoznamsodrkami"/>
        <w:spacing w:after="60"/>
      </w:pPr>
      <w:r>
        <w:t>DNM sa začína odpisovať prvým dňom mesiaca, v ktorom bol DNM daný do používania a účtuje sa v súlade s úč</w:t>
      </w:r>
      <w:r>
        <w:t>tovnými odpismi.</w:t>
      </w:r>
    </w:p>
    <w:p w:rsidR="00D60E45" w:rsidRDefault="00576EE1">
      <w:pPr>
        <w:pStyle w:val="Zoznamsodrkami"/>
        <w:spacing w:after="60"/>
      </w:pPr>
      <w:r>
        <w:t>DNM, ktorého obstarávacia cena je 2400 Eur a nižšia, sa odpisuje v súlade s účtovnými odpismi.</w:t>
      </w:r>
    </w:p>
    <w:p w:rsidR="00D60E45" w:rsidRDefault="00576EE1">
      <w:pPr>
        <w:pStyle w:val="Zoznamsodrkami"/>
        <w:spacing w:after="60"/>
      </w:pPr>
      <w:r>
        <w:t>DNM, ktorého obstarávacia cena je 2400 Eur a nižšia, sa účtuje na ťarchu účtu 518 - Ostatné služby.</w:t>
      </w:r>
    </w:p>
    <w:p w:rsidR="00D60E45" w:rsidRDefault="00576EE1">
      <w:pPr>
        <w:keepNext/>
        <w:spacing w:before="200" w:after="60"/>
      </w:pPr>
      <w:r>
        <w:rPr>
          <w:b/>
          <w:color w:val="2F5597"/>
          <w:sz w:val="24"/>
        </w:rPr>
        <w:t>II. (4) Zmeny účtovných zásad a zmeny účtovn</w:t>
      </w:r>
      <w:r>
        <w:rPr>
          <w:b/>
          <w:color w:val="2F5597"/>
          <w:sz w:val="24"/>
        </w:rPr>
        <w:t>ých metód</w:t>
      </w:r>
    </w:p>
    <w:p w:rsidR="00D60E45" w:rsidRDefault="00576EE1">
      <w:pPr>
        <w:spacing w:after="60"/>
      </w:pPr>
      <w:r>
        <w:t>Spoločnosť nevykonala zmeny v účtovných zásadách a v účtovných metódach.</w:t>
      </w:r>
    </w:p>
    <w:p w:rsidR="00D60E45" w:rsidRDefault="00576EE1">
      <w:pPr>
        <w:keepNext/>
        <w:spacing w:before="200" w:after="60"/>
      </w:pPr>
      <w:r>
        <w:rPr>
          <w:b/>
          <w:color w:val="2F5597"/>
          <w:sz w:val="24"/>
        </w:rPr>
        <w:t>II. (5) Informácie o dotáciách a ich ocenení</w:t>
      </w:r>
    </w:p>
    <w:p w:rsidR="00D60E45" w:rsidRDefault="00576EE1">
      <w:pPr>
        <w:spacing w:after="60"/>
      </w:pPr>
      <w:r>
        <w:t>Spoločnosti neboli poskytnuté dotácie.</w:t>
      </w:r>
    </w:p>
    <w:p w:rsidR="00D60E45" w:rsidRDefault="00576EE1">
      <w:pPr>
        <w:keepNext/>
        <w:spacing w:before="200" w:after="60"/>
      </w:pPr>
      <w:r>
        <w:rPr>
          <w:b/>
          <w:color w:val="2F5597"/>
          <w:sz w:val="24"/>
        </w:rPr>
        <w:t>II. (6) Informácie o účtovaní významných opráv chýb minulých účtovných období</w:t>
      </w:r>
    </w:p>
    <w:p w:rsidR="00D60E45" w:rsidRDefault="00576EE1">
      <w:pPr>
        <w:spacing w:after="60"/>
      </w:pPr>
      <w:r>
        <w:t xml:space="preserve">Spoločnosť </w:t>
      </w:r>
      <w:r>
        <w:t>v bežnom účtovnom období nevykonala významné opravy chýb minulých účtovných období.</w:t>
      </w:r>
    </w:p>
    <w:p w:rsidR="00D60E45" w:rsidRDefault="00576EE1">
      <w:pPr>
        <w:keepNext/>
        <w:spacing w:before="280" w:after="80"/>
      </w:pPr>
      <w:r>
        <w:rPr>
          <w:b/>
          <w:color w:val="1F4E79"/>
          <w:sz w:val="28"/>
        </w:rPr>
        <w:t>III. INFORMÁCIE, KTORÉ VYSVETĽUJÚ A DOPĹŇAJÚ SÚVAHU A VÝKAZ ZISKOV A STRÁT</w:t>
      </w:r>
    </w:p>
    <w:p w:rsidR="00D60E45" w:rsidRDefault="00576EE1">
      <w:pPr>
        <w:keepNext/>
        <w:spacing w:before="200" w:after="60"/>
      </w:pPr>
      <w:r>
        <w:rPr>
          <w:b/>
          <w:color w:val="2F5597"/>
          <w:sz w:val="24"/>
        </w:rPr>
        <w:t>III. (1) Informácie o položkách nákladov a výnosov, ktoré majú výnimočný rozsah alebo výskyt</w:t>
      </w:r>
    </w:p>
    <w:p w:rsidR="00D60E45" w:rsidRDefault="00576EE1">
      <w:pPr>
        <w:spacing w:after="60"/>
      </w:pPr>
      <w:r>
        <w:t>Spol</w:t>
      </w:r>
      <w:r>
        <w:t>očnosť neúčtovala o položkách nákladov a výnosov, ktoré mali výnimočný rozsah alebo výskyt.</w:t>
      </w:r>
    </w:p>
    <w:p w:rsidR="00D60E45" w:rsidRDefault="00576EE1">
      <w:pPr>
        <w:keepNext/>
        <w:spacing w:before="200" w:after="60"/>
      </w:pPr>
      <w:r>
        <w:rPr>
          <w:b/>
          <w:color w:val="2F5597"/>
          <w:sz w:val="24"/>
        </w:rPr>
        <w:t>III. (2) Informácie o záväzkoch</w:t>
      </w:r>
    </w:p>
    <w:p w:rsidR="00D60E45" w:rsidRDefault="00576EE1">
      <w:pPr>
        <w:spacing w:after="60"/>
      </w:pPr>
      <w:r>
        <w:t>Spoločnosť neeviduje dlhodobé záväzky so zostatkovou dobou splatnosti dlhšou ako 5 rokov.</w:t>
      </w:r>
    </w:p>
    <w:p w:rsidR="00D60E45" w:rsidRDefault="00576EE1">
      <w:pPr>
        <w:spacing w:after="60"/>
      </w:pPr>
      <w:r>
        <w:t>Záväzky so zostatkovou dobou splatnosti dl</w:t>
      </w:r>
      <w:r>
        <w:t>hšou ako 5 rokov: 0,00 Eur</w:t>
      </w:r>
    </w:p>
    <w:p w:rsidR="00D60E45" w:rsidRDefault="00576EE1">
      <w:pPr>
        <w:spacing w:after="60"/>
      </w:pPr>
      <w:r>
        <w:t>Spoločnosť neeviduje záväzky zabezpečené záložným právom alebo inou formou zabezpečenia.</w:t>
      </w:r>
    </w:p>
    <w:p w:rsidR="00D60E45" w:rsidRDefault="00576EE1">
      <w:pPr>
        <w:keepNext/>
        <w:spacing w:before="200" w:after="60"/>
      </w:pPr>
      <w:r>
        <w:rPr>
          <w:b/>
          <w:color w:val="2F5597"/>
          <w:sz w:val="24"/>
        </w:rPr>
        <w:lastRenderedPageBreak/>
        <w:t>III. (3) Informácie o vlastných akciách</w:t>
      </w:r>
    </w:p>
    <w:p w:rsidR="00D60E45" w:rsidRDefault="00576EE1">
      <w:pPr>
        <w:spacing w:after="60"/>
      </w:pPr>
      <w:r>
        <w:t>Spoločnosť neeviduje vlastné akcie.</w:t>
      </w:r>
    </w:p>
    <w:p w:rsidR="00D60E45" w:rsidRDefault="00576EE1">
      <w:pPr>
        <w:keepNext/>
        <w:spacing w:before="200" w:after="60"/>
      </w:pPr>
      <w:r>
        <w:rPr>
          <w:b/>
          <w:color w:val="2F5597"/>
          <w:sz w:val="24"/>
        </w:rPr>
        <w:t>III. (4) Informácie o orgánoch účtovnej jednotky</w:t>
      </w:r>
    </w:p>
    <w:p w:rsidR="00D60E45" w:rsidRDefault="00576EE1">
      <w:pPr>
        <w:spacing w:after="60"/>
      </w:pPr>
      <w:r>
        <w:t>Spoločnosť nepo</w:t>
      </w:r>
      <w:r>
        <w:t>skytla členom orgánov ÚJ záruky, zabezpečenia, pôžičky, plnenia na súkromné účely.</w:t>
      </w:r>
    </w:p>
    <w:p w:rsidR="00D60E45" w:rsidRDefault="00576EE1">
      <w:pPr>
        <w:keepNext/>
        <w:spacing w:before="200" w:after="60"/>
      </w:pPr>
      <w:r>
        <w:rPr>
          <w:b/>
          <w:color w:val="2F5597"/>
          <w:sz w:val="24"/>
        </w:rPr>
        <w:t>III. (5) Informácie o povinnostiach účtovnej jednotky</w:t>
      </w:r>
    </w:p>
    <w:p w:rsidR="00D60E45" w:rsidRDefault="00576EE1">
      <w:pPr>
        <w:spacing w:after="60"/>
      </w:pPr>
      <w:r>
        <w:t xml:space="preserve">Spoločnosť neeviduje významné finančné povinnosti, významné podmienené záväzky, ani významné povinnosti ÚJ vyplývajúce </w:t>
      </w:r>
      <w:r>
        <w:t>z dôchodkových programov pre zamestnancov.</w:t>
      </w:r>
    </w:p>
    <w:p w:rsidR="00D60E45" w:rsidRDefault="00576EE1">
      <w:pPr>
        <w:keepNext/>
        <w:spacing w:before="200" w:after="60"/>
      </w:pPr>
      <w:r>
        <w:rPr>
          <w:b/>
          <w:color w:val="2F5597"/>
          <w:sz w:val="24"/>
        </w:rPr>
        <w:t>III. (6) Informácie o udelení výlučného práva alebo osobitného práva</w:t>
      </w:r>
    </w:p>
    <w:p w:rsidR="00D60E45" w:rsidRDefault="00576EE1">
      <w:pPr>
        <w:spacing w:after="60"/>
      </w:pPr>
      <w:r>
        <w:t>Spoločnosti nie je udelené výlučné právo alebo osobitné právo poskytovať služby vo verejnom záujme.</w:t>
      </w:r>
    </w:p>
    <w:sectPr w:rsidR="00D60E45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E3149"/>
    <w:rsid w:val="00576EE1"/>
    <w:rsid w:val="00AA1D8D"/>
    <w:rsid w:val="00B44D34"/>
    <w:rsid w:val="00B47730"/>
    <w:rsid w:val="00CB0664"/>
    <w:rsid w:val="00D60E4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6EF917AD-56BD-400E-AA3D-5BF8822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C693F"/>
    <w:rPr>
      <w:rFonts w:ascii="Calibri" w:hAnsi="Calibri"/>
      <w:color w:val="2B2B2B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BAA7BCD-8474-4FB2-A3EA-B55F47077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680</Words>
  <Characters>3876</Characters>
  <Application>Microsoft Office Word</Application>
  <DocSecurity>0</DocSecurity>
  <Lines>32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4547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Konto Microsoft</cp:lastModifiedBy>
  <cp:revision>2</cp:revision>
  <dcterms:created xsi:type="dcterms:W3CDTF">2026-09-30T14:16:00Z</dcterms:created>
  <dcterms:modified xsi:type="dcterms:W3CDTF">2026-09-30T14:16:00Z</dcterms:modified>
  <cp:category/>
</cp:coreProperties>
</file>