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POZNÁMKY K ÚČTOVNEJ ZÁVIERKE</w:t>
      </w:r>
    </w:p>
    <w:p>
      <w:pPr>
        <w:jc w:val="center"/>
      </w:pPr>
      <w:r>
        <w:rPr>
          <w:b/>
          <w:sz w:val="22"/>
        </w:rPr>
        <w:t>zostavenej k 31. 12. 2024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vAlign w:val="center"/>
          </w:tcPr>
          <w:p>
            <w:r>
              <w:rPr>
                <w:b/>
              </w:rPr>
              <w:t>Obchodné meno</w:t>
            </w:r>
          </w:p>
        </w:tc>
        <w:tc>
          <w:tcPr>
            <w:tcW w:type="dxa" w:w="4873"/>
            <w:vAlign w:val="center"/>
          </w:tcPr>
          <w:p>
            <w:r>
              <w:t>zet-zone s. r. o.</w:t>
            </w:r>
          </w:p>
        </w:tc>
      </w:tr>
      <w:tr>
        <w:tc>
          <w:tcPr>
            <w:tcW w:type="dxa" w:w="4873"/>
            <w:vAlign w:val="center"/>
          </w:tcPr>
          <w:p>
            <w:r>
              <w:rPr>
                <w:b/>
              </w:rPr>
              <w:t>IČO</w:t>
            </w:r>
          </w:p>
        </w:tc>
        <w:tc>
          <w:tcPr>
            <w:tcW w:type="dxa" w:w="4873"/>
            <w:vAlign w:val="center"/>
          </w:tcPr>
          <w:p>
            <w:r>
              <w:t>53 393 643</w:t>
            </w:r>
          </w:p>
        </w:tc>
      </w:tr>
      <w:tr>
        <w:tc>
          <w:tcPr>
            <w:tcW w:type="dxa" w:w="4873"/>
            <w:vAlign w:val="center"/>
          </w:tcPr>
          <w:p>
            <w:r>
              <w:rPr>
                <w:b/>
              </w:rPr>
              <w:t>DIČ</w:t>
            </w:r>
          </w:p>
        </w:tc>
        <w:tc>
          <w:tcPr>
            <w:tcW w:type="dxa" w:w="4873"/>
            <w:vAlign w:val="center"/>
          </w:tcPr>
          <w:p>
            <w:r>
              <w:t>2121355698</w:t>
            </w:r>
          </w:p>
        </w:tc>
      </w:tr>
      <w:tr>
        <w:tc>
          <w:tcPr>
            <w:tcW w:type="dxa" w:w="4873"/>
            <w:vAlign w:val="center"/>
          </w:tcPr>
          <w:p>
            <w:r>
              <w:rPr>
                <w:b/>
              </w:rPr>
              <w:t>Sídlo</w:t>
            </w:r>
          </w:p>
        </w:tc>
        <w:tc>
          <w:tcPr>
            <w:tcW w:type="dxa" w:w="4873"/>
            <w:vAlign w:val="center"/>
          </w:tcPr>
          <w:p>
            <w:r>
              <w:t>Družstevná 843/26, 979 01 Rimavská Sobota</w:t>
            </w:r>
          </w:p>
        </w:tc>
      </w:tr>
      <w:tr>
        <w:tc>
          <w:tcPr>
            <w:tcW w:type="dxa" w:w="4873"/>
            <w:vAlign w:val="center"/>
          </w:tcPr>
          <w:p>
            <w:r>
              <w:rPr>
                <w:b/>
              </w:rPr>
              <w:t>Účtovné obdobie</w:t>
            </w:r>
          </w:p>
        </w:tc>
        <w:tc>
          <w:tcPr>
            <w:tcW w:type="dxa" w:w="4873"/>
            <w:vAlign w:val="center"/>
          </w:tcPr>
          <w:p>
            <w:r>
              <w:t>1. 1. 2024 – 31. 12. 2024</w:t>
            </w:r>
          </w:p>
        </w:tc>
      </w:tr>
      <w:tr>
        <w:tc>
          <w:tcPr>
            <w:tcW w:type="dxa" w:w="4873"/>
            <w:vAlign w:val="center"/>
          </w:tcPr>
          <w:p>
            <w:r>
              <w:rPr>
                <w:b/>
              </w:rPr>
              <w:t>Typ účtovnej závierky</w:t>
            </w:r>
          </w:p>
        </w:tc>
        <w:tc>
          <w:tcPr>
            <w:tcW w:type="dxa" w:w="4873"/>
            <w:vAlign w:val="center"/>
          </w:tcPr>
          <w:p>
            <w:r>
              <w:t>Riadna</w:t>
            </w:r>
          </w:p>
        </w:tc>
      </w:tr>
      <w:tr>
        <w:tc>
          <w:tcPr>
            <w:tcW w:type="dxa" w:w="4873"/>
            <w:vAlign w:val="center"/>
          </w:tcPr>
          <w:p>
            <w:r>
              <w:rPr>
                <w:b/>
              </w:rPr>
              <w:t>Veľkostná skupina</w:t>
            </w:r>
          </w:p>
        </w:tc>
        <w:tc>
          <w:tcPr>
            <w:tcW w:type="dxa" w:w="4873"/>
            <w:vAlign w:val="center"/>
          </w:tcPr>
          <w:p>
            <w:r>
              <w:t>Malá účtovná jednotka</w:t>
            </w:r>
          </w:p>
        </w:tc>
      </w:tr>
      <w:tr>
        <w:tc>
          <w:tcPr>
            <w:tcW w:type="dxa" w:w="4873"/>
            <w:vAlign w:val="center"/>
          </w:tcPr>
          <w:p>
            <w:r>
              <w:rPr>
                <w:b/>
              </w:rPr>
              <w:t>SK NACE</w:t>
            </w:r>
          </w:p>
        </w:tc>
        <w:tc>
          <w:tcPr>
            <w:tcW w:type="dxa" w:w="4873"/>
            <w:vAlign w:val="center"/>
          </w:tcPr>
          <w:p>
            <w:r>
              <w:t>14.19.0</w:t>
            </w:r>
          </w:p>
        </w:tc>
      </w:tr>
    </w:tbl>
    <w:p/>
    <w:p>
      <w:r>
        <w:rPr>
          <w:b/>
          <w:sz w:val="22"/>
        </w:rPr>
        <w:t>Všeobecné informácie</w:t>
      </w:r>
    </w:p>
    <w:p>
      <w:pPr>
        <w:spacing w:after="120"/>
        <w:jc w:val="both"/>
      </w:pPr>
      <w:r>
        <w:t>Účtovná jednotka vedie podvojné účtovníctvo a účtovnú závierku zostavila za predpokladu nepretržitého pokračovania vo svojej činnosti.</w:t>
      </w:r>
    </w:p>
    <w:p>
      <w:pPr>
        <w:spacing w:after="120"/>
        <w:jc w:val="both"/>
      </w:pPr>
      <w:r>
        <w:t>V roku 2024 účtovná jednotka pokračovala vo svojej podnikateľskej činnosti. V porovnaní s predchádzajúcim účtovným obdobím došlo k poklesu tržieb, najmä z dôvodu nevykonávania služieb v oblasti poľnohospodárstva.</w:t>
      </w:r>
    </w:p>
    <w:p>
      <w:pPr>
        <w:spacing w:after="120"/>
        <w:jc w:val="both"/>
      </w:pPr>
      <w:r>
        <w:t>V priebehu roka účtovná jednotka zavádzala nový výrobný program. V súvislosti s ním bol spotrebovaný materiál v hodnote 13 862 €.</w:t>
      </w:r>
    </w:p>
    <w:p>
      <w:pPr>
        <w:spacing w:after="120"/>
        <w:jc w:val="both"/>
      </w:pPr>
      <w:r>
        <w:t>Účtovná jednotka zároveň pokračovala v splácaní úveru súvisiaceho s obstaraním motorového vozidla Honda HR-V.</w:t>
      </w:r>
    </w:p>
    <w:p>
      <w:pPr>
        <w:spacing w:after="120"/>
        <w:jc w:val="both"/>
      </w:pPr>
      <w:r>
        <w:t>Za účtovné obdobie 2024 účtovná jednotka vykázala stratu vo výške 7 948 €.</w:t>
      </w:r>
    </w:p>
    <w:p>
      <w:r>
        <w:rPr>
          <w:b/>
          <w:sz w:val="22"/>
        </w:rPr>
        <w:t>Účtovné zásady a metódy</w:t>
      </w:r>
    </w:p>
    <w:p>
      <w:pPr>
        <w:jc w:val="both"/>
      </w:pPr>
      <w:r>
        <w:t>Účtovná jednotka pri vedení účtovníctva a zostavení účtovnej závierky postupovala v súlade s platnými právnymi predpismi pre podvojné účtovníctvo podnikateľov. Náklady a výnosy boli účtované do obdobia, s ktorým časovo a vecne súvisia.</w:t>
      </w:r>
    </w:p>
    <w:p>
      <w:r>
        <w:rPr>
          <w:rFonts w:ascii="Arial" w:hAnsi="Arial"/>
          <w:b/>
          <w:sz w:val="22"/>
        </w:rPr>
        <w:t>Oneskorené zostavenie a podanie účtovnej závierky</w:t>
      </w:r>
    </w:p>
    <w:p>
      <w:pPr>
        <w:spacing w:after="120"/>
        <w:jc w:val="both"/>
      </w:pPr>
      <w:r>
        <w:rPr>
          <w:rFonts w:ascii="Arial" w:hAnsi="Arial"/>
          <w:b w:val="0"/>
          <w:sz w:val="20"/>
        </w:rPr>
        <w:t>K oneskoreniu zostavenia a podania účtovnej závierky za rok 2023 došlo v dôsledku straty účtovných údajov po strate funkčnosti počítača. Následná obnova účtovníctva si vyžiadala dlhodobé opätovné dopĺňanie a kontrolu účtovných dát. Keďže účtovné obdobie 2024 bezprostredne nadväzuje na údaje roku 2023, táto situácia mala za následok aj oneskorené spracovanie a podanie účtovnej závierky za rok 2024.</w:t>
      </w:r>
    </w:p>
    <w:p>
      <w:r>
        <w:rPr>
          <w:b/>
          <w:sz w:val="22"/>
        </w:rPr>
        <w:t>Udalosti po skončení účtovného obdobia</w:t>
      </w:r>
    </w:p>
    <w:p>
      <w:pPr>
        <w:jc w:val="both"/>
      </w:pPr>
      <w:r>
        <w:t>Po skončení účtovného obdobia nenastali významné udalosti, ktoré by mali podstatný vplyv na účtovnú závierku.</w:t>
      </w:r>
    </w:p>
    <w:p/>
    <w:p>
      <w:pPr>
        <w:spacing w:before="240"/>
      </w:pPr>
      <w:r>
        <w:t>V Rimavskej Sobote, dňa 4. 10. 2026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