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85C" w:rsidRPr="008B0892" w:rsidRDefault="001C185C" w:rsidP="001C185C">
      <w:pPr>
        <w:pStyle w:val="Nzov"/>
        <w:keepNext w:val="0"/>
        <w:widowControl w:val="0"/>
        <w:spacing w:before="0" w:beforeAutospacing="0" w:after="60"/>
        <w:jc w:val="left"/>
        <w:rPr>
          <w:sz w:val="20"/>
          <w:szCs w:val="20"/>
        </w:rPr>
      </w:pPr>
      <w:r w:rsidRPr="00473F5C">
        <w:rPr>
          <w:sz w:val="20"/>
          <w:szCs w:val="20"/>
        </w:rPr>
        <w:t>49</w:t>
      </w:r>
      <w:r w:rsidRPr="0031298D">
        <w:rPr>
          <w:color w:val="FF0000"/>
          <w:sz w:val="20"/>
          <w:szCs w:val="20"/>
        </w:rPr>
        <w:t xml:space="preserve">. </w:t>
      </w:r>
      <w:r w:rsidRPr="008B0892">
        <w:rPr>
          <w:sz w:val="20"/>
          <w:szCs w:val="20"/>
        </w:rPr>
        <w:t xml:space="preserve">Informácie k časti T. prílohy č. 3 o prehľade peňažných tokov pri použití nepriamej metódy </w:t>
      </w:r>
    </w:p>
    <w:tbl>
      <w:tblPr>
        <w:tblW w:w="9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"/>
        <w:gridCol w:w="5657"/>
        <w:gridCol w:w="1760"/>
        <w:gridCol w:w="1484"/>
      </w:tblGrid>
      <w:tr w:rsidR="001C185C" w:rsidRPr="001C185C" w:rsidTr="001C185C">
        <w:trPr>
          <w:trHeight w:val="1200"/>
        </w:trPr>
        <w:tc>
          <w:tcPr>
            <w:tcW w:w="7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Označenie položky</w:t>
            </w:r>
          </w:p>
        </w:tc>
        <w:tc>
          <w:tcPr>
            <w:tcW w:w="57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Obsah položky</w:t>
            </w:r>
          </w:p>
        </w:tc>
        <w:tc>
          <w:tcPr>
            <w:tcW w:w="17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Bežné účtovné obdobie </w:t>
            </w:r>
          </w:p>
        </w:tc>
        <w:tc>
          <w:tcPr>
            <w:tcW w:w="14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Bezprostredne predchádzajúce účtovné obdobie </w:t>
            </w:r>
          </w:p>
        </w:tc>
      </w:tr>
      <w:tr w:rsidR="001C185C" w:rsidRPr="001C185C" w:rsidTr="001C185C">
        <w:trPr>
          <w:trHeight w:val="255"/>
        </w:trPr>
        <w:tc>
          <w:tcPr>
            <w:tcW w:w="7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30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Peňažné toky z prevádzkovej činnosti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0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Z/S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Výsledok hospodárenia z bežnej činnosti pred zdanením daňou z príjmov </w:t>
            </w: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vertAlign w:val="superscript"/>
                <w:lang w:eastAsia="sk-SK"/>
              </w:rPr>
              <w:t xml:space="preserve"> </w:t>
            </w: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446 397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232 173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A. 1.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Nepeňažné operácie ovplyvňujúce výsledok hospodárenia 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  <w:t xml:space="preserve">                          37 768   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  <w:t xml:space="preserve">                   61 384   </w:t>
            </w:r>
          </w:p>
        </w:tc>
      </w:tr>
      <w:tr w:rsidR="001C185C" w:rsidRPr="001C185C" w:rsidTr="001C185C">
        <w:trPr>
          <w:trHeight w:val="602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z bežnej činnosti pred  zdanením daňou z príjmov (+/-), (súčet A. 1. 1. až A. 1. 13.)  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Odpisy dlhodobého nehmotného majetku a dlhodobého hmotného majetku</w:t>
            </w: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vertAlign w:val="superscript"/>
                <w:lang w:eastAsia="sk-SK"/>
              </w:rPr>
              <w:t xml:space="preserve"> </w:t>
            </w: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38 397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56 389   </w:t>
            </w:r>
          </w:p>
        </w:tc>
      </w:tr>
      <w:tr w:rsidR="001C185C" w:rsidRPr="001C185C" w:rsidTr="001C185C">
        <w:trPr>
          <w:trHeight w:val="82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Zostatková hodnota dlhodobého nehmotného majetku a dlhodobého hmotného majetku účtovaná pri vyradení tohto majetku do nákladov na bežnú činnosť, s výnimkou  jeho  predaja 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-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3.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Odpis opravnej položky k nadobudnutému majetku  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4.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Zmena stavu dlhodobých rezerv </w:t>
            </w: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vertAlign w:val="superscript"/>
                <w:lang w:eastAsia="sk-SK"/>
              </w:rPr>
              <w:t xml:space="preserve"> </w:t>
            </w: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5.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Zmena stavu opravných položiek  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734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9 099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6.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Zmena stavu položiek časového rozlíšenia nákladov a výnosov  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    3 772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10 615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7.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Dividendy a iné podiely na zisku účtované do výnosov  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8.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Úroky účtované do nákladov  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2 434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6 475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9.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Úroky účtované do výnosov   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        71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   3   </w:t>
            </w:r>
          </w:p>
        </w:tc>
      </w:tr>
      <w:tr w:rsidR="001C185C" w:rsidRPr="001C185C" w:rsidTr="001C185C">
        <w:trPr>
          <w:trHeight w:val="54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A.1. 10.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58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11.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46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39   </w:t>
            </w:r>
          </w:p>
        </w:tc>
      </w:tr>
      <w:tr w:rsidR="001C185C" w:rsidRPr="001C185C" w:rsidTr="001C185C">
        <w:trPr>
          <w:trHeight w:val="651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12.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-   </w:t>
            </w:r>
          </w:p>
        </w:tc>
      </w:tr>
      <w:tr w:rsidR="001C185C" w:rsidRPr="001C185C" w:rsidTr="001C185C">
        <w:trPr>
          <w:trHeight w:val="80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1. 13.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Ostatné položky nepeňažného charakteru, ktoré ovplyvňujú výsledok hospodárenia z bežnej činnosti, s výnimkou tých, ktoré sa uvádzajú osobitne v iných častiach prehľadu peňažných tokov  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91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A. 2.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Vplyv zmien stavu pracovného kapitálu,</w:t>
            </w: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vertAlign w:val="superscript"/>
                <w:lang w:eastAsia="sk-SK"/>
              </w:rPr>
              <w:t xml:space="preserve"> </w:t>
            </w: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ktorým sa na účely tohto opatrenia rozumie rozdiel medzi obežným majetkom a krátkodobými záväzkami</w:t>
            </w: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vertAlign w:val="superscript"/>
                <w:lang w:eastAsia="sk-SK"/>
              </w:rPr>
              <w:t xml:space="preserve"> </w:t>
            </w: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 s výnimkou položiek obežného majetku, ktoré sú súčasťou peňažných prostriedkov 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  <w:t xml:space="preserve">                        817 935   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  <w:t xml:space="preserve">                   25 286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a peňažných ekvivalentov, na výsledok hospodárenia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 z bežnej činnosti (súčet A. 2. 1. až A. 2. 4.)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2. 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Zmena stavu pohľadávok z prevádzkovej činnosti (-/+)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1 373 325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115 622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2. 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Zmena stavu záväzkov z prevádzkovej činnosti 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520 833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78 897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2. 3.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Zmena stavu zásob (-/+)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  34 558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11 440   </w:t>
            </w:r>
          </w:p>
        </w:tc>
      </w:tr>
      <w:tr w:rsidR="001C185C" w:rsidRPr="001C185C" w:rsidTr="001C185C">
        <w:trPr>
          <w:trHeight w:val="585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2. 4.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Zmena stavu krátkodobého finančného majetku, s výnimkou majetku, ktorý je súčasťou peňažných prostriedkov 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20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 peňažných ekvivalentov (-/+)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705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lastRenderedPageBreak/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 xml:space="preserve">Peňažné  toky  z prevádzkovej  činnosti s výnimkou príjmov a výdavkov, ktoré sa  uvádzajú  osobitne v iných častiach prehľadu  peňažných tokov (+/-), 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409 306   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318 842   </w:t>
            </w:r>
          </w:p>
        </w:tc>
      </w:tr>
      <w:tr w:rsidR="001C185C" w:rsidRPr="001C185C" w:rsidTr="001C185C">
        <w:trPr>
          <w:trHeight w:val="285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(súčet Z/S  +  A. 1. + A. 2.)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40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3.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Prijaté úroky, s výnimkou tých, ktoré sa začleňujú do investičných činností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71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213   </w:t>
            </w:r>
          </w:p>
        </w:tc>
      </w:tr>
      <w:tr w:rsidR="001C185C" w:rsidRPr="001C185C" w:rsidTr="001C185C">
        <w:trPr>
          <w:trHeight w:val="6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4.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zaplatené úroky, s výnimkou tých, ktoré sa začleňujú do finančných činností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    2 434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6 475   </w:t>
            </w:r>
          </w:p>
        </w:tc>
      </w:tr>
      <w:tr w:rsidR="001C185C" w:rsidRPr="001C185C" w:rsidTr="001C185C">
        <w:trPr>
          <w:trHeight w:val="54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5.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36"/>
        </w:trPr>
        <w:tc>
          <w:tcPr>
            <w:tcW w:w="76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6.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vyplatené dividendy  a iné podiely na zisku, s výnimkou tých, ktoré sa začleňujú do finančných činností (-)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80"/>
        </w:trPr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573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Peňažné  toky z prevádzkovej činnosti (+/-), (súčet Z/S + A. 1. až A. 6.)</w:t>
            </w:r>
          </w:p>
        </w:tc>
        <w:tc>
          <w:tcPr>
            <w:tcW w:w="178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406 944   </w:t>
            </w:r>
          </w:p>
        </w:tc>
        <w:tc>
          <w:tcPr>
            <w:tcW w:w="14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312 580   </w:t>
            </w:r>
          </w:p>
        </w:tc>
      </w:tr>
      <w:tr w:rsidR="001C185C" w:rsidRPr="001C185C" w:rsidTr="001C185C">
        <w:trPr>
          <w:trHeight w:val="60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7.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daň z príjmov účtovnej jednotky, s výnimkou tých, ktoré sa  začleňujú do investičných činností alebo finančných činností (-/+)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168 672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61 463   </w:t>
            </w:r>
          </w:p>
        </w:tc>
      </w:tr>
      <w:tr w:rsidR="001C185C" w:rsidRPr="001C185C" w:rsidTr="001C185C">
        <w:trPr>
          <w:trHeight w:val="43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8.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mimoriadneho charakteru vzťahujúce sa na prevádzkovú činnosť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0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A. 9.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mimoriadneho charakteru vzťahujúce sa na prevádzkovú činnosť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50"/>
        </w:trPr>
        <w:tc>
          <w:tcPr>
            <w:tcW w:w="76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A.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Čisté peňažné toky z prevádzkovej činnosti (+/-),(súčet Z/S +  A. 1.  až  A. 9.)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238 272   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374 043   </w:t>
            </w: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Peňažné toky z investičnej činnosti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8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obstaranie dlhodobého nehmotného majetku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-   </w:t>
            </w:r>
          </w:p>
        </w:tc>
      </w:tr>
      <w:tr w:rsidR="001C185C" w:rsidRPr="001C185C" w:rsidTr="001C185C">
        <w:trPr>
          <w:trHeight w:val="43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obstaranie dlhodobého hmotného majetku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17 766   </w:t>
            </w:r>
          </w:p>
        </w:tc>
      </w:tr>
      <w:tr w:rsidR="001C185C" w:rsidRPr="001C185C" w:rsidTr="001C185C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3.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obstaranie dlhodobých cenných papierov a 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660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4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4.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predaja dlhodobého nehmotného majetku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5.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predaja dlhodobého hmotného majetku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6.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predaja dlhodobých cenných papierov 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a 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60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7.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8.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zo splácania dlhodobých pôžičiek poskytnutých  účtovnou jednotkou inej účtovnej jednotke, ktorá je súčasťou konsolidovaného celku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9.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dlhodobé pôžičky poskytnuté účtovnou jednotkou tretím osobám s výnimkou dlhodobých pôžičiek  poskytnutých  účtovnej jednotke, ktorá je súčasťou konsolidovaného celku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51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10.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zo splácania pôžičiek poskytnutých účtovnou jednotkou tretím osobám,  s výnimkou  pôžičiek poskytnutých účtovnej jednotke, ktorá je súčasťou konsolidovaného celku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6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Prijaté úroky, s výnimkou tých, ktoré sa začleňujú  do prevádzkových činností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57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lastRenderedPageBreak/>
              <w:t>B. 12.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dividend a iných podielov na zisku, s výnimkou tých, ktoré sa začleňujú  do prevádzkových činností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82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13.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súvisiace s derivátmi s výnimkou, ak sú určené na predaj alebo na obchodovanie, alebo ak sa tieto výdavky považujú za peňažné toky z finančnej  činnosti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61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14.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15.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daň z príjmov účtovnej jednotky, ak je ju možné začleniť do  investičných činností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0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16.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mimoriadneho charakteru vzťahujúce sa na investičnú činnosť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4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17.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mimoriadneho charakteru vzťahujúce sa na investičnú činnosť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27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18.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Ostatné príjmy vzťahujúce sa na investičnú činnosť 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7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B. 19.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Ostatné výdavky vzťahujúce sa na investičnú činnosť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75"/>
        </w:trPr>
        <w:tc>
          <w:tcPr>
            <w:tcW w:w="76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B.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Čisté  peňažné toky z investičnej  činnosti (súčet B. 1. až B. 19.)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-                  17 766   </w:t>
            </w:r>
          </w:p>
        </w:tc>
      </w:tr>
      <w:tr w:rsidR="001C185C" w:rsidRPr="001C185C" w:rsidTr="001C185C">
        <w:trPr>
          <w:trHeight w:val="25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Peňažné toky z finančnej činnosti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C. 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Peňažné toky vo  vlastnom  imaní (súčet C. 1. 1. až C. 1. 8.)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2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1. 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upísaných akcií a obchodných podielov 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54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1. 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 ďalších vkladov do vlastného imania spoločníkmi alebo fyzickou osobou, ktorá je  účtovnou jednotkou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1. 3.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Prijaté peňažné dary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1. 4.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úhrady straty spoločníkmi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1. 5.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obstaranie alebo spätné odkúpenie vlastných akcií a vlastných obchodných podielov 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2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1. 6.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spojené so znížením fondov vytvorených  účtovnou jednotkou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58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1. 7.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vyplatenie podielu na vlastnom imaní spoločníkmi účtovnej jednotky   a fyzickou osobou, ktorá je účtovnou jednotkou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2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C.1. 8.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z  iných dôvodov, ktoré súvisia so znížením vlastného imania 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9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C. 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Peňažné toky vznikajúce z dlhodobých záväzkov  a krátkodobých záväzkov  z finančnej </w:t>
            </w:r>
            <w:proofErr w:type="spellStart"/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činnost</w:t>
            </w:r>
            <w:proofErr w:type="spellEnd"/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>, (súčet C. 2. 1. až C. 2. 9.)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                                  -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eastAsia="sk-SK"/>
              </w:rPr>
              <w:t xml:space="preserve">-                200 000   </w:t>
            </w:r>
          </w:p>
        </w:tc>
      </w:tr>
      <w:tr w:rsidR="001C185C" w:rsidRPr="001C185C" w:rsidTr="001C185C">
        <w:trPr>
          <w:trHeight w:val="52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1.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emisie dlhových cenných papierov 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7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2.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úhradu záväzkov z dlhových CP 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3.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úverov, ktoré  účtovnej jednotke poskytla 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95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banka alebo pobočka zahraničnej banky, s výnimkou úverov, ktoré boli poskytnuté na zabezpečenie hlavného predmetu činnosti  (+)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73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4.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splácanie úverov, ktoré  účtovnej jednotke poskytla banka alebo pobočka zahraničnej banky, s výnimkou úverov, ktoré boli poskytnuté na zabezpečenie hlavného predmetu činnosti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2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5.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prijatých pôžičiek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0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6.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splácanie pôžičiek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200 000   </w:t>
            </w: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7.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úhradu záväzkov z používania majetku, ktorý je predmetom zmluvy o kúpe prenajatej veci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lastRenderedPageBreak/>
              <w:t>C. 2. 8.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z ostatných dlhodobých záväzkov a krátkodobých záväzkov vyplývajúcich z finančnej činnosti  účtovnej jednotky, s výnimkou tých, ktoré sa uvádzajú osobitne  v inej časti prehľadu peňažných tokov 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100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2. 9.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splácanie ostatných dlhodobých záväzkov  a krátkodobých záväzkov vyplývajúcich z finančnej činnosti  účtovnej jednotky, s výnimkou tých, ktoré sa uvádzajú osobitne  v inej časti prehľadu peňažných tokov 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3.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zaplatené úroky, s výnimkou tých, ktoré sa začleňujú do prevádzkových činností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57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4.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     188 961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 xml:space="preserve">-                  92 045   </w:t>
            </w:r>
          </w:p>
        </w:tc>
      </w:tr>
      <w:tr w:rsidR="001C185C" w:rsidRPr="001C185C" w:rsidTr="001C185C">
        <w:trPr>
          <w:trHeight w:val="54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5.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súvisiace s derivátmi, s výnimkou, ak sú určené na predaj alebo na obchodovanie, alebo ak sa považujú za  peňažné toky z investičnej činnosti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6.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súvisiace s  derivátmi, s výnimkou, ak sú určené na predaj alebo na obchodovanie, alebo ak sa považujú za peňažné toky z  investičnej činnosti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0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7.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na daň z príjmov   účtovnej jednotky, ak ich možno  začleniť do finančných činností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7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8.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Príjmy mimoriadneho charakteru vzťahujúce sa na finančnú činnosť (+)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42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C. 9.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Výdavky mimoriadneho charakteru vzťahujúce sa na finančnú činnosť (-)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C.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 xml:space="preserve">Čisté peňažné  toky  z finančnej činnosti 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 xml:space="preserve">-                       188 961   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 xml:space="preserve">-                292 045   </w:t>
            </w:r>
          </w:p>
        </w:tc>
      </w:tr>
      <w:tr w:rsidR="001C185C" w:rsidRPr="001C185C" w:rsidTr="001C185C">
        <w:trPr>
          <w:trHeight w:val="285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  <w:t>(súčet C. 1. až C. 9.)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465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D.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Čisté zvýšenie alebo čisté  zníženie peňažných prostriedkov (+/-), (súčet A + B + C)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       49 311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64 232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E. 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peňažných prostriedkov a peňažných ekvivalentov 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       89 357   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25 163   </w:t>
            </w:r>
          </w:p>
        </w:tc>
      </w:tr>
      <w:tr w:rsidR="001C185C" w:rsidRPr="001C185C" w:rsidTr="001C185C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na začiatku účtovného obdobia (+/-) 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F. 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peňažných prostriedkov a peňažných ekvivalentov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     138 576   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89 319   </w:t>
            </w:r>
          </w:p>
        </w:tc>
      </w:tr>
      <w:tr w:rsidR="001C185C" w:rsidRPr="001C185C" w:rsidTr="001C185C">
        <w:trPr>
          <w:trHeight w:val="480"/>
        </w:trPr>
        <w:tc>
          <w:tcPr>
            <w:tcW w:w="76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na konci účtovného  obdobia pred zohľadnením kurzových rozdielov vyčíslených ku dňu, ku ktorému  sa zostavuje účtovná závierka (+/-)</w:t>
            </w:r>
          </w:p>
        </w:tc>
        <w:tc>
          <w:tcPr>
            <w:tcW w:w="17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G. 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-                               46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-                        39   </w:t>
            </w:r>
          </w:p>
        </w:tc>
      </w:tr>
      <w:tr w:rsidR="001C185C" w:rsidRPr="001C185C" w:rsidTr="001C185C">
        <w:trPr>
          <w:trHeight w:val="750"/>
        </w:trPr>
        <w:tc>
          <w:tcPr>
            <w:tcW w:w="7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H. 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     138 622 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:rsidR="001C185C" w:rsidRPr="001C185C" w:rsidRDefault="001C185C" w:rsidP="001C18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185C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89 357   </w:t>
            </w:r>
          </w:p>
        </w:tc>
      </w:tr>
    </w:tbl>
    <w:p w:rsidR="00F11A95" w:rsidRDefault="00F11A95"/>
    <w:p w:rsidR="00EA1F11" w:rsidRDefault="00EA1F11">
      <w:bookmarkStart w:id="0" w:name="_GoBack"/>
      <w:bookmarkEnd w:id="0"/>
    </w:p>
    <w:sectPr w:rsidR="00EA1F1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4CF" w:rsidRDefault="002204CF" w:rsidP="002204CF">
      <w:pPr>
        <w:spacing w:after="0" w:line="240" w:lineRule="auto"/>
      </w:pPr>
      <w:r>
        <w:separator/>
      </w:r>
    </w:p>
  </w:endnote>
  <w:endnote w:type="continuationSeparator" w:id="0">
    <w:p w:rsidR="002204CF" w:rsidRDefault="002204CF" w:rsidP="00220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4CF" w:rsidRDefault="002204CF" w:rsidP="002204CF">
      <w:pPr>
        <w:spacing w:after="0" w:line="240" w:lineRule="auto"/>
      </w:pPr>
      <w:r>
        <w:separator/>
      </w:r>
    </w:p>
  </w:footnote>
  <w:footnote w:type="continuationSeparator" w:id="0">
    <w:p w:rsidR="002204CF" w:rsidRDefault="002204CF" w:rsidP="00220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45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99"/>
      <w:gridCol w:w="2601"/>
      <w:gridCol w:w="517"/>
      <w:gridCol w:w="348"/>
      <w:gridCol w:w="348"/>
      <w:gridCol w:w="348"/>
      <w:gridCol w:w="348"/>
      <w:gridCol w:w="322"/>
      <w:gridCol w:w="348"/>
      <w:gridCol w:w="348"/>
      <w:gridCol w:w="322"/>
      <w:gridCol w:w="348"/>
      <w:gridCol w:w="348"/>
    </w:tblGrid>
    <w:tr w:rsidR="002204CF" w:rsidRPr="003F477D" w:rsidTr="002204CF">
      <w:trPr>
        <w:trHeight w:val="355"/>
      </w:trPr>
      <w:tc>
        <w:tcPr>
          <w:tcW w:w="31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204CF" w:rsidRPr="003F477D" w:rsidRDefault="002204CF" w:rsidP="00EA4E49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lang w:eastAsia="sk-SK"/>
            </w:rPr>
            <w:t>Úč</w:t>
          </w:r>
          <w:proofErr w:type="spellEnd"/>
          <w:r w:rsidRPr="003F477D">
            <w:rPr>
              <w:color w:val="000000"/>
              <w:lang w:eastAsia="sk-SK"/>
            </w:rPr>
            <w:t xml:space="preserve"> POD 3 - 04</w:t>
          </w:r>
        </w:p>
      </w:tc>
      <w:tc>
        <w:tcPr>
          <w:tcW w:w="260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 xml:space="preserve">  </w:t>
          </w:r>
        </w:p>
      </w:tc>
      <w:tc>
        <w:tcPr>
          <w:tcW w:w="517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204CF" w:rsidRPr="003F477D" w:rsidRDefault="002204CF" w:rsidP="00EA4E49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3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3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3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3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8</w:t>
          </w:r>
        </w:p>
      </w:tc>
      <w:tc>
        <w:tcPr>
          <w:tcW w:w="3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3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3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3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04CF" w:rsidRPr="003F477D" w:rsidRDefault="002204CF" w:rsidP="00EA4E49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3</w:t>
          </w:r>
          <w:r w:rsidRPr="003F477D">
            <w:rPr>
              <w:lang w:eastAsia="sk-SK"/>
            </w:rPr>
            <w:t> </w:t>
          </w:r>
        </w:p>
      </w:tc>
    </w:tr>
  </w:tbl>
  <w:p w:rsidR="002204CF" w:rsidRDefault="002204C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85C"/>
    <w:rsid w:val="001C185C"/>
    <w:rsid w:val="002204CF"/>
    <w:rsid w:val="002C56B3"/>
    <w:rsid w:val="00EA1F11"/>
    <w:rsid w:val="00F1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1C185C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Arial Narrow"/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1C185C"/>
    <w:rPr>
      <w:rFonts w:ascii="Arial Narrow" w:eastAsia="Times New Roman" w:hAnsi="Arial Narrow" w:cs="Arial Narrow"/>
      <w:b/>
      <w:bCs/>
      <w:kern w:val="28"/>
    </w:rPr>
  </w:style>
  <w:style w:type="paragraph" w:styleId="Hlavika">
    <w:name w:val="header"/>
    <w:basedOn w:val="Normlny"/>
    <w:link w:val="HlavikaChar"/>
    <w:uiPriority w:val="99"/>
    <w:unhideWhenUsed/>
    <w:rsid w:val="00220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04CF"/>
  </w:style>
  <w:style w:type="paragraph" w:styleId="Pta">
    <w:name w:val="footer"/>
    <w:basedOn w:val="Normlny"/>
    <w:link w:val="PtaChar"/>
    <w:uiPriority w:val="99"/>
    <w:unhideWhenUsed/>
    <w:rsid w:val="00220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04CF"/>
  </w:style>
  <w:style w:type="paragraph" w:styleId="Textbubliny">
    <w:name w:val="Balloon Text"/>
    <w:basedOn w:val="Normlny"/>
    <w:link w:val="TextbublinyChar"/>
    <w:uiPriority w:val="99"/>
    <w:semiHidden/>
    <w:unhideWhenUsed/>
    <w:rsid w:val="002C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C5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1C185C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Arial Narrow"/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1C185C"/>
    <w:rPr>
      <w:rFonts w:ascii="Arial Narrow" w:eastAsia="Times New Roman" w:hAnsi="Arial Narrow" w:cs="Arial Narrow"/>
      <w:b/>
      <w:bCs/>
      <w:kern w:val="28"/>
    </w:rPr>
  </w:style>
  <w:style w:type="paragraph" w:styleId="Hlavika">
    <w:name w:val="header"/>
    <w:basedOn w:val="Normlny"/>
    <w:link w:val="HlavikaChar"/>
    <w:uiPriority w:val="99"/>
    <w:unhideWhenUsed/>
    <w:rsid w:val="00220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04CF"/>
  </w:style>
  <w:style w:type="paragraph" w:styleId="Pta">
    <w:name w:val="footer"/>
    <w:basedOn w:val="Normlny"/>
    <w:link w:val="PtaChar"/>
    <w:uiPriority w:val="99"/>
    <w:unhideWhenUsed/>
    <w:rsid w:val="00220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04CF"/>
  </w:style>
  <w:style w:type="paragraph" w:styleId="Textbubliny">
    <w:name w:val="Balloon Text"/>
    <w:basedOn w:val="Normlny"/>
    <w:link w:val="TextbublinyChar"/>
    <w:uiPriority w:val="99"/>
    <w:semiHidden/>
    <w:unhideWhenUsed/>
    <w:rsid w:val="002C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C5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Dasa Strhanova</dc:creator>
  <cp:lastModifiedBy>Dasa Strhanova</cp:lastModifiedBy>
  <cp:revision>1</cp:revision>
  <cp:lastPrinted>2014-03-26T09:38:00Z</cp:lastPrinted>
  <dcterms:created xsi:type="dcterms:W3CDTF">2014-03-26T08:39:00Z</dcterms:created>
  <dcterms:modified xsi:type="dcterms:W3CDTF">2014-03-26T09:40:00Z</dcterms:modified>
</cp:coreProperties>
</file>