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8F" w:rsidRPr="00E57029" w:rsidRDefault="00D72A4D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Poznámky k účtovnej závierke zostavenej k 31. decembru 201</w:t>
      </w:r>
      <w:r w:rsidR="00D92AE2" w:rsidRPr="00E57029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</w:p>
    <w:p w:rsidR="00D92AE2" w:rsidRPr="00E57029" w:rsidRDefault="00D92AE2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A. ZÁKLADNÉ INFORMÁCIE</w:t>
      </w:r>
    </w:p>
    <w:p w:rsidR="00260E8F" w:rsidRPr="00E57029" w:rsidRDefault="009806D6" w:rsidP="009806D6">
      <w:pPr>
        <w:pStyle w:val="Nadpis1"/>
        <w:spacing w:after="0" w:line="360" w:lineRule="auto"/>
        <w:ind w:left="-5" w:firstLine="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Obchodné meno a sídlo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Computer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and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Network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Systems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, spol. s 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r.o.</w:t>
      </w:r>
      <w:proofErr w:type="spellEnd"/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Železničná 11</w:t>
      </w:r>
      <w:bookmarkStart w:id="0" w:name="_GoBack"/>
      <w:bookmarkEnd w:id="0"/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935 61  Hronovce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DIČ: 2020154873                                     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IČO: 36522112</w:t>
      </w:r>
    </w:p>
    <w:p w:rsidR="00260E8F" w:rsidRPr="00E57029" w:rsidRDefault="00D72A4D" w:rsidP="00D92AE2">
      <w:pPr>
        <w:spacing w:after="0" w:line="360" w:lineRule="auto"/>
        <w:ind w:left="421" w:firstLine="28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Computer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and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Network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Systems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spol. s r.o.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(ďalej len „Spoločnosť“) bola založená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27.11</w:t>
      </w:r>
      <w:r w:rsidR="00D92AE2" w:rsidRPr="00E57029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1996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a do Obchodného registra bola zapísaná: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29.07.1997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Obchodný register Okresného súdu v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Nitre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oddiel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Sro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vložka č. </w:t>
      </w:r>
      <w:r w:rsidR="00DB0BDA" w:rsidRPr="00E57029">
        <w:rPr>
          <w:rStyle w:val="ra"/>
          <w:rFonts w:ascii="Times New Roman" w:hAnsi="Times New Roman" w:cs="Times New Roman"/>
          <w:color w:val="auto"/>
          <w:sz w:val="24"/>
          <w:szCs w:val="24"/>
        </w:rPr>
        <w:t>10433/N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Hlavná činnosť spoločnosti podľa výpisu z Obchodného registra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Veľkoobchod s počítačmi, počítačovými periférnymi zariadeniami a softvérom.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Neobmedzené ručenie</w:t>
      </w:r>
    </w:p>
    <w:p w:rsidR="00260E8F" w:rsidRPr="00E57029" w:rsidRDefault="00DB0BDA" w:rsidP="00D92AE2">
      <w:pPr>
        <w:spacing w:after="0" w:line="360" w:lineRule="auto"/>
        <w:ind w:left="-5" w:firstLine="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</w:t>
      </w:r>
      <w:r w:rsidR="00D72A4D"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t>Spoločnosť nie je neobmedzene ručiacim spoločníkom v iných účtovných jednotkách.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Priemerný počet zamestnancov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Spoločnosť mala v roku 201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priemerne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zamestnancov), z toho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2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vedúc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ich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pracovník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ov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Právny dôvod na zostavenie účtovnej závierky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k 31. decembru 201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je zostavená ako riadna účtovná závierka podľa § 17 ods. 6 zákona NR SR č. 431/2002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Z.z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>. o účtovníctve (ďalej len „zákon o účtovníctve“) za účtovné obdobie od 1. januára 201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do 31. decembra 201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Dátum schválenia účtovnej závierky za predchádzajúce účtovné obdobie</w:t>
      </w:r>
    </w:p>
    <w:p w:rsidR="00DB0BDA" w:rsidRPr="00E57029" w:rsidRDefault="00DB0BDA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Valné zhromaždenie spoločnosti schválilo dňa 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25.3.2013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účtovnú závierku Spoločnosti za predchádzajúce účtovné obdobie /2012/.</w:t>
      </w:r>
    </w:p>
    <w:p w:rsidR="00DB0BDA" w:rsidRPr="00E57029" w:rsidRDefault="00DB0BDA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B.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ORGÁNY A </w:t>
      </w:r>
      <w:r w:rsidRPr="00E5702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SPOLOČNÍCI/ AKCIONÁRI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SPOLOČNOSTI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 </w:t>
      </w:r>
      <w:r w:rsidR="00D72A4D" w:rsidRPr="00E57029">
        <w:rPr>
          <w:color w:val="auto"/>
          <w:sz w:val="24"/>
          <w:szCs w:val="24"/>
        </w:rPr>
        <w:t xml:space="preserve">Orgány Spoločnosti 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Štatutárny orgán – Valné zhromaždenie:</w:t>
      </w:r>
    </w:p>
    <w:p w:rsidR="00DB0BDA" w:rsidRPr="00E57029" w:rsidRDefault="00DB0BDA" w:rsidP="00D92AE2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Ing. Csaba Molnár,  výška podielu spoločníka: 50%</w:t>
      </w:r>
    </w:p>
    <w:p w:rsidR="00DB0BDA" w:rsidRPr="00E57029" w:rsidRDefault="00DB0BDA" w:rsidP="00D92AE2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Róbert Kováč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,  výška podielu spoločníka: 50%</w:t>
      </w:r>
    </w:p>
    <w:p w:rsidR="00260E8F" w:rsidRPr="00E57029" w:rsidRDefault="00D72A4D" w:rsidP="00D92AE2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260E8F" w:rsidRPr="00E57029" w:rsidRDefault="00D72A4D" w:rsidP="009806D6">
      <w:pPr>
        <w:tabs>
          <w:tab w:val="left" w:pos="142"/>
        </w:tabs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C. KONSOLIDOVANÝ CELOK</w:t>
      </w:r>
      <w:r w:rsidR="009806D6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nie</w:t>
      </w:r>
    </w:p>
    <w:p w:rsidR="00260E8F" w:rsidRPr="00E57029" w:rsidRDefault="00D72A4D" w:rsidP="009806D6">
      <w:pPr>
        <w:pStyle w:val="Nadpis1"/>
        <w:spacing w:after="0" w:line="360" w:lineRule="auto"/>
        <w:ind w:left="0"/>
        <w:rPr>
          <w:color w:val="auto"/>
          <w:sz w:val="24"/>
          <w:szCs w:val="24"/>
        </w:rPr>
      </w:pPr>
      <w:r w:rsidRPr="00E57029">
        <w:rPr>
          <w:rFonts w:eastAsia="Arial"/>
          <w:color w:val="auto"/>
          <w:sz w:val="24"/>
          <w:szCs w:val="24"/>
        </w:rPr>
        <w:t>D. ÚČTOVNÉ METÓDY A VŠEOBECNÉ ÚČTOVNÉ ZÁSADY</w:t>
      </w:r>
    </w:p>
    <w:p w:rsidR="00260E8F" w:rsidRPr="00E57029" w:rsidRDefault="00D72A4D" w:rsidP="00D92AE2">
      <w:pPr>
        <w:pStyle w:val="Nadpis2"/>
        <w:tabs>
          <w:tab w:val="center" w:pos="2562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a)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Východiská pre zostavenie účtovnej závierky</w:t>
      </w:r>
    </w:p>
    <w:p w:rsidR="00260E8F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9806D6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Účtovné metódy a všeobecné účtovné zásady Spoločnosť aplikovala konzistentne s predchádzajúcim účtovným obdobím s výnimkou zmien súvisiacich so zavedením eura, ako je uvedené nižšie, a spôsobu účtovania o cudzej mene (bod D., ods. t)).</w:t>
      </w:r>
    </w:p>
    <w:p w:rsidR="00260E8F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Slovenská republika prijala euro ako výlučné zákonné platidlo s účinnosťou od 1. januára 2009. Prechod zo slovenskej koruny na euro, vrátane ocenenia majetku, záväzkov a vlastného imania sa uskutočnil použitím schváleného konverzného kurzu 1 EUR = 30,1260 Sk. </w:t>
      </w:r>
    </w:p>
    <w:p w:rsidR="00260E8F" w:rsidRPr="00E57029" w:rsidRDefault="00D72A4D" w:rsidP="009806D6">
      <w:pPr>
        <w:spacing w:after="0" w:line="36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Spoločnosť prepočítala konverzným kurzom jednotlivé zložky aktív a pasív s výnimkou:</w:t>
      </w:r>
    </w:p>
    <w:p w:rsidR="00260E8F" w:rsidRPr="00E57029" w:rsidRDefault="00D72A4D" w:rsidP="00EC7407">
      <w:pPr>
        <w:numPr>
          <w:ilvl w:val="0"/>
          <w:numId w:val="1"/>
        </w:numPr>
        <w:spacing w:after="0" w:line="360" w:lineRule="auto"/>
        <w:ind w:left="851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prijatých a poskytnutých preddavkov v eurách, ktoré prepočítala kurzom platným v čase prijatia a poskytnutia preddavku,</w:t>
      </w:r>
    </w:p>
    <w:p w:rsidR="00260E8F" w:rsidRPr="00E57029" w:rsidRDefault="00D72A4D" w:rsidP="00EC7407">
      <w:pPr>
        <w:numPr>
          <w:ilvl w:val="0"/>
          <w:numId w:val="1"/>
        </w:numPr>
        <w:spacing w:after="0" w:line="360" w:lineRule="auto"/>
        <w:ind w:left="851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 časového rozlíšenia v eurách, ktoré prepočítala kurzom platným ku dňu uskutočnenia účtovného prípadu,</w:t>
      </w:r>
    </w:p>
    <w:p w:rsidR="00260E8F" w:rsidRPr="00E57029" w:rsidRDefault="00D72A4D" w:rsidP="009806D6">
      <w:pPr>
        <w:spacing w:after="0" w:line="360" w:lineRule="auto"/>
        <w:ind w:left="284" w:firstLine="287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vykonala konverziu v súlade s príslušnou legislatívou prijatou v Slovenskej republike. 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Zmeny metódy, dôvod zmeny a ich vplyv na vlastné imanie, hospodársky výsledok, celkovú výšku majetku a záväzkov sú podrobne popísané nižšie (v relevantných častiach).</w:t>
      </w:r>
    </w:p>
    <w:p w:rsidR="00EC7407" w:rsidRPr="00E57029" w:rsidRDefault="00EC7407" w:rsidP="009806D6">
      <w:pPr>
        <w:spacing w:after="0" w:line="360" w:lineRule="auto"/>
        <w:ind w:left="284" w:firstLine="287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Dlhodobý nehmotný a dlhodobý hmotný majetok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DHM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38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234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Zásoby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528,- €</w:t>
      </w:r>
    </w:p>
    <w:p w:rsidR="00DB0BDA" w:rsidRPr="00E57029" w:rsidRDefault="00DB0BDA" w:rsidP="00D92AE2">
      <w:pPr>
        <w:spacing w:after="0" w:line="360" w:lineRule="auto"/>
        <w:ind w:left="426" w:firstLine="28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Tovar 9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528,- €</w:t>
      </w: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Pohľadávky z obchodného styku: </w:t>
      </w:r>
      <w:r w:rsidR="00DB0BDA" w:rsidRPr="00E57029">
        <w:rPr>
          <w:rFonts w:ascii="Times New Roman" w:hAnsi="Times New Roman" w:cs="Times New Roman"/>
          <w:b/>
          <w:color w:val="auto"/>
          <w:sz w:val="24"/>
          <w:szCs w:val="24"/>
        </w:rPr>
        <w:t>40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B0BDA" w:rsidRPr="00E57029">
        <w:rPr>
          <w:rFonts w:ascii="Times New Roman" w:hAnsi="Times New Roman" w:cs="Times New Roman"/>
          <w:b/>
          <w:color w:val="auto"/>
          <w:sz w:val="24"/>
          <w:szCs w:val="24"/>
        </w:rPr>
        <w:t>374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Pohľadávky voči spoločníkom: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pStyle w:val="Nadpis2"/>
        <w:tabs>
          <w:tab w:val="center" w:pos="1098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e)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Finančné účty</w:t>
      </w:r>
    </w:p>
    <w:p w:rsidR="00DB0BDA" w:rsidRPr="00E57029" w:rsidRDefault="00D72A4D" w:rsidP="00D92AE2">
      <w:pPr>
        <w:spacing w:after="0" w:line="360" w:lineRule="auto"/>
        <w:ind w:left="421" w:right="6753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Pokladňa: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1 739,-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€ </w:t>
      </w:r>
    </w:p>
    <w:p w:rsidR="00260E8F" w:rsidRPr="00E57029" w:rsidRDefault="00D72A4D" w:rsidP="00D92AE2">
      <w:pPr>
        <w:spacing w:after="0" w:line="360" w:lineRule="auto"/>
        <w:ind w:left="421" w:right="6753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Banka: 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39 510,-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pStyle w:val="Nadpis2"/>
        <w:tabs>
          <w:tab w:val="center" w:pos="192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f)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Náklady budúcich období : 0 €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Náklady budúcich období sú vykázané vo výške, ktorá je potrebná na dodržanie zásady vecnej a časovej súvislosti s účtovným obdobím.</w:t>
      </w:r>
    </w:p>
    <w:p w:rsidR="00260E8F" w:rsidRPr="00E57029" w:rsidRDefault="00D72A4D" w:rsidP="00D92AE2">
      <w:pPr>
        <w:pStyle w:val="Nadpis2"/>
        <w:tabs>
          <w:tab w:val="center" w:pos="81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lastRenderedPageBreak/>
        <w:t>g)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Záväzky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70 611,- €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 obchodného styku: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62 081,-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voči spoločníkom: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0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voči zamestnancom: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1 472,-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260E8F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zo sociálneho poistenia: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796,-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9806D6" w:rsidRPr="00E57029" w:rsidRDefault="00D72A4D" w:rsidP="009806D6">
      <w:pPr>
        <w:spacing w:after="0" w:line="360" w:lineRule="auto"/>
        <w:ind w:left="421" w:right="40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daňové záväzky: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4 958,-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260E8F" w:rsidRPr="00E57029" w:rsidRDefault="00D72A4D" w:rsidP="009806D6">
      <w:pPr>
        <w:spacing w:after="0" w:line="360" w:lineRule="auto"/>
        <w:ind w:left="421" w:right="40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zo sociálneho fondu: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1 304,-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€ </w:t>
      </w:r>
    </w:p>
    <w:p w:rsidR="00260E8F" w:rsidRPr="00E57029" w:rsidRDefault="00D72A4D" w:rsidP="00D92AE2">
      <w:pPr>
        <w:pStyle w:val="Nadpis2"/>
        <w:tabs>
          <w:tab w:val="center" w:pos="1548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h)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Zamestnanecké požitky</w:t>
      </w:r>
    </w:p>
    <w:p w:rsidR="00260E8F" w:rsidRPr="00E57029" w:rsidRDefault="00D72A4D" w:rsidP="00D92AE2">
      <w:pPr>
        <w:spacing w:after="0" w:line="360" w:lineRule="auto"/>
        <w:ind w:left="421" w:right="95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Platy, mzdy, príspevky do štátnych dôchodkových a poistných fondov, platená ročná dovolenka a platená zdravotná dovolenka, bonusy a ostatné nepeňažné požitky (napr. zdravotná starostlivosť) sa účtujú v účtovnom období, v ktorom ich zamestnanci Spoločnosti využili. </w:t>
      </w:r>
    </w:p>
    <w:p w:rsidR="00260E8F" w:rsidRPr="00E57029" w:rsidRDefault="00D72A4D" w:rsidP="00D92AE2">
      <w:pPr>
        <w:tabs>
          <w:tab w:val="center" w:pos="2566"/>
          <w:tab w:val="right" w:pos="9730"/>
        </w:tabs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Priemerný počet zamestnancov k 31. decembru 201</w:t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3                                                               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:rsidR="00D92AE2" w:rsidRPr="00E57029" w:rsidRDefault="00D72A4D" w:rsidP="00D92AE2">
      <w:pPr>
        <w:spacing w:after="0" w:line="360" w:lineRule="auto"/>
        <w:ind w:left="429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Percento zamestnancov, ktorí ukončia zamestnanecký pomer so Spoločnosťou </w:t>
      </w:r>
    </w:p>
    <w:p w:rsidR="00260E8F" w:rsidRPr="00E57029" w:rsidRDefault="00D92AE2" w:rsidP="00D92AE2">
      <w:pPr>
        <w:spacing w:after="0" w:line="360" w:lineRule="auto"/>
        <w:ind w:left="429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pred odcho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dom do dôchodku (miera ukončenia)</w:t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0</w:t>
      </w:r>
    </w:p>
    <w:p w:rsidR="00D92AE2" w:rsidRPr="00E57029" w:rsidRDefault="00D72A4D" w:rsidP="00D92AE2">
      <w:pPr>
        <w:spacing w:after="0" w:line="360" w:lineRule="auto"/>
        <w:ind w:left="0" w:firstLine="43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Predpokladané zvýšenie miezd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10 %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60E8F" w:rsidRPr="00E57029" w:rsidRDefault="00D72A4D" w:rsidP="00D92AE2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i) </w:t>
      </w:r>
      <w:r w:rsidR="00D92AE2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Splatná daň z príjmu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168,- €</w:t>
      </w:r>
    </w:p>
    <w:p w:rsidR="00260E8F" w:rsidRPr="00E57029" w:rsidRDefault="00D72A4D" w:rsidP="00D92AE2">
      <w:pPr>
        <w:spacing w:after="0" w:line="360" w:lineRule="auto"/>
        <w:ind w:left="411" w:right="6469"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j)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Odložená daň z príjmu </w:t>
      </w:r>
      <w:r w:rsidR="00D92AE2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ie</w:t>
      </w:r>
    </w:p>
    <w:p w:rsidR="00260E8F" w:rsidRPr="00E57029" w:rsidRDefault="00D72A4D" w:rsidP="00D92AE2">
      <w:pPr>
        <w:pStyle w:val="Nadpis2"/>
        <w:tabs>
          <w:tab w:val="center" w:pos="2952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k)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Výdavky budúcich období a výnosy budúcich období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0,-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Výdavky budúcich období a výnosy budúcich období sú vykázané vo výške, ktorá je potrebná na dodržanie zásady vecnej a časovej súvislosti s účtovným obdobím.</w:t>
      </w:r>
    </w:p>
    <w:p w:rsidR="00260E8F" w:rsidRPr="00E57029" w:rsidRDefault="00D72A4D" w:rsidP="00D92AE2">
      <w:pPr>
        <w:pStyle w:val="Nadpis2"/>
        <w:tabs>
          <w:tab w:val="center" w:pos="2273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l)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Vlastné imanie, Zákonný rezervný fond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Základné imanie celkom: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639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Splatené: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639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Nesplatené: 0</w:t>
      </w:r>
    </w:p>
    <w:p w:rsidR="00260E8F" w:rsidRPr="00E57029" w:rsidRDefault="00D72A4D" w:rsidP="00D92AE2">
      <w:pPr>
        <w:pStyle w:val="Nadpis2"/>
        <w:spacing w:after="0" w:line="360" w:lineRule="auto"/>
        <w:ind w:left="43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Zákonný rezervný fond: </w:t>
      </w:r>
      <w:r w:rsidR="00D92AE2"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>1 106,-</w:t>
      </w:r>
      <w:r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€</w:t>
      </w:r>
    </w:p>
    <w:p w:rsidR="00EC7407" w:rsidRPr="00E57029" w:rsidRDefault="00EC7407" w:rsidP="00EC7407">
      <w:pPr>
        <w:rPr>
          <w:color w:val="auto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na základe platnej legislatívy SR nemá povinnosť zostaviť výkaz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Cash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Flow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Zostavené dňa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.3.201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4</w:t>
      </w:r>
    </w:p>
    <w:sectPr w:rsidR="00260E8F" w:rsidRPr="00E57029">
      <w:headerReference w:type="even" r:id="rId8"/>
      <w:headerReference w:type="default" r:id="rId9"/>
      <w:headerReference w:type="first" r:id="rId10"/>
      <w:pgSz w:w="11900" w:h="16840"/>
      <w:pgMar w:top="1759" w:right="1034" w:bottom="1318" w:left="1136" w:header="7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D6" w:rsidRDefault="009806D6">
      <w:pPr>
        <w:spacing w:after="0" w:line="240" w:lineRule="auto"/>
      </w:pPr>
      <w:r>
        <w:separator/>
      </w:r>
    </w:p>
  </w:endnote>
  <w:endnote w:type="continuationSeparator" w:id="0">
    <w:p w:rsidR="009806D6" w:rsidRDefault="0098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D6" w:rsidRDefault="009806D6">
      <w:pPr>
        <w:spacing w:after="0" w:line="240" w:lineRule="auto"/>
      </w:pPr>
      <w:r>
        <w:separator/>
      </w:r>
    </w:p>
  </w:footnote>
  <w:footnote w:type="continuationSeparator" w:id="0">
    <w:p w:rsidR="009806D6" w:rsidRDefault="0098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Default="009806D6">
    <w:pPr>
      <w:tabs>
        <w:tab w:val="right" w:pos="973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756920</wp:posOffset>
              </wp:positionV>
              <wp:extent cx="6120130" cy="5080"/>
              <wp:effectExtent l="0" t="0" r="0" b="0"/>
              <wp:wrapSquare wrapText="bothSides"/>
              <wp:docPr id="2142" name="Group 2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60" name="Shape 2260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DBFAF09" id="Group 2142" o:spid="_x0000_s1026" style="position:absolute;margin-left:56.7pt;margin-top:59.6pt;width:481.9pt;height:.4pt;z-index:251658240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">
              <v:shape id="Shape 2260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7FcEA&#10;AADdAAAADwAAAGRycy9kb3ducmV2LnhtbERPy4rCMBTdC/5DuIIbGdMpIlJNyzAgCA6CD5jtpbk2&#10;ZZqb0sS2/v1kIbg8nPeuGG0jeup87VjB5zIBQVw6XXOl4Hbdf2xA+ICssXFMCp7kocinkx1m2g18&#10;pv4SKhFD2GeowITQZlL60pBFv3QtceTurrMYIuwqqTscYrhtZJoka2mx5thgsKVvQ+Xf5WEVeHna&#10;rBa6XaXN7bg3vz+Hoa+dUvPZ+LUFEWgMb/HLfdAK0nQd98c38Qn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n+xXBAAAA3QAAAA8AAAAAAAAAAAAAAAAAmAIAAGRycy9kb3du&#10;cmV2LnhtbFBLBQYAAAAABAAEAPUAAACGAwAAAAA=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>STAVŚING REAL s.r.o.</w:t>
    </w:r>
    <w:r>
      <w:rPr>
        <w:i/>
        <w:color w:val="FF0000"/>
      </w:rPr>
      <w:tab/>
    </w:r>
    <w:r>
      <w:t xml:space="preserve">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Pr="00D92AE2" w:rsidRDefault="009806D6">
    <w:pPr>
      <w:tabs>
        <w:tab w:val="right" w:pos="9730"/>
      </w:tabs>
      <w:spacing w:after="0" w:line="259" w:lineRule="auto"/>
      <w:ind w:left="0" w:firstLine="0"/>
      <w:jc w:val="left"/>
      <w:rPr>
        <w:rFonts w:ascii="Times New Roman" w:hAnsi="Times New Roman" w:cs="Times New Roman"/>
      </w:rPr>
    </w:pPr>
    <w:proofErr w:type="spellStart"/>
    <w:r w:rsidRPr="00D92AE2">
      <w:rPr>
        <w:rFonts w:ascii="Times New Roman" w:hAnsi="Times New Roman" w:cs="Times New Roman"/>
        <w:i/>
        <w:color w:val="auto"/>
      </w:rPr>
      <w:t>Computer</w:t>
    </w:r>
    <w:proofErr w:type="spellEnd"/>
    <w:r w:rsidRPr="00D92AE2">
      <w:rPr>
        <w:rFonts w:ascii="Times New Roman" w:hAnsi="Times New Roman" w:cs="Times New Roman"/>
        <w:i/>
        <w:color w:val="auto"/>
      </w:rPr>
      <w:t xml:space="preserve"> and </w:t>
    </w:r>
    <w:proofErr w:type="spellStart"/>
    <w:r w:rsidRPr="00D92AE2">
      <w:rPr>
        <w:rFonts w:ascii="Times New Roman" w:hAnsi="Times New Roman" w:cs="Times New Roman"/>
        <w:i/>
        <w:color w:val="auto"/>
      </w:rPr>
      <w:t>Network</w:t>
    </w:r>
    <w:proofErr w:type="spellEnd"/>
    <w:r w:rsidRPr="00D92AE2">
      <w:rPr>
        <w:rFonts w:ascii="Times New Roman" w:hAnsi="Times New Roman" w:cs="Times New Roman"/>
        <w:i/>
        <w:color w:val="auto"/>
      </w:rPr>
      <w:t xml:space="preserve"> </w:t>
    </w:r>
    <w:proofErr w:type="spellStart"/>
    <w:r w:rsidRPr="00D92AE2">
      <w:rPr>
        <w:rFonts w:ascii="Times New Roman" w:hAnsi="Times New Roman" w:cs="Times New Roman"/>
        <w:i/>
        <w:color w:val="auto"/>
      </w:rPr>
      <w:t>Systems</w:t>
    </w:r>
    <w:proofErr w:type="spellEnd"/>
    <w:r w:rsidRPr="00D92AE2">
      <w:rPr>
        <w:rFonts w:ascii="Times New Roman" w:hAnsi="Times New Roman" w:cs="Times New Roman"/>
        <w:i/>
        <w:color w:val="auto"/>
      </w:rPr>
      <w:t>, spol. s r.o.</w:t>
    </w:r>
    <w:r w:rsidRPr="00D92AE2">
      <w:rPr>
        <w:rFonts w:ascii="Times New Roman" w:hAnsi="Times New Roman" w:cs="Times New Roman"/>
        <w:i/>
        <w:color w:val="FF0000"/>
      </w:rPr>
      <w:tab/>
    </w:r>
    <w:r w:rsidRPr="00D92AE2">
      <w:rPr>
        <w:rFonts w:ascii="Times New Roman" w:hAnsi="Times New Roman" w:cs="Times New Roman"/>
      </w:rPr>
      <w:t xml:space="preserve">    </w:t>
    </w:r>
    <w:r w:rsidRPr="00D92AE2">
      <w:rPr>
        <w:rFonts w:ascii="Times New Roman" w:hAnsi="Times New Roman" w:cs="Times New Roman"/>
      </w:rPr>
      <w:fldChar w:fldCharType="begin"/>
    </w:r>
    <w:r w:rsidRPr="00D92AE2">
      <w:rPr>
        <w:rFonts w:ascii="Times New Roman" w:hAnsi="Times New Roman" w:cs="Times New Roman"/>
      </w:rPr>
      <w:instrText xml:space="preserve"> PAGE   \* MERGEFORMAT </w:instrText>
    </w:r>
    <w:r w:rsidRPr="00D92AE2">
      <w:rPr>
        <w:rFonts w:ascii="Times New Roman" w:hAnsi="Times New Roman" w:cs="Times New Roman"/>
      </w:rPr>
      <w:fldChar w:fldCharType="separate"/>
    </w:r>
    <w:r w:rsidR="00E57029" w:rsidRPr="00E57029">
      <w:rPr>
        <w:rFonts w:ascii="Times New Roman" w:eastAsia="Times New Roman" w:hAnsi="Times New Roman" w:cs="Times New Roman"/>
        <w:noProof/>
        <w:sz w:val="18"/>
      </w:rPr>
      <w:t>1</w:t>
    </w:r>
    <w:r w:rsidRPr="00D92AE2">
      <w:rPr>
        <w:rFonts w:ascii="Times New Roman" w:eastAsia="Times New Roman" w:hAnsi="Times New Roman" w:cs="Times New Roman"/>
        <w:sz w:val="18"/>
      </w:rPr>
      <w:fldChar w:fldCharType="end"/>
    </w:r>
  </w:p>
  <w:p w:rsidR="009806D6" w:rsidRPr="00D92AE2" w:rsidRDefault="009806D6">
    <w:pPr>
      <w:spacing w:after="0" w:line="259" w:lineRule="auto"/>
      <w:ind w:left="0" w:firstLine="0"/>
      <w:jc w:val="left"/>
      <w:rPr>
        <w:rFonts w:ascii="Times New Roman" w:hAnsi="Times New Roman" w:cs="Times New Roman"/>
      </w:rPr>
    </w:pPr>
    <w:r w:rsidRPr="00D92AE2">
      <w:rPr>
        <w:rFonts w:ascii="Times New Roman" w:eastAsia="Calibri" w:hAnsi="Times New Roman" w:cs="Times New Roman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095890" wp14:editId="22975273">
              <wp:simplePos x="0" y="0"/>
              <wp:positionH relativeFrom="page">
                <wp:posOffset>720090</wp:posOffset>
              </wp:positionH>
              <wp:positionV relativeFrom="page">
                <wp:posOffset>804545</wp:posOffset>
              </wp:positionV>
              <wp:extent cx="6120130" cy="5080"/>
              <wp:effectExtent l="0" t="0" r="0" b="0"/>
              <wp:wrapSquare wrapText="bothSides"/>
              <wp:docPr id="2128" name="Group 2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59" name="Shape 2259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128" o:spid="_x0000_s1026" style="position:absolute;margin-left:56.7pt;margin-top:63.35pt;width:481.9pt;height:.4pt;z-index:251659264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">
              <v:shape id="Shape 2259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YNcUA&#10;AADdAAAADwAAAGRycy9kb3ducmV2LnhtbESP3WrCQBSE7wt9h+UUvCl1Y1CxqauIIAiK4A/09pA9&#10;zYZmz4bsmsS3dwXBy2FmvmHmy95WoqXGl44VjIYJCOLc6ZILBZfz5msGwgdkjZVjUnAjD8vF+9sc&#10;M+06PlJ7CoWIEPYZKjAh1JmUPjdk0Q9dTRy9P9dYDFE2hdQNdhFuK5kmyVRaLDkuGKxpbSj/P12t&#10;Ai8Ps/GnrsdpddltzO9+27WlU2rw0a9+QATqwyv8bG+1gjSdfMPj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Zg1xQAAAN0AAAAPAAAAAAAAAAAAAAAAAJgCAABkcnMv&#10;ZG93bnJldi54bWxQSwUGAAAAAAQABAD1AAAAigMAAAAA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 w:rsidRPr="00D92AE2">
      <w:rPr>
        <w:rFonts w:ascii="Times New Roman" w:hAnsi="Times New Roman" w:cs="Times New Roman"/>
      </w:rPr>
      <w:t>Poznámky k účtovnej závierke zostavenej k 31. decembru 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Default="009806D6">
    <w:pPr>
      <w:tabs>
        <w:tab w:val="right" w:pos="973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756920</wp:posOffset>
              </wp:positionV>
              <wp:extent cx="6120130" cy="5080"/>
              <wp:effectExtent l="0" t="0" r="0" b="0"/>
              <wp:wrapSquare wrapText="bothSides"/>
              <wp:docPr id="2114" name="Group 2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58" name="Shape 2258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37F121B" id="Group 2114" o:spid="_x0000_s1026" style="position:absolute;margin-left:56.7pt;margin-top:59.6pt;width:481.9pt;height:.4pt;z-index:251660288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">
              <v:shape id="Shape 2258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9rsEA&#10;AADdAAAADwAAAGRycy9kb3ducmV2LnhtbERPy4rCMBTdD/gP4QpuBk0tjkg1igiC4CD4ALeX5toU&#10;m5vSxLb+vVkMzPJw3qtNbyvRUuNLxwqmkwQEce50yYWC23U/XoDwAVlj5ZgUvMnDZj34WmGmXcdn&#10;ai+hEDGEfYYKTAh1JqXPDVn0E1cTR+7hGoshwqaQusEuhttKpkkylxZLjg0Ga9oZyp+Xl1Xg5Wkx&#10;+9b1LK1ux725/x66tnRKjYb9dgkiUB/+xX/ug1aQpj9xbnw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9Pa7BAAAA3QAAAA8AAAAAAAAAAAAAAAAAmAIAAGRycy9kb3du&#10;cmV2LnhtbFBLBQYAAAAABAAEAPUAAACGAwAAAAA=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>STAVŚING REAL s.r.o.</w:t>
    </w:r>
    <w:r>
      <w:rPr>
        <w:i/>
        <w:color w:val="FF0000"/>
      </w:rPr>
      <w:tab/>
    </w:r>
    <w:r>
      <w:t xml:space="preserve">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22F3F"/>
    <w:multiLevelType w:val="hybridMultilevel"/>
    <w:tmpl w:val="92CE72BE"/>
    <w:lvl w:ilvl="0" w:tplc="87042858">
      <w:start w:val="2"/>
      <w:numFmt w:val="lowerLetter"/>
      <w:lvlText w:val="%1)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6806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B2F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847A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02D8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68D7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C72E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8CCC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A03D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F50434"/>
    <w:multiLevelType w:val="hybridMultilevel"/>
    <w:tmpl w:val="358A4446"/>
    <w:lvl w:ilvl="0" w:tplc="041B0001">
      <w:start w:val="1"/>
      <w:numFmt w:val="bullet"/>
      <w:lvlText w:val=""/>
      <w:lvlJc w:val="left"/>
      <w:pPr>
        <w:ind w:left="7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DC1770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2EB574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65EF2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53FE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B64B1E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67F8E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42BB8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E2AE34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8F"/>
    <w:rsid w:val="00260E8F"/>
    <w:rsid w:val="00777EDC"/>
    <w:rsid w:val="009806D6"/>
    <w:rsid w:val="00D72A4D"/>
    <w:rsid w:val="00D92AE2"/>
    <w:rsid w:val="00DB0BDA"/>
    <w:rsid w:val="00E57029"/>
    <w:rsid w:val="00E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paragraph" w:styleId="Zpat">
    <w:name w:val="footer"/>
    <w:basedOn w:val="Normln"/>
    <w:link w:val="Zpat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Standardnpsmoodstavce"/>
    <w:rsid w:val="00DB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paragraph" w:styleId="Zpat">
    <w:name w:val="footer"/>
    <w:basedOn w:val="Normln"/>
    <w:link w:val="Zpat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Standardnpsmoodstavce"/>
    <w:rsid w:val="00DB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Ing. Danka Kosibová - CNS s.r.o.</cp:lastModifiedBy>
  <cp:revision>3</cp:revision>
  <dcterms:created xsi:type="dcterms:W3CDTF">2014-03-17T12:20:00Z</dcterms:created>
  <dcterms:modified xsi:type="dcterms:W3CDTF">2014-03-17T12:21:00Z</dcterms:modified>
</cp:coreProperties>
</file>