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">
            <v:textbox style="mso-next-textbox:#_x0000_s1026" inset="0,0,1.5mm">
              <w:txbxContent>
                <w:p w:rsidR="00F40AFB" w:rsidRDefault="00F40AFB">
                  <w:pPr>
                    <w:jc w:val="right"/>
                    <w:rPr>
                      <w:rFonts w:ascii="Arial" w:hAnsi="Arial" w:cs="Arial"/>
                      <w:i w:val="0"/>
                      <w:iCs w:val="0"/>
                      <w:smallCaps w:val="0"/>
                      <w:snapToGrid w:val="0"/>
                      <w:sz w:val="18"/>
                      <w:szCs w:val="18"/>
                    </w:rPr>
                  </w:pPr>
                </w:p>
              </w:txbxContent>
            </v:textbox>
          </v:shape>
        </w:pic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>A. VŠEOBECNÉ ÚDAJE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a)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Obchodné meno spoločnosti: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 xml:space="preserve">Poľnonákup SLATINA a.s.  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Heading3"/>
        <w:rPr>
          <w:i/>
          <w:iCs/>
          <w:smallCaps/>
          <w:snapToGrid w:val="0"/>
        </w:rPr>
      </w:pPr>
      <w:r>
        <w:rPr>
          <w:i/>
          <w:iCs/>
          <w:smallCaps/>
          <w:snapToGrid w:val="0"/>
        </w:rPr>
        <w:t>Sídlo spoločnosti:</w:t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  <w:t xml:space="preserve">962 61  Breziny č. 131   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Dátum vzniku spoločnosti:                         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 xml:space="preserve">25.04.1992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Dátum založenia spoločnosti: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>25.04.1992</w:t>
      </w:r>
    </w:p>
    <w:p w:rsidR="00F40AFB" w:rsidRDefault="00F40AFB">
      <w:pPr>
        <w:pStyle w:val="Heading3"/>
        <w:rPr>
          <w:i/>
          <w:iCs/>
          <w:smallCaps/>
          <w:snapToGrid w:val="0"/>
        </w:rPr>
      </w:pPr>
      <w:r>
        <w:rPr>
          <w:i/>
          <w:iCs/>
          <w:smallCaps/>
          <w:snapToGrid w:val="0"/>
        </w:rPr>
        <w:t>Dátum zápisu do obchodného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registra: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>01.05.1992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Obchodný register Okresného súdu  Banská Bystrica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Oddiel: Sa, Vložka  č. 109/S  </w:t>
      </w:r>
    </w:p>
    <w:p w:rsidR="00F40AFB" w:rsidRDefault="00F40AFB">
      <w:pPr>
        <w:pStyle w:val="Heading3"/>
        <w:rPr>
          <w:i/>
          <w:iCs/>
          <w:smallCaps/>
          <w:snapToGrid w:val="0"/>
        </w:rPr>
      </w:pPr>
      <w:r>
        <w:rPr>
          <w:i/>
          <w:iCs/>
          <w:smallCaps/>
          <w:snapToGrid w:val="0"/>
        </w:rPr>
        <w:t>IČO:</w:t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</w:r>
      <w:r>
        <w:rPr>
          <w:i/>
          <w:iCs/>
          <w:smallCaps/>
          <w:snapToGrid w:val="0"/>
        </w:rPr>
        <w:tab/>
        <w:t>31563201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DIČ: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 xml:space="preserve">2020475039                                                            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Heading2"/>
        <w:jc w:val="left"/>
        <w:rPr>
          <w:b/>
          <w:bCs/>
          <w:i/>
          <w:iCs/>
          <w:smallCaps/>
          <w:snapToGrid w:val="0"/>
          <w:u w:val="none"/>
        </w:rPr>
      </w:pPr>
      <w:r>
        <w:rPr>
          <w:snapToGrid w:val="0"/>
          <w:u w:val="none"/>
        </w:rPr>
        <w:t>b</w:t>
      </w:r>
      <w:r>
        <w:rPr>
          <w:b/>
          <w:bCs/>
          <w:i/>
          <w:iCs/>
          <w:smallCaps/>
          <w:snapToGrid w:val="0"/>
          <w:u w:val="none"/>
        </w:rPr>
        <w:t>)</w:t>
      </w:r>
    </w:p>
    <w:p w:rsidR="00F40AFB" w:rsidRDefault="00F40AFB">
      <w:pPr>
        <w:pStyle w:val="Heading2"/>
        <w:jc w:val="left"/>
        <w:rPr>
          <w:snapToGrid w:val="0"/>
          <w:color w:val="000000"/>
          <w:sz w:val="22"/>
          <w:szCs w:val="22"/>
          <w:u w:val="none"/>
        </w:rPr>
      </w:pPr>
      <w:r>
        <w:rPr>
          <w:snapToGrid w:val="0"/>
          <w:color w:val="000000"/>
          <w:sz w:val="22"/>
          <w:szCs w:val="22"/>
          <w:u w:val="none"/>
        </w:rPr>
        <w:t>Opis hospodárskej činnosti spoločnosti:</w:t>
      </w:r>
      <w:r>
        <w:rPr>
          <w:snapToGrid w:val="0"/>
          <w:color w:val="000000"/>
          <w:sz w:val="22"/>
          <w:szCs w:val="22"/>
          <w:u w:val="none"/>
        </w:rPr>
        <w:tab/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00000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nákup, ošetrenie a odbyt rastlinných výrobkov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výroba kŕmnych zmesí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zásobovanie hospodárskymi potrebami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obchodná činnosť s vyššie uvedenými druhmi výrobkov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predaj motorových vozidiel /nákladných, úžitkových a osobných /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obchodná činnosť s výnimkou viazaných a koncesovaných činností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cestná nákladná doprava</w:t>
      </w:r>
    </w:p>
    <w:p w:rsidR="00F40AFB" w:rsidRDefault="00F40AFB">
      <w:pPr>
        <w:pStyle w:val="ListBullet"/>
      </w:pPr>
      <w:r>
        <w:rPr>
          <w:smallCaps/>
        </w:rPr>
        <w:t xml:space="preserve">- </w:t>
      </w:r>
      <w:r>
        <w:t>poľnohospodárstvo včítane predaja nespracovaných poľnohospodárskych výrobkov za účelom</w:t>
      </w:r>
    </w:p>
    <w:p w:rsidR="00F40AFB" w:rsidRDefault="00F40AFB">
      <w:pPr>
        <w:pStyle w:val="ListBullet"/>
      </w:pPr>
      <w:r>
        <w:t xml:space="preserve">   spracovania, alebo ďalšieho predaja</w:t>
      </w:r>
    </w:p>
    <w:p w:rsidR="00F40AFB" w:rsidRDefault="00F40AFB">
      <w:pPr>
        <w:pStyle w:val="ListBullet"/>
      </w:pPr>
      <w:r>
        <w:t xml:space="preserve">- prevádzkovanie verejného skladu </w:t>
      </w:r>
    </w:p>
    <w:p w:rsidR="00F40AFB" w:rsidRDefault="00F40AFB">
      <w:pPr>
        <w:pStyle w:val="ListBullet"/>
      </w:pPr>
      <w:r>
        <w:t xml:space="preserve">- vedenie účtovnej evidencie                                                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c)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Spoločnosť nie je neobmedzene ručiacim spoločníkom v iných účtovných jednotkách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d)</w:t>
      </w:r>
    </w:p>
    <w:p w:rsidR="00F40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Účtovná závierka je zostavená v zmysle § 17 ods.6 zákona č.431/2002 Zb. o účtovníctve, </w:t>
      </w:r>
    </w:p>
    <w:p w:rsidR="00F40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v znení neskorších predpisov ako riadna účtovná závierka, a to za obdobie od 1. januára 2013</w:t>
      </w:r>
    </w:p>
    <w:p w:rsidR="00F40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do 31. decembra 2013.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e)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Valné zhromaždenie konané dňa 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000000"/>
        </w:rPr>
        <w:t>04.07. 2013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FF0000"/>
        </w:rPr>
        <w:t xml:space="preserve">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v súlade s Obchodným zákonníkom schválilo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riadnu účtovnú závierku za rok 2013.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Title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40AF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Bezprostredne predchádzajúce účtovné obdobie</w:t>
            </w:r>
          </w:p>
        </w:tc>
      </w:tr>
      <w:tr w:rsidR="00F40AF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1</w:t>
            </w:r>
          </w:p>
        </w:tc>
      </w:tr>
      <w:tr w:rsidR="00F40AF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</w:tr>
      <w:tr w:rsidR="00F40AF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  <w:highlight w:val="green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  <w:highlight w:val="green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</w:tr>
    </w:tbl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>C. INFORMÁCIE O KONSOLIDOVANOM CELKU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</w:rPr>
        <w:t xml:space="preserve">  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a), b), c)  Účtovná jednotka nie je pre žiadnu konsolidujúcu účtovnú jednotku konsolidovanou účtovnou jednotkou.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 xml:space="preserve">D. ĎALŠIE INFORMÁCIE :                       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>E. POUŽITÉ ÚČTOVNÉ ZÁSADY A ÚČTOVNÉ METÓDY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1) Účtovná jednotka použila účtovné zásady a účtovné metódy spôsobom, ktorý vychádza z predpokladu, že bude nepretržite  pokračovať vo svojej činnosti a že u nej nenastáva žiadna skutočnosť, ktorá by ju obmedzovala alebo jej zabraňovala v tejto činnosti pokračovať aj v blízkej budúcnosti, min.12 mesiacov od dátumu, ku ktorému sa zostavila riadna účtovná závierka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2) V priebehu účtovného obdobia nenastali žiadne zmeny účtovných zásad a účtovných metód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3) Spôsob oceňovania jednotlivých zložiek majetku a záväzkov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Účtovná jednotka oceňovala majetok a záväzky: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ku dňu uskutočnenia účtovného prípadu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ku dňu , ku ktorému sa zostavuje účtovná závierka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k inému dňu v priebehu účtovného obdobia, ak sa to vyžaduje podľa osobitného predpisu </w:t>
      </w:r>
    </w:p>
    <w:p w:rsidR="00F40AFB" w:rsidRDefault="00F40AFB">
      <w:pPr>
        <w:pStyle w:val="Heading4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DN a DH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Spoločnosť svoj dlhodobý majetok v zmysle Zákona o účtovníctve č.431/2002 Zb. a zákona o dani z príjmov č.595/2003 Zb. v znení neskorších predpisov a novelizovaných postupov účtovania pre podnikateľov rozdeľuje na: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Heading3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Dlhodobý nehmotný 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ListBullet"/>
      </w:pPr>
      <w:r>
        <w:t>Jedná sa o zriaďovacie náklady, aktivované náklady na vývoj, software, oceniteľné práva, goodwill,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  <w:u w:val="none"/>
        </w:rPr>
      </w:pPr>
      <w:r>
        <w:rPr>
          <w:b/>
          <w:bCs/>
          <w:snapToGrid w:val="0"/>
          <w:sz w:val="22"/>
          <w:szCs w:val="22"/>
          <w:u w:val="none"/>
        </w:rPr>
        <w:t>Dlhodobý hmotný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ListBullet"/>
      </w:pPr>
      <w:r>
        <w:t>Jedná sa o pozemky, stavby, samost. hnuteľné veci a súbory hnuteľ.vecí, pestovateľské celky trvalých porastov, základné stádo a ťažné zvieratá, ostatný dlhod.hmotný majetok, ktorého vstupná cena je vyššia ako 1 700,- Eur a doba použiteľnosti dlhšia  ako jeden rok, s výnimkou drobného DHM, kde vstupná cena je vyššia ako 332,- Eur a nižšia ako 1 699,99 Eur. U trvalých porastov doba použitia viac ako 3 roky.</w:t>
      </w:r>
    </w:p>
    <w:p w:rsidR="00F40AFB" w:rsidRDefault="00F40AFB">
      <w:pPr>
        <w:pStyle w:val="ListBullet"/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  <w:u w:val="none"/>
        </w:rPr>
      </w:pPr>
      <w:r>
        <w:rPr>
          <w:b/>
          <w:bCs/>
          <w:snapToGrid w:val="0"/>
          <w:sz w:val="22"/>
          <w:szCs w:val="22"/>
          <w:u w:val="none"/>
        </w:rPr>
        <w:t>Oceňujeme: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>-  obstarávacími cenami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dlhodobý nehmotný a hmotný majetok obstaraný kúpou vrátane nákladov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   súvisiacich s obstaraním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dlhodobý finančný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zásoby obstarané kúpou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pohľadávky pri odplatnom nadobudnutí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záväzky pri ich prevzatí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krátkodobý finančný majetok obstaraný kúpou</w:t>
      </w:r>
    </w:p>
    <w:p w:rsidR="00F40AFB" w:rsidRDefault="00F40AFB">
      <w:pPr>
        <w:pStyle w:val="Header"/>
        <w:tabs>
          <w:tab w:val="clear" w:pos="4536"/>
          <w:tab w:val="clear" w:pos="9072"/>
        </w:tabs>
        <w:rPr>
          <w:b/>
          <w:bCs/>
          <w:i/>
          <w:iCs/>
          <w:smallCaps/>
          <w:snapToGrid w:val="0"/>
          <w:sz w:val="22"/>
          <w:szCs w:val="22"/>
          <w:lang w:val="sk-SK"/>
        </w:rPr>
      </w:pPr>
    </w:p>
    <w:p w:rsidR="00F40AFB" w:rsidRDefault="00F40AFB">
      <w:pPr>
        <w:pStyle w:val="BodyText"/>
        <w:rPr>
          <w:snapToGrid w:val="0"/>
          <w:sz w:val="22"/>
          <w:szCs w:val="22"/>
          <w:u w:val="single"/>
        </w:rPr>
      </w:pPr>
      <w:r>
        <w:rPr>
          <w:snapToGrid w:val="0"/>
          <w:sz w:val="22"/>
          <w:szCs w:val="22"/>
        </w:rPr>
        <w:t xml:space="preserve">-  </w:t>
      </w:r>
      <w:r>
        <w:rPr>
          <w:snapToGrid w:val="0"/>
          <w:sz w:val="22"/>
          <w:szCs w:val="22"/>
          <w:u w:val="single"/>
        </w:rPr>
        <w:t xml:space="preserve">vlastnými nákladmi    - </w:t>
      </w:r>
      <w:r>
        <w:rPr>
          <w:snapToGrid w:val="0"/>
          <w:sz w:val="22"/>
          <w:szCs w:val="22"/>
        </w:rPr>
        <w:t>u hmotného majetku vytvoreného vlastnou činnosťou – účtovná jednotka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                                        v priebehu účtov.obdobia neobstarávala majetok týmto spôsobom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 xml:space="preserve">iným spôsobom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u majetku nadobudnutého darovaním, u novozisteného a v účtovníctve neevidovaného napr.  </w:t>
      </w:r>
    </w:p>
    <w:p w:rsidR="00F40AFB" w:rsidRDefault="00F40AFB">
      <w:pPr>
        <w:ind w:left="1590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inventúrny prebytok – na základe odborného odhadu resp. znaleckého posudku - účtovná  jednotka v priebehu účtov.obdobia neobstarávala majetok týmto spôsobom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Do obstarávacích cien hmotného a nehmotného majetku sa zahŕňajú výdavky spojené s jeho obstaraním do času jeho zaradenia do používania a to sú: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ListBullet"/>
      </w:pPr>
      <w:r>
        <w:t xml:space="preserve">- príprava a zabezpečovanie výstavby /vrátane úrokov/, odvodov za dočasné odňatie </w:t>
      </w:r>
    </w:p>
    <w:p w:rsidR="00F40AFB" w:rsidRDefault="00F40AFB">
      <w:pPr>
        <w:pStyle w:val="ListBullet"/>
      </w:pPr>
      <w:r>
        <w:t>poľnohospodárskej pôdy a pod.,</w:t>
      </w:r>
    </w:p>
    <w:p w:rsidR="00F40AFB" w:rsidRDefault="00F40AFB">
      <w:pPr>
        <w:pStyle w:val="ListBullet"/>
      </w:pPr>
    </w:p>
    <w:p w:rsidR="00F40AFB" w:rsidRDefault="00F40AFB">
      <w:pPr>
        <w:pStyle w:val="ListBullet"/>
      </w:pPr>
      <w:r>
        <w:t>- náklady na projekty, expertízy, správne poplatky, kópie, preklady, technický dozor, revízne správy, skúšky, dopravné náklady, kurzové rozdiely aktívne a pasívne a pod.</w:t>
      </w:r>
    </w:p>
    <w:p w:rsidR="00F40AFB" w:rsidRDefault="00F40AFB">
      <w:pPr>
        <w:pStyle w:val="Heading6"/>
        <w:rPr>
          <w:b w:val="0"/>
          <w:bCs w:val="0"/>
          <w:snapToGrid w:val="0"/>
        </w:rPr>
      </w:pPr>
    </w:p>
    <w:p w:rsidR="00F40AFB" w:rsidRDefault="00F40AFB">
      <w:pPr>
        <w:pStyle w:val="Heading6"/>
        <w:rPr>
          <w:snapToGrid w:val="0"/>
        </w:rPr>
      </w:pPr>
      <w:r>
        <w:rPr>
          <w:snapToGrid w:val="0"/>
        </w:rPr>
        <w:t>ZÁSOBY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Účtovná jednotka delí zásoby na: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ListBullet"/>
      </w:pPr>
      <w:r>
        <w:t>skladový materiál</w:t>
      </w:r>
    </w:p>
    <w:p w:rsidR="00F40AFB" w:rsidRDefault="00F40AFB">
      <w:pPr>
        <w:pStyle w:val="ListBullet"/>
      </w:pPr>
      <w:r>
        <w:t>nedokončená výroba</w:t>
      </w:r>
    </w:p>
    <w:p w:rsidR="00F40AFB" w:rsidRDefault="00F40AFB">
      <w:pPr>
        <w:pStyle w:val="ListBullet"/>
      </w:pPr>
      <w:r>
        <w:t>výrobky</w:t>
      </w:r>
    </w:p>
    <w:p w:rsidR="00F40AFB" w:rsidRDefault="00F40AFB">
      <w:pPr>
        <w:pStyle w:val="ListBullet"/>
      </w:pPr>
      <w:r>
        <w:t>skladový tovar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  <w:u w:val="none"/>
        </w:rPr>
      </w:pPr>
      <w:r>
        <w:rPr>
          <w:b/>
          <w:bCs/>
          <w:snapToGrid w:val="0"/>
          <w:sz w:val="22"/>
          <w:szCs w:val="22"/>
          <w:u w:val="none"/>
        </w:rPr>
        <w:t>Skladový materiál: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ListBullet"/>
      </w:pPr>
      <w:r>
        <w:t>patrí sem surovina pre výrobu kŕmnych zmesí, materiál MTZ, zásoby plynu, pohonné hmoty, liečivá, stelivo a pod.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Tento druh zásob spoločnosť získava nákupom, pričom využíva aj vnútropodnikové služby. Oceňovanie tohto druhu zásob sa prevádza v obstarávacích cenách, ktoré predstavujú cenu obstarania a náklady spojené s obstaraním, ktoré sa v účtovníctve sledujú na samostatnom analytickom účte. Rozpúštanie týchto nákladov sa v tomto roku neuskutočňovalo. Pri vyskladnení zásob zo skladu spoločnosť účtovala v ocenení cenou zistenou váženým aritmetickým priemerom.</w:t>
      </w:r>
    </w:p>
    <w:p w:rsidR="00F40AFB" w:rsidRDefault="00F40AFB">
      <w:pPr>
        <w:pStyle w:val="Heading2"/>
        <w:jc w:val="left"/>
        <w:rPr>
          <w:snapToGrid w:val="0"/>
          <w:sz w:val="22"/>
          <w:szCs w:val="22"/>
          <w:u w:val="none"/>
        </w:rPr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  <w:u w:val="none"/>
        </w:rPr>
      </w:pPr>
      <w:r>
        <w:rPr>
          <w:b/>
          <w:bCs/>
          <w:snapToGrid w:val="0"/>
          <w:sz w:val="22"/>
          <w:szCs w:val="22"/>
          <w:u w:val="none"/>
        </w:rPr>
        <w:t>Nedokončená výroba:</w:t>
      </w:r>
    </w:p>
    <w:p w:rsidR="00F40AFB" w:rsidRDefault="00F40AFB">
      <w:pPr>
        <w:pStyle w:val="ListBullet"/>
      </w:pPr>
      <w:r>
        <w:t>sú produkty, ktoré už prešli jednou alebo niekoľkými výrobnými operáciami a nie sú už materiálom, ale nie sú ešte hotovým výrobkom. Oceňovali sa na úrovni  vlastných nákladov výroby. Zložky ocenenia nedokončenej výroby:</w:t>
      </w:r>
    </w:p>
    <w:p w:rsidR="00F40AFB" w:rsidRDefault="00F40AFB">
      <w:pPr>
        <w:pStyle w:val="ListBullet"/>
      </w:pPr>
      <w:r>
        <w:t>základný materiál: jednodňová hydina, krmivo, liečivá, stelivá</w:t>
      </w:r>
    </w:p>
    <w:p w:rsidR="00F40AFB" w:rsidRDefault="00F40AFB">
      <w:pPr>
        <w:pStyle w:val="ListBullet"/>
      </w:pPr>
      <w:r>
        <w:t>osobné náklady</w:t>
      </w:r>
    </w:p>
    <w:p w:rsidR="00F40AFB" w:rsidRDefault="00F40AFB">
      <w:pPr>
        <w:pStyle w:val="ListBullet"/>
      </w:pPr>
      <w:r>
        <w:t>výrobná réžia</w:t>
      </w:r>
    </w:p>
    <w:p w:rsidR="00F40AFB" w:rsidRDefault="00F40AFB">
      <w:pPr>
        <w:pStyle w:val="ListBullet"/>
      </w:pPr>
    </w:p>
    <w:p w:rsidR="00F40AFB" w:rsidRDefault="00F40AFB">
      <w:pPr>
        <w:pStyle w:val="ListBullet"/>
      </w:pPr>
      <w:r>
        <w:t>Položky kalkulácie a to osobné náklady a výrobná réžia sa rozpúšťajú na príslušný turnus pomernou časťou – t.j. %-álnym podielom  z pohybu kŕmnych dní. V tomto roku sme neúčtovali o nedokončenej výrobe.</w:t>
      </w:r>
    </w:p>
    <w:p w:rsidR="00F40AFB" w:rsidRDefault="00F40AFB">
      <w:pPr>
        <w:pStyle w:val="ListBullet"/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  <w:u w:val="none"/>
        </w:rPr>
      </w:pPr>
      <w:r>
        <w:rPr>
          <w:b/>
          <w:bCs/>
          <w:snapToGrid w:val="0"/>
          <w:sz w:val="22"/>
          <w:szCs w:val="22"/>
          <w:u w:val="none"/>
        </w:rPr>
        <w:t>Výrobky:</w:t>
      </w:r>
    </w:p>
    <w:p w:rsidR="00F40AFB" w:rsidRDefault="00F40AFB">
      <w:pPr>
        <w:pStyle w:val="ListBullet"/>
      </w:pPr>
      <w:r>
        <w:t>sú produkty vlastnej výroby určené na realizáciu mimo účtovnej jednotky alebo na spotrebu vo vnútri účtovnej jednotky. Oceňujú sa vo vlastných nákladoch.</w:t>
      </w:r>
    </w:p>
    <w:p w:rsidR="00F40AFB" w:rsidRDefault="00F40AFB">
      <w:pPr>
        <w:pStyle w:val="ListBullet"/>
      </w:pPr>
    </w:p>
    <w:p w:rsidR="00F40AFB" w:rsidRDefault="00F40AFB">
      <w:pPr>
        <w:pStyle w:val="Heading2"/>
        <w:jc w:val="left"/>
        <w:rPr>
          <w:b/>
          <w:bCs/>
          <w:snapToGrid w:val="0"/>
          <w:sz w:val="22"/>
          <w:szCs w:val="22"/>
        </w:rPr>
      </w:pPr>
      <w:r>
        <w:rPr>
          <w:b/>
          <w:bCs/>
          <w:snapToGrid w:val="0"/>
          <w:sz w:val="22"/>
          <w:szCs w:val="22"/>
          <w:u w:val="none"/>
        </w:rPr>
        <w:t>Skladový tovar</w:t>
      </w:r>
      <w:r>
        <w:rPr>
          <w:b/>
          <w:bCs/>
          <w:snapToGrid w:val="0"/>
          <w:sz w:val="22"/>
          <w:szCs w:val="22"/>
        </w:rPr>
        <w:t>:</w:t>
      </w:r>
    </w:p>
    <w:p w:rsidR="00F40AFB" w:rsidRDefault="00F40AFB">
      <w:pPr>
        <w:pStyle w:val="BodyTextIndent2"/>
        <w:ind w:left="0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tovar je všetko, čo organizácia nakupuje za účelom predaja, aj výrobky vlastnej výroby, ktoré sa aktivovali a odovzdali do vlastných predajní. Nakúpený tovar sa oceňoval obstarávacími cenami, prevzatý tovar v priemerných skladových cenách..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Počas účtovného obdobia spoločnosť neobstarávala zásoby iným spôsobom. 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Zložky nákladov, ktorými sa oceňujú zásoby na úrovni vlastných nákladov:</w:t>
      </w:r>
    </w:p>
    <w:p w:rsidR="00F40AFB" w:rsidRDefault="00F40AFB">
      <w:pPr>
        <w:pStyle w:val="ListBullet"/>
      </w:pPr>
      <w:r>
        <w:t>priame náklady</w:t>
      </w:r>
    </w:p>
    <w:p w:rsidR="00F40AFB" w:rsidRDefault="00F40AFB">
      <w:pPr>
        <w:pStyle w:val="ListBullet"/>
      </w:pPr>
      <w:r>
        <w:t>priame mzdy</w:t>
      </w:r>
    </w:p>
    <w:p w:rsidR="00F40AFB" w:rsidRDefault="00F40AFB">
      <w:pPr>
        <w:pStyle w:val="ListBullet"/>
      </w:pPr>
      <w:r>
        <w:t>výrobná réžia</w:t>
      </w:r>
    </w:p>
    <w:p w:rsidR="00F40AFB" w:rsidRDefault="00F40AFB">
      <w:pPr>
        <w:pStyle w:val="Heading6"/>
        <w:rPr>
          <w:smallCaps/>
          <w:snapToGrid w:val="0"/>
        </w:rPr>
      </w:pPr>
      <w:r>
        <w:rPr>
          <w:smallCaps/>
          <w:snapToGrid w:val="0"/>
        </w:rPr>
        <w:t>FINANČNÝ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ListBullet"/>
      </w:pPr>
      <w:r>
        <w:t xml:space="preserve">Peňažné prostriedky a ceniny spoločnosť oceňovala menovitou hodnotou, ktorá je uvedená na peňažných prostriedkoch a ceninách. </w:t>
      </w:r>
    </w:p>
    <w:p w:rsidR="00F40AFB" w:rsidRDefault="00F40AFB">
      <w:pPr>
        <w:pStyle w:val="ListBullet"/>
      </w:pPr>
    </w:p>
    <w:p w:rsidR="00F40AFB" w:rsidRDefault="00F40AFB">
      <w:pPr>
        <w:pStyle w:val="Heading6"/>
        <w:rPr>
          <w:smallCaps/>
          <w:snapToGrid w:val="0"/>
        </w:rPr>
      </w:pPr>
      <w:r>
        <w:rPr>
          <w:smallCaps/>
          <w:snapToGrid w:val="0"/>
        </w:rPr>
        <w:t>POHĽADÁVKY A ZÁVAZKY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pStyle w:val="ListBullet"/>
      </w:pPr>
      <w:r>
        <w:t>spoločnosť oceňuje menovitou hodnotou, na ktorú pohľadávka alebo záväzok znie</w:t>
      </w:r>
    </w:p>
    <w:p w:rsidR="00F40AFB" w:rsidRDefault="00F40AFB">
      <w:pPr>
        <w:pStyle w:val="BodyText2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Majetok a záväzky vyjadrené v cudzej mene sa prepočítali na menu Euro kurzom určeným v kurzovom lístku Európskej centrálnej banky, platným ku dňu uskutočnenia účtovného prípadu a v účtovnej závierke platným kurzom ku dňu jej zostavenia.</w:t>
      </w:r>
    </w:p>
    <w:p w:rsidR="00F40AFB" w:rsidRDefault="00F40AFB">
      <w:pPr>
        <w:pStyle w:val="BodyText2"/>
        <w:rPr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4) Daň z príjmov za bežné účtovné obdobie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 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24"/>
        <w:gridCol w:w="3364"/>
      </w:tblGrid>
      <w:tr w:rsidR="00F40AFB">
        <w:tc>
          <w:tcPr>
            <w:tcW w:w="6048" w:type="dxa"/>
            <w:shd w:val="clear" w:color="auto" w:fill="B3B3B3"/>
          </w:tcPr>
          <w:p w:rsidR="00F40AFB" w:rsidRDefault="00F40AFB">
            <w:pPr>
              <w:pStyle w:val="BodyText"/>
              <w:jc w:val="center"/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>Text</w:t>
            </w:r>
          </w:p>
        </w:tc>
        <w:tc>
          <w:tcPr>
            <w:tcW w:w="3429" w:type="dxa"/>
            <w:shd w:val="clear" w:color="auto" w:fill="B3B3B3"/>
          </w:tcPr>
          <w:p w:rsidR="00F40AFB" w:rsidRDefault="00F40AFB">
            <w:pPr>
              <w:pStyle w:val="BodyText"/>
              <w:jc w:val="center"/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 xml:space="preserve">Hodnota ( v celých  </w:t>
            </w:r>
            <w:r>
              <w:rPr>
                <w:i/>
                <w:iCs/>
                <w:sz w:val="22"/>
                <w:szCs w:val="22"/>
              </w:rPr>
              <w:t>€</w:t>
            </w: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 xml:space="preserve"> )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bežnej činnosti  splatná</w:t>
            </w:r>
          </w:p>
        </w:tc>
        <w:tc>
          <w:tcPr>
            <w:tcW w:w="3429" w:type="dxa"/>
          </w:tcPr>
          <w:p w:rsidR="00F40AFB" w:rsidRDefault="00F40AFB">
            <w:pPr>
              <w:pStyle w:val="BodyText"/>
              <w:jc w:val="center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 xml:space="preserve">        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mimoriadnej činnosti splatná</w:t>
            </w:r>
          </w:p>
        </w:tc>
        <w:tc>
          <w:tcPr>
            <w:tcW w:w="3429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bežnej činnosti odložená</w:t>
            </w:r>
          </w:p>
        </w:tc>
        <w:tc>
          <w:tcPr>
            <w:tcW w:w="3429" w:type="dxa"/>
          </w:tcPr>
          <w:p w:rsidR="00F40AFB" w:rsidRDefault="00F40AFB">
            <w:pPr>
              <w:pStyle w:val="BodyText"/>
              <w:jc w:val="center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 xml:space="preserve">    -2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mimoriadnej činnosti odložená</w:t>
            </w:r>
          </w:p>
        </w:tc>
        <w:tc>
          <w:tcPr>
            <w:tcW w:w="3429" w:type="dxa"/>
          </w:tcPr>
          <w:p w:rsidR="00F40AFB" w:rsidRDefault="00F40AFB">
            <w:pPr>
              <w:pStyle w:val="BodyText"/>
              <w:rPr>
                <w:snapToGrid w:val="0"/>
                <w:sz w:val="22"/>
                <w:szCs w:val="22"/>
              </w:rPr>
            </w:pPr>
          </w:p>
        </w:tc>
      </w:tr>
    </w:tbl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5)  Dotácie poskytnuté na obstaranie majetku v bežnom účtovnom období neboli prijaté.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b/>
          <w:bCs/>
          <w:i/>
          <w:iCs/>
          <w:smallCaps/>
          <w:snapToGrid w:val="0"/>
          <w:sz w:val="22"/>
          <w:szCs w:val="22"/>
        </w:rPr>
        <w:t>6</w:t>
      </w:r>
      <w:r>
        <w:rPr>
          <w:snapToGrid w:val="0"/>
          <w:sz w:val="22"/>
          <w:szCs w:val="22"/>
        </w:rPr>
        <w:t xml:space="preserve">) Tvorba odpisového plánu pre dlhodobý majetok 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Spoločnosť vykonáva rovnomerné odpisovanie hmotného a nehmotného majetku, ku ktorému má vlastnícke právo a to až do jeho vstupnej ceny, alebo do zvýšenej vstupnej ceny, pričom účtovné odpisy sa nerovnajú daňovým odpisom. 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Na majetku, prevzatom pri zlúčení zo spol. Nivagal s.r.o., sa vykonávalo odpisovanie vlastným percentom, ktoré pokračuje aj naďalej po zlúčení. V roku 2013 nebol zakúpený žiadny majetok.   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Účtovná jednotka v bežnom účtovnom období pri účtovaní odpisov plne vychádza z § 28 zákona </w:t>
      </w:r>
    </w:p>
    <w:p w:rsidR="00F40AFB" w:rsidRDefault="00F40AFB">
      <w:pPr>
        <w:pStyle w:val="Body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o účtovníctve, pričom odpisový plán pre dlhodobý majetok obsahuje dobu odpisovania, sadzby odpisov, odpisové metódy</w:t>
      </w: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Pri rovnomernom odpisovaní DHM sa odpisovým skupinám priraďujú tieto ročné odpis. sadzby: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4"/>
        <w:gridCol w:w="2292"/>
      </w:tblGrid>
      <w:tr w:rsidR="00F40AFB">
        <w:tc>
          <w:tcPr>
            <w:tcW w:w="2454" w:type="dxa"/>
            <w:shd w:val="pct20" w:color="auto" w:fill="auto"/>
          </w:tcPr>
          <w:p w:rsidR="00F40AFB" w:rsidRDefault="00F40AFB">
            <w:pP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Ročný odpis.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1/4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2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1/6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3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1/12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4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1/20</w:t>
            </w:r>
          </w:p>
        </w:tc>
      </w:tr>
    </w:tbl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BodyText"/>
        <w:rPr>
          <w:b/>
          <w:bCs/>
          <w:i/>
          <w:iCs/>
          <w:smallCaps/>
          <w:snapToGrid w:val="0"/>
          <w:sz w:val="22"/>
          <w:szCs w:val="22"/>
        </w:rPr>
      </w:pPr>
    </w:p>
    <w:sectPr w:rsidR="00F40AFB" w:rsidSect="00F40AF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separator/>
      </w:r>
    </w:p>
  </w:endnote>
  <w:endnote w:type="continuationSeparator" w:id="0"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AFB" w:rsidRDefault="00F40AFB">
    <w:pPr>
      <w:pStyle w:val="Foo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Style w:val="PageNumber"/>
        <w:snapToGrid/>
      </w:rPr>
      <w:fldChar w:fldCharType="begin"/>
    </w:r>
    <w:r>
      <w:rPr>
        <w:rStyle w:val="PageNumber"/>
        <w:snapToGrid/>
      </w:rPr>
      <w:instrText xml:space="preserve"> PAGE </w:instrText>
    </w:r>
    <w:r>
      <w:rPr>
        <w:rStyle w:val="PageNumber"/>
        <w:snapToGrid/>
      </w:rPr>
      <w:fldChar w:fldCharType="separate"/>
    </w:r>
    <w:r>
      <w:rPr>
        <w:rStyle w:val="PageNumber"/>
        <w:noProof/>
        <w:snapToGrid/>
      </w:rPr>
      <w:t>4</w:t>
    </w:r>
    <w:r>
      <w:rPr>
        <w:rStyle w:val="PageNumber"/>
        <w:snapToGrid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separator/>
      </w:r>
    </w:p>
  </w:footnote>
  <w:footnote w:type="continuationSeparator" w:id="0"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82A6B7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abstractNum w:abstractNumId="1">
    <w:nsid w:val="1BF53B59"/>
    <w:multiLevelType w:val="multilevel"/>
    <w:tmpl w:val="B8669DD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1">
      <w:start w:val="1"/>
      <w:numFmt w:val="decimal"/>
      <w:pStyle w:val="PodNadpisKapitoly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152" w:hanging="115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abstractNum w:abstractNumId="2">
    <w:nsid w:val="58964539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abstractNum w:abstractNumId="3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abstractNum w:abstractNumId="4">
    <w:nsid w:val="785363D1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abstractNum w:abstractNumId="5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4"/>
  </w:num>
  <w:num w:numId="6">
    <w:abstractNumId w:val="2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3"/>
  </w:num>
  <w:num w:numId="10">
    <w:abstractNumId w:val="6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AFB"/>
    <w:rsid w:val="00F40A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Pr>
      <w:rFonts w:ascii="Arial Narrow" w:hAnsi="Arial Narrow" w:cs="Arial Narrow"/>
      <w:b/>
      <w:bCs/>
      <w:i/>
      <w:iCs/>
      <w:smallCaps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/>
      <w:outlineLvl w:val="0"/>
    </w:pPr>
    <w:rPr>
      <w:rFonts w:ascii="Arial" w:hAnsi="Arial" w:cs="Arial"/>
      <w:i w:val="0"/>
      <w:iCs w:val="0"/>
      <w:smallCaps w:val="0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jc w:val="center"/>
      <w:outlineLvl w:val="1"/>
    </w:pPr>
    <w:rPr>
      <w:b w:val="0"/>
      <w:bCs w:val="0"/>
      <w:i w:val="0"/>
      <w:iCs w:val="0"/>
      <w:smallCaps w:val="0"/>
      <w:sz w:val="24"/>
      <w:szCs w:val="24"/>
      <w:u w:val="single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outlineLvl w:val="2"/>
    </w:pPr>
    <w:rPr>
      <w:i w:val="0"/>
      <w:iCs w:val="0"/>
      <w:smallCaps w:val="0"/>
      <w:sz w:val="24"/>
      <w:szCs w:val="24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spacing w:before="240" w:after="60"/>
      <w:outlineLvl w:val="3"/>
    </w:pPr>
    <w:rPr>
      <w:i w:val="0"/>
      <w:iCs w:val="0"/>
      <w:smallCaps w:val="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pPr>
      <w:spacing w:before="240" w:after="60"/>
      <w:outlineLvl w:val="4"/>
    </w:pPr>
    <w:rPr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pPr>
      <w:spacing w:before="240" w:after="60"/>
      <w:outlineLvl w:val="5"/>
    </w:pPr>
    <w:rPr>
      <w:i w:val="0"/>
      <w:iCs w:val="0"/>
      <w:smallCaps w:val="0"/>
    </w:rPr>
  </w:style>
  <w:style w:type="paragraph" w:styleId="Heading7">
    <w:name w:val="heading 7"/>
    <w:basedOn w:val="Normal"/>
    <w:next w:val="Normal"/>
    <w:link w:val="Heading7Char"/>
    <w:uiPriority w:val="99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pPr>
      <w:spacing w:before="240" w:after="60"/>
      <w:outlineLvl w:val="7"/>
    </w:pPr>
  </w:style>
  <w:style w:type="paragraph" w:styleId="Heading9">
    <w:name w:val="heading 9"/>
    <w:basedOn w:val="Normal"/>
    <w:next w:val="Normal"/>
    <w:link w:val="Heading9Char"/>
    <w:uiPriority w:val="99"/>
    <w:qFormat/>
    <w:pPr>
      <w:spacing w:before="240" w:after="60"/>
      <w:outlineLvl w:val="8"/>
    </w:pPr>
    <w:rPr>
      <w:rFonts w:ascii="Cambria" w:hAnsi="Cambria" w:cs="Cambria"/>
      <w:b w:val="0"/>
      <w:bCs w:val="0"/>
      <w:i w:val="0"/>
      <w:iCs w:val="0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Arial" w:hAnsi="Arial" w:cs="Arial"/>
      <w:b/>
      <w:bCs/>
      <w:snapToGrid w:val="0"/>
      <w:kern w:val="32"/>
      <w:sz w:val="32"/>
      <w:szCs w:val="32"/>
      <w:lang w:val="sk-SK" w:eastAsia="en-US"/>
    </w:rPr>
  </w:style>
  <w:style w:type="character" w:customStyle="1" w:styleId="Heading2Char">
    <w:name w:val="Heading 2 Char"/>
    <w:basedOn w:val="DefaultParagraphFont"/>
    <w:link w:val="Heading2"/>
    <w:uiPriority w:val="99"/>
    <w:rPr>
      <w:rFonts w:ascii="Times New Roman" w:hAnsi="Times New Roman" w:cs="Times New Roman"/>
      <w:snapToGrid w:val="0"/>
      <w:sz w:val="24"/>
      <w:szCs w:val="24"/>
      <w:u w:val="single"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character" w:customStyle="1" w:styleId="Heading4Char">
    <w:name w:val="Heading 4 Char"/>
    <w:basedOn w:val="DefaultParagraphFont"/>
    <w:link w:val="Heading4"/>
    <w:uiPriority w:val="99"/>
    <w:rPr>
      <w:rFonts w:ascii="Times New Roman" w:hAnsi="Times New Roman" w:cs="Times New Roman"/>
      <w:snapToGrid w:val="0"/>
      <w:sz w:val="28"/>
      <w:szCs w:val="28"/>
      <w:lang w:val="sk-SK" w:eastAsia="en-US"/>
    </w:rPr>
  </w:style>
  <w:style w:type="character" w:customStyle="1" w:styleId="Heading5Char">
    <w:name w:val="Heading 5 Char"/>
    <w:basedOn w:val="DefaultParagraphFont"/>
    <w:link w:val="Heading5"/>
    <w:uiPriority w:val="99"/>
    <w:rPr>
      <w:rFonts w:ascii="Arial Narrow" w:hAnsi="Arial Narrow" w:cs="Arial Narrow"/>
      <w:b/>
      <w:bCs/>
      <w:i/>
      <w:iCs/>
      <w:smallCaps/>
      <w:snapToGrid w:val="0"/>
      <w:sz w:val="26"/>
      <w:szCs w:val="26"/>
      <w:lang w:val="sk-SK" w:eastAsia="en-US"/>
    </w:rPr>
  </w:style>
  <w:style w:type="character" w:customStyle="1" w:styleId="Heading6Char">
    <w:name w:val="Heading 6 Char"/>
    <w:basedOn w:val="DefaultParagraphFont"/>
    <w:link w:val="Heading6"/>
    <w:uiPriority w:val="99"/>
    <w:rPr>
      <w:rFonts w:ascii="Times New Roman" w:hAnsi="Times New Roman" w:cs="Times New Roman"/>
      <w:snapToGrid w:val="0"/>
      <w:sz w:val="22"/>
      <w:szCs w:val="22"/>
      <w:lang w:val="sk-SK" w:eastAsia="en-US"/>
    </w:rPr>
  </w:style>
  <w:style w:type="character" w:customStyle="1" w:styleId="Heading7Char">
    <w:name w:val="Heading 7 Char"/>
    <w:basedOn w:val="DefaultParagraphFont"/>
    <w:link w:val="Heading7"/>
    <w:uiPriority w:val="99"/>
    <w:rPr>
      <w:rFonts w:ascii="Arial Narrow" w:hAnsi="Arial Narrow" w:cs="Arial Narrow"/>
      <w:b/>
      <w:bCs/>
      <w:i/>
      <w:iCs/>
      <w:smallCaps/>
      <w:snapToGrid w:val="0"/>
      <w:sz w:val="24"/>
      <w:szCs w:val="24"/>
      <w:lang w:val="sk-SK" w:eastAsia="en-US"/>
    </w:rPr>
  </w:style>
  <w:style w:type="character" w:customStyle="1" w:styleId="Heading8Char">
    <w:name w:val="Heading 8 Char"/>
    <w:basedOn w:val="DefaultParagraphFont"/>
    <w:link w:val="Heading8"/>
    <w:uiPriority w:val="99"/>
    <w:rPr>
      <w:rFonts w:ascii="Arial Narrow" w:hAnsi="Arial Narrow" w:cs="Arial Narrow"/>
      <w:b/>
      <w:bCs/>
      <w:i/>
      <w:iCs/>
      <w:smallCaps/>
      <w:snapToGrid w:val="0"/>
      <w:sz w:val="24"/>
      <w:szCs w:val="24"/>
      <w:lang w:val="sk-SK" w:eastAsia="en-US"/>
    </w:rPr>
  </w:style>
  <w:style w:type="character" w:customStyle="1" w:styleId="Heading9Char">
    <w:name w:val="Heading 9 Char"/>
    <w:basedOn w:val="DefaultParagraphFont"/>
    <w:link w:val="Heading9"/>
    <w:uiPriority w:val="99"/>
    <w:rPr>
      <w:rFonts w:ascii="Cambria" w:hAnsi="Cambria" w:cs="Cambria"/>
      <w:smallCaps/>
      <w:snapToGrid w:val="0"/>
      <w:sz w:val="22"/>
      <w:szCs w:val="22"/>
      <w:lang w:val="sk-SK" w:eastAsia="en-US"/>
    </w:rPr>
  </w:style>
  <w:style w:type="paragraph" w:customStyle="1" w:styleId="PodNadpisKapitoly">
    <w:name w:val="PodNadpis Kapitoly"/>
    <w:basedOn w:val="Normal"/>
    <w:next w:val="Normal"/>
    <w:uiPriority w:val="99"/>
    <w:pPr>
      <w:keepNext/>
      <w:numPr>
        <w:ilvl w:val="1"/>
        <w:numId w:val="7"/>
      </w:numPr>
      <w:tabs>
        <w:tab w:val="clear" w:pos="576"/>
        <w:tab w:val="num" w:pos="360"/>
      </w:tabs>
      <w:spacing w:before="180" w:after="60" w:line="360" w:lineRule="auto"/>
      <w:ind w:left="360" w:hanging="360"/>
      <w:jc w:val="both"/>
      <w:outlineLvl w:val="1"/>
    </w:pPr>
    <w:rPr>
      <w:rFonts w:ascii="Arial" w:hAnsi="Arial" w:cs="Arial"/>
      <w:i w:val="0"/>
      <w:iCs w:val="0"/>
      <w:smallCaps w:val="0"/>
      <w:sz w:val="28"/>
      <w:szCs w:val="28"/>
    </w:rPr>
  </w:style>
  <w:style w:type="character" w:styleId="Hyperlink">
    <w:name w:val="Hyperlink"/>
    <w:basedOn w:val="DefaultParagraphFont"/>
    <w:uiPriority w:val="99"/>
    <w:rPr>
      <w:rFonts w:ascii="Times New Roman" w:hAnsi="Times New Roman" w:cs="Times New Roman"/>
      <w:snapToGrid w:val="0"/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99"/>
    <w:qFormat/>
    <w:pPr>
      <w:keepNext/>
      <w:spacing w:before="100" w:beforeAutospacing="1" w:after="220"/>
      <w:jc w:val="center"/>
      <w:outlineLvl w:val="0"/>
    </w:pPr>
    <w:rPr>
      <w:kern w:val="28"/>
    </w:rPr>
  </w:style>
  <w:style w:type="character" w:customStyle="1" w:styleId="TitleChar">
    <w:name w:val="Title Char"/>
    <w:basedOn w:val="DefaultParagraphFont"/>
    <w:link w:val="Title"/>
    <w:uiPriority w:val="99"/>
    <w:rPr>
      <w:rFonts w:ascii="Arial Narrow" w:hAnsi="Arial Narrow" w:cs="Arial Narrow"/>
      <w:b/>
      <w:bCs/>
      <w:i/>
      <w:iCs/>
      <w:smallCaps/>
      <w:snapToGrid w:val="0"/>
      <w:kern w:val="28"/>
      <w:sz w:val="32"/>
      <w:szCs w:val="32"/>
      <w:lang w:val="sk-SK" w:eastAsia="en-US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  <w:rPr>
      <w:b w:val="0"/>
      <w:bCs w:val="0"/>
      <w:i w:val="0"/>
      <w:iCs w:val="0"/>
      <w:smallCaps w:val="0"/>
      <w:sz w:val="24"/>
      <w:szCs w:val="24"/>
      <w:lang w:val="cs-CZ" w:eastAsia="sk-SK"/>
    </w:r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  <w:snapToGrid w:val="0"/>
      <w:sz w:val="24"/>
      <w:szCs w:val="24"/>
      <w:lang w:val="cs-CZ" w:eastAsia="sk-SK"/>
    </w:rPr>
  </w:style>
  <w:style w:type="paragraph" w:styleId="ListBullet">
    <w:name w:val="List Bullet"/>
    <w:basedOn w:val="Normal"/>
    <w:autoRedefine/>
    <w:uiPriority w:val="99"/>
    <w:rPr>
      <w:b w:val="0"/>
      <w:bCs w:val="0"/>
      <w:i w:val="0"/>
      <w:iCs w:val="0"/>
      <w:smallCaps w:val="0"/>
      <w:lang w:eastAsia="sk-SK"/>
    </w:rPr>
  </w:style>
  <w:style w:type="paragraph" w:styleId="BodyText">
    <w:name w:val="Body Text"/>
    <w:basedOn w:val="Normal"/>
    <w:link w:val="BodyTextChar"/>
    <w:uiPriority w:val="99"/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customStyle="1" w:styleId="TopHeader">
    <w:name w:val="Top Header"/>
    <w:basedOn w:val="Normal"/>
    <w:uiPriority w:val="99"/>
    <w:pPr>
      <w:jc w:val="center"/>
    </w:pPr>
  </w:style>
  <w:style w:type="paragraph" w:styleId="BodyTextIndent2">
    <w:name w:val="Body Text Indent 2"/>
    <w:basedOn w:val="Normal"/>
    <w:link w:val="BodyTextIndent2Char"/>
    <w:uiPriority w:val="99"/>
    <w:pPr>
      <w:ind w:left="705"/>
    </w:pPr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styleId="BodyText2">
    <w:name w:val="Body Text 2"/>
    <w:basedOn w:val="Normal"/>
    <w:link w:val="BodyText2Char"/>
    <w:uiPriority w:val="99"/>
    <w:pPr>
      <w:jc w:val="both"/>
    </w:pPr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styleId="Subtitle">
    <w:name w:val="Subtitle"/>
    <w:basedOn w:val="Normal"/>
    <w:next w:val="Normal"/>
    <w:link w:val="SubtitleChar"/>
    <w:uiPriority w:val="99"/>
    <w:qFormat/>
    <w:pPr>
      <w:spacing w:after="60"/>
      <w:jc w:val="center"/>
      <w:outlineLvl w:val="1"/>
    </w:pPr>
    <w:rPr>
      <w:rFonts w:ascii="Cambria" w:hAnsi="Cambria" w:cs="Cambria"/>
      <w:b w:val="0"/>
      <w:bCs w:val="0"/>
      <w:i w:val="0"/>
      <w:iCs w:val="0"/>
    </w:rPr>
  </w:style>
  <w:style w:type="character" w:customStyle="1" w:styleId="SubtitleChar">
    <w:name w:val="Subtitle Char"/>
    <w:basedOn w:val="DefaultParagraphFont"/>
    <w:link w:val="Subtitle"/>
    <w:uiPriority w:val="99"/>
    <w:rPr>
      <w:rFonts w:ascii="Cambria" w:hAnsi="Cambria" w:cs="Cambria"/>
      <w:smallCaps/>
      <w:snapToGrid w:val="0"/>
      <w:sz w:val="24"/>
      <w:szCs w:val="24"/>
      <w:lang w:val="sk-SK" w:eastAsia="en-US"/>
    </w:rPr>
  </w:style>
  <w:style w:type="character" w:styleId="Strong">
    <w:name w:val="Strong"/>
    <w:basedOn w:val="DefaultParagraphFont"/>
    <w:uiPriority w:val="99"/>
    <w:qFormat/>
    <w:rPr>
      <w:rFonts w:ascii="Times New Roman" w:hAnsi="Times New Roman" w:cs="Times New Roman"/>
      <w:snapToGrid w:val="0"/>
    </w:rPr>
  </w:style>
  <w:style w:type="character" w:styleId="Emphasis">
    <w:name w:val="Emphasis"/>
    <w:basedOn w:val="DefaultParagraphFont"/>
    <w:uiPriority w:val="99"/>
    <w:qFormat/>
    <w:rPr>
      <w:rFonts w:ascii="Calibri" w:hAnsi="Calibri" w:cs="Calibri"/>
      <w:b/>
      <w:bCs/>
      <w:smallCaps/>
      <w:snapToGrid w:val="0"/>
    </w:rPr>
  </w:style>
  <w:style w:type="paragraph" w:customStyle="1" w:styleId="Hlavikaobsahu1">
    <w:name w:val="Hlavička obsahu1"/>
    <w:basedOn w:val="Heading1"/>
    <w:next w:val="Normal"/>
    <w:uiPriority w:val="99"/>
    <w:pPr>
      <w:outlineLvl w:val="9"/>
    </w:pPr>
    <w:rPr>
      <w:rFonts w:ascii="Cambria" w:hAnsi="Cambria" w:cs="Cambria"/>
      <w:b w:val="0"/>
      <w:bCs w:val="0"/>
      <w:smallCaps/>
    </w:rPr>
  </w:style>
  <w:style w:type="paragraph" w:styleId="FootnoteText">
    <w:name w:val="footnote text"/>
    <w:basedOn w:val="Normal"/>
    <w:link w:val="FootnoteTextChar"/>
    <w:uiPriority w:val="99"/>
    <w:rPr>
      <w:b w:val="0"/>
      <w:bCs w:val="0"/>
      <w:i w:val="0"/>
      <w:iCs w:val="0"/>
      <w:smallCaps w:val="0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  <w:snapToGrid w:val="0"/>
      <w:lang w:val="sk-SK" w:eastAsia="cs-CZ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snapToGrid w:val="0"/>
      <w:vertAlign w:val="superscript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  <w:rPr>
      <w:b w:val="0"/>
      <w:bCs w:val="0"/>
      <w:i w:val="0"/>
      <w:iCs w:val="0"/>
      <w:smallCaps w:val="0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  <w:snapToGrid w:val="0"/>
      <w:lang w:val="sk-SK" w:eastAsia="cs-CZ"/>
    </w:rPr>
  </w:style>
  <w:style w:type="character" w:styleId="PageNumber">
    <w:name w:val="page number"/>
    <w:basedOn w:val="DefaultParagraphFont"/>
    <w:uiPriority w:val="99"/>
    <w:rPr>
      <w:rFonts w:ascii="Times New Roman" w:hAnsi="Times New Roman" w:cs="Times New Roman"/>
      <w:snapToGrid w:val="0"/>
    </w:rPr>
  </w:style>
  <w:style w:type="paragraph" w:styleId="BodyTextIndent3">
    <w:name w:val="Body Text Indent 3"/>
    <w:basedOn w:val="Normal"/>
    <w:link w:val="BodyTextIndent3Char"/>
    <w:uiPriority w:val="99"/>
    <w:pPr>
      <w:ind w:left="708" w:firstLine="708"/>
      <w:jc w:val="both"/>
    </w:pPr>
    <w:rPr>
      <w:b w:val="0"/>
      <w:bCs w:val="0"/>
      <w:i w:val="0"/>
      <w:iCs w:val="0"/>
      <w:smallCaps w:val="0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Pr>
      <w:rFonts w:ascii="Times New Roman" w:hAnsi="Times New Roman" w:cs="Times New Roman"/>
      <w:snapToGrid w:val="0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b w:val="0"/>
      <w:bCs w:val="0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ahoma" w:hAnsi="Tahoma" w:cs="Tahoma"/>
      <w:i/>
      <w:iCs/>
      <w:smallCaps/>
      <w:snapToGrid w:val="0"/>
      <w:sz w:val="16"/>
      <w:szCs w:val="16"/>
      <w:lang w:val="sk-SK" w:eastAsia="cs-CZ"/>
    </w:rPr>
  </w:style>
  <w:style w:type="paragraph" w:styleId="List">
    <w:name w:val="List"/>
    <w:basedOn w:val="Normal"/>
    <w:uiPriority w:val="99"/>
    <w:pPr>
      <w:ind w:left="283" w:hanging="283"/>
    </w:pPr>
    <w:rPr>
      <w:b w:val="0"/>
      <w:bCs w:val="0"/>
      <w:i w:val="0"/>
      <w:iCs w:val="0"/>
      <w:smallCaps w:val="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</TotalTime>
  <Pages>5</Pages>
  <Words>1278</Words>
  <Characters>7286</Characters>
  <Application>Microsoft Office Outlook</Application>
  <DocSecurity>0</DocSecurity>
  <Lines>0</Lines>
  <Paragraphs>0</Paragraphs>
  <ScaleCrop>false</ScaleCrop>
  <Company>INFOSYS GMBH, Bauholding STRABAG AG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spravca</dc:creator>
  <cp:keywords/>
  <dc:description/>
  <cp:lastModifiedBy>Tomas</cp:lastModifiedBy>
  <cp:revision>4</cp:revision>
  <cp:lastPrinted>2012-03-29T16:52:00Z</cp:lastPrinted>
  <dcterms:created xsi:type="dcterms:W3CDTF">2014-03-28T13:25:00Z</dcterms:created>
  <dcterms:modified xsi:type="dcterms:W3CDTF">2014-03-31T07:00:00Z</dcterms:modified>
</cp:coreProperties>
</file>