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EC9" w:rsidRDefault="00B35EC9">
      <w:pPr>
        <w:pStyle w:val="BodyText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Poznámky k </w:t>
      </w:r>
      <w:r w:rsidR="0042166F">
        <w:rPr>
          <w:b/>
          <w:sz w:val="24"/>
          <w:u w:val="single"/>
        </w:rPr>
        <w:t>účtovnej závierke k 31. 12. 2013</w:t>
      </w:r>
    </w:p>
    <w:p w:rsidR="00B35EC9" w:rsidRDefault="00B35EC9">
      <w:pPr>
        <w:pStyle w:val="BodyText"/>
        <w:rPr>
          <w:color w:val="FF0000"/>
        </w:rPr>
      </w:pPr>
    </w:p>
    <w:p w:rsidR="00B35EC9" w:rsidRDefault="00B35EC9" w:rsidP="00C06094">
      <w:pPr>
        <w:pStyle w:val="Heading1"/>
      </w:pPr>
      <w:bookmarkStart w:id="0" w:name="_Toc530739894"/>
      <w:r>
        <w:t>Informácie o účtovnej jednotke</w:t>
      </w:r>
      <w:bookmarkEnd w:id="0"/>
    </w:p>
    <w:p w:rsidR="00B35EC9" w:rsidRDefault="00B35EC9">
      <w:pPr>
        <w:pStyle w:val="Heading2"/>
        <w:rPr>
          <w:b w:val="0"/>
          <w:bCs/>
        </w:rPr>
      </w:pPr>
      <w:bookmarkStart w:id="1" w:name="_Toc530739895"/>
      <w:r>
        <w:rPr>
          <w:b w:val="0"/>
          <w:bCs/>
        </w:rPr>
        <w:t>Obchodné meno a sídlo spoločnosti:</w:t>
      </w:r>
      <w:bookmarkEnd w:id="1"/>
    </w:p>
    <w:p w:rsidR="00B35EC9" w:rsidRDefault="00156D85">
      <w:pPr>
        <w:pStyle w:val="BodyText"/>
      </w:pPr>
      <w:r>
        <w:t>Spoločnosť Provocateur!</w:t>
      </w:r>
      <w:r w:rsidR="00C06094">
        <w:t xml:space="preserve"> s.r.o.</w:t>
      </w:r>
      <w:r w:rsidR="00B35EC9">
        <w:t xml:space="preserve"> vznikla zápisom do Ob</w:t>
      </w:r>
      <w:r>
        <w:t>chodného registra dňa 06.10.2009</w:t>
      </w:r>
    </w:p>
    <w:p w:rsidR="00B35EC9" w:rsidRDefault="00B35EC9">
      <w:pPr>
        <w:pStyle w:val="Heading2"/>
        <w:rPr>
          <w:b w:val="0"/>
          <w:bCs/>
        </w:rPr>
      </w:pPr>
      <w:bookmarkStart w:id="2" w:name="_Toc530739896"/>
      <w:r>
        <w:rPr>
          <w:b w:val="0"/>
          <w:bCs/>
        </w:rPr>
        <w:t>Hlavnými činnosťami Spoločnosti sú:</w:t>
      </w:r>
      <w:bookmarkEnd w:id="2"/>
    </w:p>
    <w:p w:rsidR="00B35EC9" w:rsidRDefault="00B35EC9">
      <w:pPr>
        <w:pStyle w:val="BodyText"/>
        <w:numPr>
          <w:ilvl w:val="0"/>
          <w:numId w:val="5"/>
        </w:numPr>
      </w:pPr>
      <w:r>
        <w:t>obchodná činnosť v rozsahu voľných živností</w:t>
      </w:r>
    </w:p>
    <w:p w:rsidR="00B35EC9" w:rsidRDefault="00B35EC9">
      <w:pPr>
        <w:pStyle w:val="BodyText"/>
        <w:numPr>
          <w:ilvl w:val="0"/>
          <w:numId w:val="5"/>
        </w:numPr>
      </w:pPr>
      <w:r>
        <w:t>sprostredkovateľská činnosť v rozsahu voľných živností</w:t>
      </w:r>
    </w:p>
    <w:p w:rsidR="00866E0E" w:rsidRPr="00866E0E" w:rsidRDefault="00426E88" w:rsidP="00C9248D">
      <w:pPr>
        <w:pStyle w:val="BodyText"/>
        <w:ind w:left="0"/>
        <w:rPr>
          <w:b/>
        </w:rPr>
      </w:pPr>
      <w:r>
        <w:rPr>
          <w:b/>
        </w:rPr>
        <w:t xml:space="preserve"> </w:t>
      </w:r>
    </w:p>
    <w:p w:rsidR="00B35EC9" w:rsidRDefault="00156D85">
      <w:pPr>
        <w:pStyle w:val="Heading2"/>
        <w:rPr>
          <w:b w:val="0"/>
          <w:bCs/>
        </w:rPr>
      </w:pPr>
      <w:r>
        <w:rPr>
          <w:b w:val="0"/>
          <w:bCs/>
        </w:rPr>
        <w:t>Priemerný počet zamestnancov: 0</w:t>
      </w:r>
    </w:p>
    <w:p w:rsidR="00B35EC9" w:rsidRDefault="00B35EC9">
      <w:pPr>
        <w:pStyle w:val="Heading2"/>
        <w:rPr>
          <w:b w:val="0"/>
          <w:bCs/>
        </w:rPr>
      </w:pPr>
      <w:r>
        <w:rPr>
          <w:b w:val="0"/>
          <w:bCs/>
        </w:rPr>
        <w:t>Právny dôvod na zostavenie účtovnej závierky</w:t>
      </w:r>
    </w:p>
    <w:p w:rsidR="00B35EC9" w:rsidRDefault="00B35EC9">
      <w:pPr>
        <w:pStyle w:val="BodyText"/>
        <w:ind w:left="786" w:hanging="426"/>
      </w:pPr>
      <w:r>
        <w:t>riadna účtovná závierka</w:t>
      </w:r>
    </w:p>
    <w:p w:rsidR="00B35EC9" w:rsidRDefault="00B35EC9">
      <w:pPr>
        <w:pStyle w:val="Heading2"/>
        <w:rPr>
          <w:b w:val="0"/>
          <w:bCs/>
        </w:rPr>
      </w:pPr>
      <w:r>
        <w:rPr>
          <w:b w:val="0"/>
          <w:bCs/>
        </w:rPr>
        <w:t>Dátum schválenia účtovnej závierky za predchádzajúce účtovné obdobie</w:t>
      </w:r>
    </w:p>
    <w:p w:rsidR="00B35EC9" w:rsidRDefault="00B35EC9">
      <w:pPr>
        <w:pStyle w:val="BodyText"/>
        <w:ind w:left="360"/>
      </w:pPr>
    </w:p>
    <w:p w:rsidR="00B35EC9" w:rsidRDefault="00B35EC9">
      <w:pPr>
        <w:pStyle w:val="Heading1"/>
      </w:pPr>
      <w:bookmarkStart w:id="3" w:name="_Toc530739897"/>
      <w:r>
        <w:t>Informácie o orgánoch účtovnej jednotky</w:t>
      </w:r>
      <w:bookmarkEnd w:id="3"/>
    </w:p>
    <w:p w:rsidR="00B35EC9" w:rsidRDefault="00866E0E">
      <w:pPr>
        <w:numPr>
          <w:ilvl w:val="0"/>
          <w:numId w:val="6"/>
        </w:numPr>
        <w:rPr>
          <w:sz w:val="18"/>
        </w:rPr>
      </w:pPr>
      <w:r>
        <w:rPr>
          <w:sz w:val="18"/>
        </w:rPr>
        <w:t xml:space="preserve">Konatelia:     </w:t>
      </w:r>
      <w:r w:rsidR="00156D85">
        <w:rPr>
          <w:sz w:val="18"/>
        </w:rPr>
        <w:t xml:space="preserve">          Mário Majerčák , Bajzova2419/21, 010 01 Žilina</w:t>
      </w:r>
    </w:p>
    <w:p w:rsidR="00156D85" w:rsidRDefault="00156D85">
      <w:pPr>
        <w:numPr>
          <w:ilvl w:val="0"/>
          <w:numId w:val="6"/>
        </w:numPr>
        <w:rPr>
          <w:sz w:val="18"/>
        </w:rPr>
      </w:pPr>
    </w:p>
    <w:p w:rsidR="00B35EC9" w:rsidRDefault="00B35EC9">
      <w:pPr>
        <w:numPr>
          <w:ilvl w:val="0"/>
          <w:numId w:val="6"/>
        </w:numPr>
        <w:rPr>
          <w:sz w:val="18"/>
        </w:rPr>
      </w:pPr>
      <w:bookmarkStart w:id="4" w:name="_Toc530739898"/>
      <w:r>
        <w:rPr>
          <w:sz w:val="18"/>
        </w:rPr>
        <w:t>Informácie o spoločníkoch účtovnej jednotky</w:t>
      </w:r>
      <w:bookmarkEnd w:id="4"/>
      <w:r>
        <w:rPr>
          <w:sz w:val="18"/>
        </w:rPr>
        <w:t>:</w:t>
      </w:r>
    </w:p>
    <w:p w:rsidR="00B35EC9" w:rsidRDefault="00B35EC9">
      <w:pPr>
        <w:pStyle w:val="BodyText"/>
      </w:pPr>
      <w:r>
        <w:t>Štruktúra spoločníkov Spoločnosti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78"/>
        <w:gridCol w:w="1134"/>
        <w:gridCol w:w="993"/>
        <w:gridCol w:w="1501"/>
      </w:tblGrid>
      <w:tr w:rsidR="00B35EC9">
        <w:trPr>
          <w:cantSplit/>
        </w:trPr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Meno a priezvisko</w:t>
            </w:r>
          </w:p>
        </w:tc>
        <w:tc>
          <w:tcPr>
            <w:tcW w:w="2127" w:type="dxa"/>
            <w:gridSpan w:val="2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Podiel na zákl. imaní</w:t>
            </w:r>
          </w:p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  <w:r w:rsidR="00B35EC9">
              <w:t xml:space="preserve">                     %</w:t>
            </w: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Hlasovacie práva</w:t>
            </w:r>
          </w:p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%</w:t>
            </w:r>
          </w:p>
        </w:tc>
      </w:tr>
      <w:tr w:rsidR="00B35EC9">
        <w:tc>
          <w:tcPr>
            <w:tcW w:w="1978" w:type="dxa"/>
          </w:tcPr>
          <w:p w:rsidR="00B35EC9" w:rsidRDefault="00156D85">
            <w:pPr>
              <w:pStyle w:val="Pismenka"/>
              <w:tabs>
                <w:tab w:val="clear" w:pos="360"/>
              </w:tabs>
              <w:ind w:left="0" w:firstLine="0"/>
              <w:jc w:val="left"/>
              <w:rPr>
                <w:b w:val="0"/>
                <w:bCs/>
              </w:rPr>
            </w:pPr>
            <w:r>
              <w:rPr>
                <w:b w:val="0"/>
                <w:bCs/>
              </w:rPr>
              <w:t>Mário Majerčák</w:t>
            </w:r>
          </w:p>
        </w:tc>
        <w:tc>
          <w:tcPr>
            <w:tcW w:w="1134" w:type="dxa"/>
          </w:tcPr>
          <w:p w:rsidR="00B35EC9" w:rsidRDefault="00156D85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6640</w:t>
            </w:r>
          </w:p>
        </w:tc>
        <w:tc>
          <w:tcPr>
            <w:tcW w:w="993" w:type="dxa"/>
          </w:tcPr>
          <w:p w:rsidR="00B35EC9" w:rsidRDefault="00156D85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100</w:t>
            </w:r>
          </w:p>
        </w:tc>
        <w:tc>
          <w:tcPr>
            <w:tcW w:w="1501" w:type="dxa"/>
          </w:tcPr>
          <w:p w:rsidR="00B35EC9" w:rsidRDefault="00156D85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100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left"/>
              <w:rPr>
                <w:b w:val="0"/>
                <w:bCs/>
              </w:rPr>
            </w:pPr>
          </w:p>
        </w:tc>
        <w:tc>
          <w:tcPr>
            <w:tcW w:w="113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Spolu:</w:t>
            </w:r>
          </w:p>
        </w:tc>
        <w:tc>
          <w:tcPr>
            <w:tcW w:w="1134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66</w:t>
            </w:r>
            <w:r w:rsidR="00866E0E">
              <w:t>40</w:t>
            </w: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100</w:t>
            </w: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100</w:t>
            </w:r>
          </w:p>
        </w:tc>
      </w:tr>
    </w:tbl>
    <w:p w:rsidR="00B35EC9" w:rsidRDefault="00B35EC9">
      <w:pPr>
        <w:pStyle w:val="BodyText"/>
        <w:rPr>
          <w:color w:val="FF0000"/>
        </w:rPr>
      </w:pPr>
    </w:p>
    <w:p w:rsidR="00B35EC9" w:rsidRDefault="00B35EC9">
      <w:pPr>
        <w:pStyle w:val="Heading1"/>
      </w:pPr>
      <w:r>
        <w:t>Informácie o konsolidovanom celku</w:t>
      </w:r>
    </w:p>
    <w:p w:rsidR="00B35EC9" w:rsidRDefault="00B35EC9">
      <w:pPr>
        <w:pStyle w:val="Heading1"/>
        <w:numPr>
          <w:ilvl w:val="0"/>
          <w:numId w:val="0"/>
        </w:numPr>
        <w:ind w:firstLine="360"/>
        <w:rPr>
          <w:b w:val="0"/>
          <w:bCs/>
          <w:caps w:val="0"/>
        </w:rPr>
      </w:pPr>
      <w:r>
        <w:rPr>
          <w:b w:val="0"/>
          <w:bCs/>
          <w:caps w:val="0"/>
        </w:rPr>
        <w:t>nevyskytlo sa.</w:t>
      </w:r>
    </w:p>
    <w:p w:rsidR="00B35EC9" w:rsidRDefault="00B35EC9">
      <w:pPr>
        <w:rPr>
          <w:lang w:val="en-US"/>
        </w:rPr>
      </w:pPr>
    </w:p>
    <w:p w:rsidR="00B35EC9" w:rsidRDefault="00B35EC9">
      <w:pPr>
        <w:pStyle w:val="Heading1"/>
      </w:pPr>
      <w:bookmarkStart w:id="5" w:name="_Toc530739899"/>
      <w:r>
        <w:t>Ďalšie Informácie O: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použitých účtovných zásadách a účtovných metódach,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vykázaných na strane aktív súvahy,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vykázaných na strane pasív súvahy,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výnosoch,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nákladoch,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daniach z príjmov,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na podsúvahových účtoch,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iných aktívach a iných pasívach,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spriaznených osobách,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skutočnostiach, ktoré nastali medzi dňom, ku ktorému sa zostavuje účtovná závierka a dňom jej zostavenia,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prehľade zmien vlastného imania,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prehľade peňažných tokov.</w:t>
      </w:r>
    </w:p>
    <w:bookmarkEnd w:id="5"/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 použitých účtovných zásadách a účtovných metódach 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Účtovná závierka bola zostavená za nepretržitého trvania Spoločnosti.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 xml:space="preserve">Účtovné metódy a všeobecné účtovné zásady boli v súlade s platnou slovenskou legislatívou.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Spôsob oceňovania jednotlivých zložiek majetku a záväzkov: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1.</w:t>
      </w:r>
      <w:r>
        <w:rPr>
          <w:b w:val="0"/>
          <w:bCs/>
        </w:rPr>
        <w:tab/>
        <w:t>Dlhodobý nehmotný majetok obstaraný kúpou</w:t>
      </w:r>
    </w:p>
    <w:p w:rsidR="00B35EC9" w:rsidRDefault="00B35EC9">
      <w:pPr>
        <w:pStyle w:val="BodyText"/>
        <w:rPr>
          <w:bCs/>
        </w:rPr>
      </w:pPr>
      <w:r>
        <w:rPr>
          <w:bCs/>
        </w:rPr>
        <w:t xml:space="preserve">Dlhodobý nehmotný majetok nakupovaný sa oceňuje obstarávacou cenou, ktorá zahrňuje cenu obstarania a náklady súvisiace s obstaraním (clo, prepravu, montáž, poistné a pod.). 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2.</w:t>
      </w:r>
      <w:r>
        <w:rPr>
          <w:b w:val="0"/>
          <w:bCs/>
        </w:rPr>
        <w:tab/>
        <w:t>Dlhodobý nehmotný majetok obstaraný vlastnou činnosťou: nevyskytuje sa.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3.</w:t>
      </w:r>
      <w:r>
        <w:rPr>
          <w:b w:val="0"/>
          <w:bCs/>
        </w:rPr>
        <w:tab/>
        <w:t>Dlhodobý nehmotný majetok obstaraný iným spôsobom sa oceňuje reprodukčnou obstarávacou cenou.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4.</w:t>
      </w:r>
      <w:r>
        <w:rPr>
          <w:b w:val="0"/>
          <w:bCs/>
        </w:rPr>
        <w:tab/>
        <w:t xml:space="preserve">Dlhodobý hmotný majetok obstaraný kúpou – ako v bode 1. 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5.</w:t>
      </w:r>
      <w:r>
        <w:rPr>
          <w:b w:val="0"/>
          <w:bCs/>
        </w:rPr>
        <w:tab/>
        <w:t>Dlhodobý hmotný majetok obstaraný vlastnou činnosťou – ako v bode 2.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6.</w:t>
      </w:r>
      <w:r>
        <w:rPr>
          <w:b w:val="0"/>
          <w:bCs/>
        </w:rPr>
        <w:tab/>
        <w:t>Dlhodobý hmotný majetok obstaraný iným spôsobom – ako v bode 3.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7.</w:t>
      </w:r>
      <w:r>
        <w:rPr>
          <w:b w:val="0"/>
          <w:bCs/>
        </w:rPr>
        <w:tab/>
        <w:t>Dlhodobý finančný majetok – nevyskytlo sa.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 xml:space="preserve">Zásoby obstarané kúpou </w:t>
      </w:r>
    </w:p>
    <w:p w:rsidR="00B35EC9" w:rsidRDefault="00B35EC9">
      <w:pPr>
        <w:pStyle w:val="BodyText"/>
      </w:pPr>
      <w:r>
        <w:t>Zásoby nakupované sa oceňujú obstarávacou cenou, ktorá zahrňuje cenu obstarania a náklady súvisiace s obstaraním (clo, prepravu, poistné, provízie, skonto a pod.). Úroky z cudzích zdrojov nie sú súčasťou obstarávacej ceny. Nakupované zásoby sú oceňované váženým aritmetickým priemerom z obstarávacích cien. Zásoby sa účtujú spôsobom B.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 xml:space="preserve">Zásoby vytvorené vlastnou činnosťou: nevyskytuje sa. 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Zásoby obstarané iným spôsobom sa oceňujú reprodukčnou cenou.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Zákazková výroba – v spoločnosti sa nevyskytuje.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Pohľadávky</w:t>
      </w:r>
    </w:p>
    <w:p w:rsidR="00B35EC9" w:rsidRDefault="00B35EC9">
      <w:pPr>
        <w:pStyle w:val="Body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 formou opravných položiek.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Krátkodobý finančný majetok</w:t>
      </w:r>
    </w:p>
    <w:p w:rsidR="00B35EC9" w:rsidRDefault="00B35EC9">
      <w:pPr>
        <w:pStyle w:val="BodyText"/>
      </w:pPr>
      <w:r>
        <w:t>Peňažné prostriedky a ceniny sa oceňujú ich menovitou hodnotou. Zníženie ich hodnoty sa vyjadruje opravnou položkou.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Časové rozlíšenie na strane aktív súvahy</w:t>
      </w:r>
    </w:p>
    <w:p w:rsidR="00B35EC9" w:rsidRDefault="00B35EC9">
      <w:pPr>
        <w:pStyle w:val="BodyText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Záväzky vrátane rezerv, dlhopisov, pôžičiek a úverov</w:t>
      </w:r>
    </w:p>
    <w:p w:rsidR="00B35EC9" w:rsidRDefault="00B35EC9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5EC9" w:rsidRDefault="00B35EC9">
      <w:pPr>
        <w:pStyle w:val="Body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Časové rozlíšenie na strane pasív súvahy</w:t>
      </w:r>
    </w:p>
    <w:p w:rsidR="00B35EC9" w:rsidRDefault="00B35EC9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Deriváty - v spoločnosti sa nevyskytuje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Majetok a záväzky zabezpečené derivátmi - v spoločnosti sa nevyskytuje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Prenajatý majetok a majetok obstaraný na základe zmluvy o kúpe prenajatej veci</w:t>
      </w:r>
    </w:p>
    <w:p w:rsidR="00B35EC9" w:rsidRDefault="00B35EC9">
      <w:pPr>
        <w:pStyle w:val="BodyText"/>
        <w:rPr>
          <w:color w:val="000000"/>
        </w:rPr>
      </w:pPr>
      <w:r>
        <w:rPr>
          <w:color w:val="000000"/>
        </w:rPr>
        <w:t>V súlade s §30a Opatrenia MF SR č.23054/2002-92 v znení neskorších predpisov sa majetok obstaraný finančným prenájmom po 1.1.2004 účtuje na účet 474 – Záväzky z nájmu a na ťarchu príslušného účtu majetku vo výške istiny. Majetok obstaraný finančným prenájmom pred 1.1.2004 na základe zmluvy o postúpení leasingu,  sa účtuje vo výške mesačných splátok na ťarchu nákladového účtu.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Majetok obstaraný v privatizácii – nevyskytuje sa.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Splatná a odložená daň z príjmov</w:t>
      </w:r>
    </w:p>
    <w:p w:rsidR="00B35EC9" w:rsidRDefault="00B35EC9">
      <w:pPr>
        <w:pStyle w:val="BodyText"/>
      </w:pPr>
      <w:r>
        <w:t>O odloženej dani z príjmov spoločnosť neúčtuje.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Tvorba odpisového plánu pre dlhodobý majetok</w:t>
      </w:r>
    </w:p>
    <w:p w:rsidR="00B35EC9" w:rsidRDefault="00B35EC9">
      <w:pPr>
        <w:pStyle w:val="BodyText"/>
      </w:pPr>
      <w:r>
        <w:t xml:space="preserve">Odpisy dlhodobého nehmotného majetku: nevyskytli sa. </w:t>
      </w:r>
    </w:p>
    <w:p w:rsidR="00B35EC9" w:rsidRDefault="00B35EC9">
      <w:pPr>
        <w:pStyle w:val="BodyText"/>
      </w:pPr>
      <w:r>
        <w:t>Odpisy dlhodobého hmotného majetku: nevyskytli sa.</w:t>
      </w:r>
    </w:p>
    <w:p w:rsidR="00B35EC9" w:rsidRDefault="00B35EC9">
      <w:pPr>
        <w:pStyle w:val="BodyText"/>
      </w:pPr>
      <w:r>
        <w:t xml:space="preserve">Hmotný majetok, ktorého ocenenie je 30.000 SKK a nižšie, s dobou používania dlhšou ako rok sa nezaradzuje do dlhodobého hmotného majetku, ale sa účtuje na ťarchu účtu 501 pri uvedení do používania.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Dotácie poskytnuté na obstaranie majetku – nevyskytli sa.</w:t>
      </w:r>
    </w:p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 ÚDAjoch vykázaných na strane aktív súvahy  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nehmotný a hmotný majetok: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 xml:space="preserve">Poistenie dlhodobého majetku: nevyskytuje sa.  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dlhodobému majetku nie je zriadené.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majetok, pri ktorom vlastnícke práva nadobudol veriteľ zmluvou o zabezpečovacom prevode práva, užívaný na základe zmluvy o výpožičke: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Nadobudnutý alebo prevedený dlhodobý nehnuteľný majetok, pri ktorom nebolo zapísané vlastnícke právo vkladom do katastra nehnuteľností: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Goodwill: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Opravná položka k nadobudnutému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Výskumná a vývojová činnosť spoločnosti: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finančný majetok: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Obstarávacia cena dlhodobého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 dlhodobému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Zmeny v položkách dlhodobého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dlhodobému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Ocenenie dlhodobého finančného majetku reálnou hodnotou: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 zásobám: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zásobám: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Zákazková výroba: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</w:t>
      </w:r>
      <w:r w:rsidR="00A0570C">
        <w:rPr>
          <w:b w:val="0"/>
          <w:bCs/>
        </w:rPr>
        <w:t xml:space="preserve"> položky k pohľadávkam v EUR</w:t>
      </w:r>
      <w:r>
        <w:rPr>
          <w:b w:val="0"/>
          <w:bCs/>
        </w:rPr>
        <w:t>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Veková</w:t>
      </w:r>
      <w:r w:rsidR="00A0570C">
        <w:rPr>
          <w:b w:val="0"/>
          <w:bCs/>
        </w:rPr>
        <w:t xml:space="preserve"> štruktúra pohľadávok v EUR</w:t>
      </w:r>
    </w:p>
    <w:p w:rsidR="00B35EC9" w:rsidRDefault="00B35EC9">
      <w:pPr>
        <w:pStyle w:val="Pismenka"/>
        <w:tabs>
          <w:tab w:val="clear" w:pos="360"/>
        </w:tabs>
        <w:ind w:left="0" w:firstLine="0"/>
        <w:rPr>
          <w:b w:val="0"/>
          <w:bCs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3"/>
        <w:gridCol w:w="2985"/>
      </w:tblGrid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Pohľadávky v lehote splatnosti</w:t>
            </w:r>
          </w:p>
        </w:tc>
        <w:tc>
          <w:tcPr>
            <w:tcW w:w="29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Pohľadávky po lehote splatnosti</w:t>
            </w:r>
          </w:p>
        </w:tc>
        <w:tc>
          <w:tcPr>
            <w:tcW w:w="29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tabs>
          <w:tab w:val="clear" w:pos="360"/>
        </w:tabs>
        <w:ind w:left="0" w:firstLine="0"/>
        <w:rPr>
          <w:b w:val="0"/>
          <w:bCs/>
        </w:rPr>
      </w:pP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Pohľadávky zabezpečené záložným právom: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Pohľadávky, na ktoré sa zriadilo záložné právo: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Odložená daňová pohľadávka: 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Významné zložky krátkodobého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ku krátkodobému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ku krátkodobému finančnému majetku: nevyskytlo sa.</w:t>
      </w:r>
    </w:p>
    <w:p w:rsidR="00B35EC9" w:rsidRDefault="00B35EC9">
      <w:pPr>
        <w:pStyle w:val="Pismenka"/>
        <w:numPr>
          <w:ilvl w:val="0"/>
          <w:numId w:val="10"/>
        </w:numPr>
        <w:rPr>
          <w:b w:val="0"/>
          <w:bCs/>
        </w:rPr>
      </w:pPr>
      <w:r>
        <w:rPr>
          <w:b w:val="0"/>
          <w:bCs/>
        </w:rPr>
        <w:t>Ocenenie krátkodobého finančného majetku reálnou hodnotou: nevyskytlo sa.</w:t>
      </w:r>
    </w:p>
    <w:p w:rsidR="00B35EC9" w:rsidRDefault="00B35EC9">
      <w:pPr>
        <w:pStyle w:val="Pismenka"/>
        <w:numPr>
          <w:ilvl w:val="0"/>
          <w:numId w:val="11"/>
        </w:numPr>
        <w:rPr>
          <w:b w:val="0"/>
        </w:rPr>
      </w:pPr>
      <w:r>
        <w:rPr>
          <w:b w:val="0"/>
        </w:rPr>
        <w:t>Významné položky časového rozlíšenia nákladov budúcich období a príjmov budúcich období: nevyskytlo sa.</w:t>
      </w:r>
    </w:p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 ÚDAjoch vykázaných na strane pasÍV súvahy  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Vlastné imanie za bežné účtovné obdobie: údaje sú uvedené v bode B a P.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rezervách je uvedený v</w:t>
      </w:r>
      <w:r w:rsidR="00A0570C">
        <w:rPr>
          <w:b w:val="0"/>
          <w:bCs/>
        </w:rPr>
        <w:t> nasledujúcej tabuľke: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78"/>
        <w:gridCol w:w="1276"/>
        <w:gridCol w:w="851"/>
        <w:gridCol w:w="850"/>
        <w:gridCol w:w="851"/>
        <w:gridCol w:w="1459"/>
        <w:gridCol w:w="1280"/>
      </w:tblGrid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rezervy</w:t>
            </w:r>
          </w:p>
        </w:tc>
        <w:tc>
          <w:tcPr>
            <w:tcW w:w="1276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Stav k 31.12.20</w:t>
            </w:r>
            <w:r w:rsidR="007169F4">
              <w:t>1</w:t>
            </w:r>
            <w:r w:rsidR="0042166F">
              <w:t>3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Tvorba</w:t>
            </w: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Zníženie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Zrušenie</w:t>
            </w: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Rok použitia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Nečerpané dovolenky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Nevyfakturované služby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Spolu: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lastRenderedPageBreak/>
        <w:t>Prehľad o záväzkoch z hľadiska lehoty splatnosti je uvedený v na</w:t>
      </w:r>
      <w:r w:rsidR="00A0570C">
        <w:rPr>
          <w:b w:val="0"/>
          <w:bCs/>
        </w:rPr>
        <w:t>sledujúcej tabuľke:    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3"/>
        <w:gridCol w:w="2924"/>
      </w:tblGrid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Záväzky v lehote splatnosti</w:t>
            </w:r>
          </w:p>
        </w:tc>
        <w:tc>
          <w:tcPr>
            <w:tcW w:w="2924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0</w:t>
            </w:r>
          </w:p>
        </w:tc>
      </w:tr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Záväzky po lehote splatnosti</w:t>
            </w:r>
          </w:p>
        </w:tc>
        <w:tc>
          <w:tcPr>
            <w:tcW w:w="292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0</w:t>
            </w: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záväzkoch z hľadiska zostatkovej doby splatnosti je uvedený v</w:t>
      </w:r>
      <w:r w:rsidR="00A0570C">
        <w:rPr>
          <w:b w:val="0"/>
          <w:bCs/>
        </w:rPr>
        <w:t> nasledujúcej tabuľke:</w:t>
      </w:r>
      <w:r w:rsidR="00A0570C">
        <w:rPr>
          <w:b w:val="0"/>
          <w:bCs/>
        </w:rPr>
        <w:tab/>
        <w:t>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8"/>
        <w:gridCol w:w="1585"/>
        <w:gridCol w:w="2126"/>
        <w:gridCol w:w="2268"/>
      </w:tblGrid>
      <w:tr w:rsidR="00B35EC9">
        <w:tc>
          <w:tcPr>
            <w:tcW w:w="23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Položka súvahy</w:t>
            </w:r>
          </w:p>
        </w:tc>
        <w:tc>
          <w:tcPr>
            <w:tcW w:w="15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do 1 roka</w:t>
            </w:r>
          </w:p>
        </w:tc>
        <w:tc>
          <w:tcPr>
            <w:tcW w:w="212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od 1 do 5 rokov</w:t>
            </w:r>
          </w:p>
        </w:tc>
        <w:tc>
          <w:tcPr>
            <w:tcW w:w="22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za viac ako 5 rokov</w:t>
            </w:r>
          </w:p>
        </w:tc>
      </w:tr>
      <w:tr w:rsidR="00B35EC9">
        <w:tc>
          <w:tcPr>
            <w:tcW w:w="23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Krátkodobé záväzky</w:t>
            </w:r>
          </w:p>
        </w:tc>
        <w:tc>
          <w:tcPr>
            <w:tcW w:w="1585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2126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22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Záväzky zabezpečené záložným právom: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Odložený daňový záväzok: nevyskytol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Vydané dlhopisy: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Bankové úvery: nevyskytuje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Významné položky časového rozlíšenia výdavkov budúcich období a výnosov budúcich období: nevyskytuje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Deriváty: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Majetok a záväzky zabezpečené derivátmi: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Majetok prenajatý formou finančného prenájmu: </w:t>
      </w:r>
      <w:r>
        <w:rPr>
          <w:b w:val="0"/>
          <w:bCs/>
          <w:color w:val="000000"/>
        </w:rPr>
        <w:t>nevykazuje sa v súvahe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</w:rPr>
      </w:pPr>
    </w:p>
    <w:p w:rsidR="00B35EC9" w:rsidRDefault="00B35EC9">
      <w:pPr>
        <w:pStyle w:val="Heading1"/>
      </w:pPr>
      <w:r>
        <w:t xml:space="preserve">INFormácie o vÝnosoch  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Tržby za v</w:t>
      </w:r>
      <w:r w:rsidR="00A0570C">
        <w:rPr>
          <w:b w:val="0"/>
          <w:bCs/>
        </w:rPr>
        <w:t>lastné výkony a tovar 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93"/>
        <w:gridCol w:w="1253"/>
        <w:gridCol w:w="1418"/>
      </w:tblGrid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segmentu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Tuzemsko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Zahraničie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Tržby</w:t>
            </w:r>
          </w:p>
        </w:tc>
        <w:tc>
          <w:tcPr>
            <w:tcW w:w="1253" w:type="dxa"/>
          </w:tcPr>
          <w:p w:rsidR="00B35EC9" w:rsidRDefault="0042166F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2877,26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z toho: 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Predaj tovaru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služby</w:t>
            </w:r>
          </w:p>
        </w:tc>
        <w:tc>
          <w:tcPr>
            <w:tcW w:w="1253" w:type="dxa"/>
          </w:tcPr>
          <w:p w:rsidR="00B35EC9" w:rsidRDefault="0042166F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2877,26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Zmena stavu zásob vlastnej výroby: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Aktivácia nákladov: nevyskytla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výnosov z hospodárskej činnosti: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finančných výnosov: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mimoriadnych výnosov: nevyskytli sa.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</w:rPr>
      </w:pPr>
    </w:p>
    <w:p w:rsidR="00B35EC9" w:rsidRDefault="00B35EC9">
      <w:pPr>
        <w:pStyle w:val="Heading1"/>
      </w:pPr>
      <w:r>
        <w:t xml:space="preserve">INFormácie o nákladoch  </w:t>
      </w:r>
    </w:p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nákladov za prijaté služby: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96"/>
        <w:gridCol w:w="1168"/>
      </w:tblGrid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nákladov za služby</w:t>
            </w:r>
          </w:p>
        </w:tc>
        <w:tc>
          <w:tcPr>
            <w:tcW w:w="1168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Nájomné, služby spojené s nájmom, energia, teplo</w:t>
            </w:r>
          </w:p>
        </w:tc>
        <w:tc>
          <w:tcPr>
            <w:tcW w:w="1168" w:type="dxa"/>
          </w:tcPr>
          <w:p w:rsidR="00B35EC9" w:rsidRDefault="0042166F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3678,15</w:t>
            </w: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Leasing vozidla</w:t>
            </w:r>
          </w:p>
        </w:tc>
        <w:tc>
          <w:tcPr>
            <w:tcW w:w="11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  <w:color w:val="FF0000"/>
              </w:rPr>
            </w:pPr>
          </w:p>
        </w:tc>
        <w:tc>
          <w:tcPr>
            <w:tcW w:w="11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  <w:color w:val="FF0000"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ostatných nákladov z hospodárskej činnosti: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3"/>
        <w:gridCol w:w="1161"/>
      </w:tblGrid>
      <w:tr w:rsidR="00B35EC9">
        <w:tc>
          <w:tcPr>
            <w:tcW w:w="450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nákladu z HČ</w:t>
            </w:r>
          </w:p>
        </w:tc>
        <w:tc>
          <w:tcPr>
            <w:tcW w:w="1161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</w:p>
        </w:tc>
      </w:tr>
      <w:tr w:rsidR="00B35EC9">
        <w:tc>
          <w:tcPr>
            <w:tcW w:w="450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Tvorba rezervy na dovolenky</w:t>
            </w:r>
          </w:p>
        </w:tc>
        <w:tc>
          <w:tcPr>
            <w:tcW w:w="1161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finančných nákladov: nevyskytli sa.</w:t>
      </w:r>
    </w:p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mimoriadnych nákladov: nevyskytli sa.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  <w:color w:val="FF0000"/>
        </w:rPr>
      </w:pPr>
    </w:p>
    <w:p w:rsidR="00B35EC9" w:rsidRDefault="00B35EC9">
      <w:pPr>
        <w:pStyle w:val="Heading1"/>
      </w:pPr>
      <w:r>
        <w:t>Informácie o daniach z príjmov</w:t>
      </w:r>
    </w:p>
    <w:p w:rsidR="00B35EC9" w:rsidRDefault="00B35EC9">
      <w:pPr>
        <w:pStyle w:val="Pismenka"/>
        <w:tabs>
          <w:tab w:val="clear" w:pos="360"/>
        </w:tabs>
        <w:ind w:left="720"/>
        <w:rPr>
          <w:b w:val="0"/>
          <w:bCs/>
        </w:rPr>
      </w:pPr>
      <w:r>
        <w:rPr>
          <w:b w:val="0"/>
          <w:bCs/>
        </w:rPr>
        <w:t>O odloženej dani spoločnosť neúčtovala.</w:t>
      </w:r>
    </w:p>
    <w:p w:rsidR="00B35EC9" w:rsidRDefault="00B35EC9">
      <w:pPr>
        <w:pStyle w:val="Heading1"/>
      </w:pPr>
      <w:r>
        <w:t>Informácie o údajoch na podsúvahových  účtoch</w:t>
      </w:r>
    </w:p>
    <w:p w:rsidR="00B35EC9" w:rsidRDefault="00B35EC9">
      <w:pPr>
        <w:pStyle w:val="BodyText"/>
      </w:pPr>
      <w:r>
        <w:t>nevyskytlo sa.</w:t>
      </w:r>
    </w:p>
    <w:p w:rsidR="00B35EC9" w:rsidRDefault="00B35EC9">
      <w:pPr>
        <w:pStyle w:val="Heading1"/>
      </w:pPr>
      <w:r>
        <w:t>Informácie o iných aktívach a iných pasívach</w:t>
      </w:r>
    </w:p>
    <w:p w:rsidR="00B35EC9" w:rsidRDefault="00B35EC9">
      <w:pPr>
        <w:pStyle w:val="BodyText"/>
      </w:pPr>
      <w:r>
        <w:t>Spoločnosť nemá iné významné budúce záväzky a práva, ktoré nie sú vykázané v súvahe.</w:t>
      </w:r>
    </w:p>
    <w:p w:rsidR="00B35EC9" w:rsidRDefault="00B35EC9">
      <w:pPr>
        <w:pStyle w:val="Heading1"/>
      </w:pPr>
      <w:r>
        <w:t>Informácie o príjmoch a výhodách členov štatutárnych orgánov, dozorných orgánov a iných orgánov účtovnej jednotky</w:t>
      </w:r>
    </w:p>
    <w:p w:rsidR="00B35EC9" w:rsidRDefault="00B35EC9">
      <w:pPr>
        <w:pStyle w:val="BodyText"/>
        <w:ind w:left="0"/>
      </w:pPr>
      <w:r>
        <w:t xml:space="preserve">        Nevyskytlo sa.</w:t>
      </w:r>
    </w:p>
    <w:p w:rsidR="00B35EC9" w:rsidRDefault="00B35EC9">
      <w:pPr>
        <w:pStyle w:val="Heading1"/>
      </w:pPr>
      <w:r>
        <w:t>Informácie o ekonomických vzťahoch účtovnej jednotky a spriaznených osôb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Spoločnosť uskutočnila v priebehu účtovného obdobia nasledujúce transakcie so spriaznenými osobami: nevyskytlo sa.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Nevyskytuje sa.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Nevyskytuje sa.</w:t>
      </w:r>
    </w:p>
    <w:p w:rsidR="00B35EC9" w:rsidRDefault="00B35EC9">
      <w:pPr>
        <w:pStyle w:val="Pismenka"/>
        <w:tabs>
          <w:tab w:val="clear" w:pos="360"/>
        </w:tabs>
        <w:ind w:left="0" w:firstLine="0"/>
      </w:pPr>
    </w:p>
    <w:p w:rsidR="00B35EC9" w:rsidRDefault="00B35EC9">
      <w:pPr>
        <w:pStyle w:val="Heading1"/>
      </w:pPr>
      <w:r>
        <w:t>Informácie o skutočnostiach, ktoré nastali po dni, ku ktorému sa zostavuje účtovná závierka, do dňa zostavenia účtovnej závierky</w:t>
      </w:r>
    </w:p>
    <w:p w:rsidR="00B35EC9" w:rsidRDefault="00B35EC9">
      <w:pPr>
        <w:pStyle w:val="Pismenka"/>
        <w:tabs>
          <w:tab w:val="clear" w:pos="360"/>
        </w:tabs>
        <w:ind w:firstLine="0"/>
        <w:rPr>
          <w:b w:val="0"/>
          <w:bCs/>
        </w:rPr>
      </w:pPr>
      <w:r>
        <w:rPr>
          <w:b w:val="0"/>
          <w:bCs/>
        </w:rPr>
        <w:t>Nevyskytli sa.</w:t>
      </w:r>
    </w:p>
    <w:p w:rsidR="00B35EC9" w:rsidRDefault="00B35EC9">
      <w:pPr>
        <w:pStyle w:val="Pismenka"/>
        <w:tabs>
          <w:tab w:val="clear" w:pos="360"/>
        </w:tabs>
        <w:ind w:firstLine="0"/>
        <w:rPr>
          <w:b w:val="0"/>
          <w:bCs/>
        </w:rPr>
      </w:pPr>
    </w:p>
    <w:p w:rsidR="00B35EC9" w:rsidRDefault="00B35EC9">
      <w:pPr>
        <w:pStyle w:val="BodyText"/>
        <w:rPr>
          <w:color w:val="FF0000"/>
        </w:rPr>
      </w:pPr>
    </w:p>
    <w:p w:rsidR="00B35EC9" w:rsidRDefault="00B35EC9">
      <w:pPr>
        <w:pStyle w:val="Heading1"/>
        <w:numPr>
          <w:ilvl w:val="0"/>
          <w:numId w:val="4"/>
        </w:numPr>
      </w:pPr>
      <w:bookmarkStart w:id="6" w:name="_Toc530739926"/>
      <w:r>
        <w:t>Prehľad peňažných tokov k 31. decembru 20</w:t>
      </w:r>
      <w:bookmarkEnd w:id="6"/>
      <w:r w:rsidR="0042166F">
        <w:t>13</w:t>
      </w:r>
      <w:r>
        <w:t xml:space="preserve">  - </w:t>
      </w:r>
      <w:r>
        <w:rPr>
          <w:b w:val="0"/>
          <w:bCs/>
          <w:caps w:val="0"/>
        </w:rPr>
        <w:t>nebol zostavený</w:t>
      </w: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42166F">
      <w:pPr>
        <w:pStyle w:val="BodyText"/>
      </w:pPr>
      <w:r>
        <w:tab/>
      </w:r>
      <w:r>
        <w:tab/>
        <w:t>Žilina 29.3.2014</w:t>
      </w:r>
    </w:p>
    <w:p w:rsidR="00B35EC9" w:rsidRDefault="00B35EC9">
      <w:pPr>
        <w:pStyle w:val="Body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B35EC9" w:rsidRDefault="00B35EC9">
      <w:pPr>
        <w:pStyle w:val="Body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B35EC9" w:rsidRDefault="00B35EC9"/>
    <w:sectPr w:rsidR="00B35EC9" w:rsidSect="00241572">
      <w:footerReference w:type="default" r:id="rId8"/>
      <w:pgSz w:w="11907" w:h="16840" w:code="9"/>
      <w:pgMar w:top="1134" w:right="1021" w:bottom="369" w:left="794" w:header="675" w:footer="4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206D" w:rsidRDefault="006A206D">
      <w:r>
        <w:separator/>
      </w:r>
    </w:p>
  </w:endnote>
  <w:endnote w:type="continuationSeparator" w:id="1">
    <w:p w:rsidR="006A206D" w:rsidRDefault="006A20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EC9" w:rsidRDefault="00B35EC9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E05467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E05467">
      <w:rPr>
        <w:rStyle w:val="PageNumber"/>
      </w:rPr>
      <w:fldChar w:fldCharType="separate"/>
    </w:r>
    <w:r w:rsidR="0042166F">
      <w:rPr>
        <w:rStyle w:val="PageNumber"/>
        <w:noProof/>
      </w:rPr>
      <w:t>3</w:t>
    </w:r>
    <w:r w:rsidR="00E05467">
      <w:rPr>
        <w:rStyle w:val="PageNumber"/>
      </w:rPr>
      <w:fldChar w:fldCharType="end"/>
    </w:r>
  </w:p>
  <w:p w:rsidR="00B35EC9" w:rsidRDefault="00B35EC9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206D" w:rsidRDefault="006A206D">
      <w:r>
        <w:separator/>
      </w:r>
    </w:p>
  </w:footnote>
  <w:footnote w:type="continuationSeparator" w:id="1">
    <w:p w:rsidR="006A206D" w:rsidRDefault="006A206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44048"/>
    <w:multiLevelType w:val="hybridMultilevel"/>
    <w:tmpl w:val="91F604E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9F1DA3"/>
    <w:multiLevelType w:val="hybridMultilevel"/>
    <w:tmpl w:val="FF96CC3E"/>
    <w:lvl w:ilvl="0" w:tplc="DC180F72">
      <w:start w:val="1"/>
      <w:numFmt w:val="lowerLetter"/>
      <w:lvlText w:val="(za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0244C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A7C6312"/>
    <w:multiLevelType w:val="multilevel"/>
    <w:tmpl w:val="B2A2765E"/>
    <w:lvl w:ilvl="0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C77ED2"/>
    <w:multiLevelType w:val="hybridMultilevel"/>
    <w:tmpl w:val="19124400"/>
    <w:lvl w:ilvl="0" w:tplc="BABC328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4D962EA0"/>
    <w:multiLevelType w:val="hybridMultilevel"/>
    <w:tmpl w:val="C79C60C0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E688FCA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A4844D5"/>
    <w:multiLevelType w:val="hybridMultilevel"/>
    <w:tmpl w:val="B2A2765E"/>
    <w:lvl w:ilvl="0" w:tplc="4F060E9C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6A3472A"/>
    <w:multiLevelType w:val="hybridMultilevel"/>
    <w:tmpl w:val="AF1C4894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2A526F"/>
    <w:multiLevelType w:val="hybridMultilevel"/>
    <w:tmpl w:val="8CB8E9F0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898587B"/>
    <w:multiLevelType w:val="hybridMultilevel"/>
    <w:tmpl w:val="3F1A1B12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BBF493C"/>
    <w:multiLevelType w:val="hybridMultilevel"/>
    <w:tmpl w:val="0804E7F4"/>
    <w:lvl w:ilvl="0" w:tplc="8E688FCA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>
    <w:nsid w:val="73473C13"/>
    <w:multiLevelType w:val="singleLevel"/>
    <w:tmpl w:val="81D2B83E"/>
    <w:lvl w:ilvl="0">
      <w:start w:val="1"/>
      <w:numFmt w:val="low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7CFC25E7"/>
    <w:multiLevelType w:val="hybridMultilevel"/>
    <w:tmpl w:val="9FC0FFCE"/>
    <w:lvl w:ilvl="0" w:tplc="CCD6C3F4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D045C72"/>
    <w:multiLevelType w:val="hybridMultilevel"/>
    <w:tmpl w:val="878CA5FA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12"/>
    <w:lvlOverride w:ilvl="0">
      <w:startOverride w:val="18"/>
    </w:lvlOverride>
  </w:num>
  <w:num w:numId="5">
    <w:abstractNumId w:val="0"/>
  </w:num>
  <w:num w:numId="6">
    <w:abstractNumId w:val="5"/>
  </w:num>
  <w:num w:numId="7">
    <w:abstractNumId w:val="6"/>
  </w:num>
  <w:num w:numId="8">
    <w:abstractNumId w:val="11"/>
  </w:num>
  <w:num w:numId="9">
    <w:abstractNumId w:val="13"/>
  </w:num>
  <w:num w:numId="10">
    <w:abstractNumId w:val="1"/>
  </w:num>
  <w:num w:numId="11">
    <w:abstractNumId w:val="7"/>
  </w:num>
  <w:num w:numId="12">
    <w:abstractNumId w:val="14"/>
  </w:num>
  <w:num w:numId="13">
    <w:abstractNumId w:val="8"/>
  </w:num>
  <w:num w:numId="14">
    <w:abstractNumId w:val="10"/>
  </w:num>
  <w:num w:numId="15">
    <w:abstractNumId w:val="9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570C"/>
    <w:rsid w:val="000245CE"/>
    <w:rsid w:val="00156D85"/>
    <w:rsid w:val="001C0494"/>
    <w:rsid w:val="00241572"/>
    <w:rsid w:val="002B71C3"/>
    <w:rsid w:val="0042166F"/>
    <w:rsid w:val="00426E88"/>
    <w:rsid w:val="00547D9C"/>
    <w:rsid w:val="006A206D"/>
    <w:rsid w:val="007169F4"/>
    <w:rsid w:val="00752870"/>
    <w:rsid w:val="007E65BA"/>
    <w:rsid w:val="00866E0E"/>
    <w:rsid w:val="00882C0A"/>
    <w:rsid w:val="00A0570C"/>
    <w:rsid w:val="00A05836"/>
    <w:rsid w:val="00AB7DA3"/>
    <w:rsid w:val="00B35EC9"/>
    <w:rsid w:val="00C06094"/>
    <w:rsid w:val="00C9248D"/>
    <w:rsid w:val="00D32273"/>
    <w:rsid w:val="00E05467"/>
    <w:rsid w:val="00E50E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572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qFormat/>
    <w:rsid w:val="00241572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qFormat/>
    <w:rsid w:val="00241572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241572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BodyText"/>
    <w:rsid w:val="00241572"/>
    <w:pPr>
      <w:tabs>
        <w:tab w:val="num" w:pos="360"/>
      </w:tabs>
      <w:ind w:left="360" w:hanging="360"/>
    </w:pPr>
    <w:rPr>
      <w:b/>
    </w:rPr>
  </w:style>
  <w:style w:type="character" w:styleId="PageNumber">
    <w:name w:val="page number"/>
    <w:basedOn w:val="DefaultParagraphFont"/>
    <w:semiHidden/>
    <w:rsid w:val="00241572"/>
  </w:style>
  <w:style w:type="paragraph" w:styleId="Footer">
    <w:name w:val="footer"/>
    <w:basedOn w:val="Normal"/>
    <w:semiHidden/>
    <w:rsid w:val="00241572"/>
    <w:pPr>
      <w:tabs>
        <w:tab w:val="center" w:pos="4153"/>
        <w:tab w:val="right" w:pos="8306"/>
      </w:tabs>
    </w:pPr>
    <w:rPr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5FB46-7D90-4AB4-A9CB-80A2EC3BA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1494</Words>
  <Characters>8518</Characters>
  <Application>Microsoft Office Word</Application>
  <DocSecurity>0</DocSecurity>
  <Lines>70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/>
  <LinksUpToDate>false</LinksUpToDate>
  <CharactersWithSpaces>9993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Peter Lacko</dc:creator>
  <cp:keywords/>
  <dc:description/>
  <cp:lastModifiedBy>eXPerience</cp:lastModifiedBy>
  <cp:revision>2</cp:revision>
  <cp:lastPrinted>2013-03-27T12:25:00Z</cp:lastPrinted>
  <dcterms:created xsi:type="dcterms:W3CDTF">2014-03-31T09:42:00Z</dcterms:created>
  <dcterms:modified xsi:type="dcterms:W3CDTF">2014-03-31T09:42:00Z</dcterms:modified>
</cp:coreProperties>
</file>