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5C634E">
        <w:rPr>
          <w:rFonts w:ascii="Times New Roman" w:hAnsi="Times New Roman" w:cs="Times New Roman"/>
          <w:b/>
          <w:i/>
          <w:sz w:val="28"/>
          <w:szCs w:val="28"/>
        </w:rPr>
        <w:t>A. Informácia o účtovnej jednotke</w:t>
      </w:r>
    </w:p>
    <w:p w:rsidR="009A462F" w:rsidRDefault="009A462F" w:rsidP="009A462F">
      <w:pPr>
        <w:spacing w:after="0" w:line="240" w:lineRule="auto"/>
        <w:jc w:val="both"/>
        <w:rPr>
          <w:i/>
          <w:sz w:val="28"/>
          <w:szCs w:val="28"/>
        </w:rPr>
      </w:pP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b/>
          <w:i/>
          <w:sz w:val="24"/>
          <w:szCs w:val="24"/>
        </w:rPr>
        <w:t>1. Názov a sídlo účtovnej jednotky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sz w:val="24"/>
          <w:szCs w:val="24"/>
        </w:rPr>
        <w:t>Názov spoločnosti:</w:t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="00E9450B">
        <w:rPr>
          <w:rFonts w:ascii="Times New Roman" w:hAnsi="Times New Roman" w:cs="Times New Roman"/>
          <w:b/>
          <w:i/>
          <w:sz w:val="24"/>
          <w:szCs w:val="24"/>
        </w:rPr>
        <w:t>SHEYLY´S, s. r. o.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sz w:val="24"/>
          <w:szCs w:val="24"/>
        </w:rPr>
        <w:t>Sídlo spoločnosti:</w:t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Pr="005C634E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E9450B">
        <w:rPr>
          <w:rFonts w:ascii="Times New Roman" w:hAnsi="Times New Roman" w:cs="Times New Roman"/>
          <w:b/>
          <w:i/>
          <w:sz w:val="24"/>
          <w:szCs w:val="24"/>
        </w:rPr>
        <w:t>Klempova</w:t>
      </w:r>
      <w:proofErr w:type="spellEnd"/>
      <w:r w:rsidR="00E9450B">
        <w:rPr>
          <w:rFonts w:ascii="Times New Roman" w:hAnsi="Times New Roman" w:cs="Times New Roman"/>
          <w:b/>
          <w:i/>
          <w:sz w:val="24"/>
          <w:szCs w:val="24"/>
        </w:rPr>
        <w:t xml:space="preserve"> 2, 917 01 Trnava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sz w:val="24"/>
          <w:szCs w:val="24"/>
        </w:rPr>
        <w:t>Dátum založenia:</w:t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="00E9450B">
        <w:rPr>
          <w:rFonts w:ascii="Times New Roman" w:hAnsi="Times New Roman" w:cs="Times New Roman"/>
          <w:b/>
          <w:i/>
          <w:sz w:val="24"/>
          <w:szCs w:val="24"/>
        </w:rPr>
        <w:t>03. 03</w:t>
      </w:r>
      <w:r w:rsidRPr="005C634E">
        <w:rPr>
          <w:rFonts w:ascii="Times New Roman" w:hAnsi="Times New Roman" w:cs="Times New Roman"/>
          <w:b/>
          <w:i/>
          <w:sz w:val="24"/>
          <w:szCs w:val="24"/>
        </w:rPr>
        <w:t>. 2003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sz w:val="24"/>
          <w:szCs w:val="24"/>
        </w:rPr>
        <w:t xml:space="preserve">Dátum a číslo zápisu do obchodného registra:  </w:t>
      </w:r>
      <w:r w:rsidR="00E9450B">
        <w:rPr>
          <w:rFonts w:ascii="Times New Roman" w:hAnsi="Times New Roman" w:cs="Times New Roman"/>
          <w:b/>
          <w:i/>
          <w:sz w:val="24"/>
          <w:szCs w:val="24"/>
        </w:rPr>
        <w:t>03. 03. 2003, 14014</w:t>
      </w:r>
      <w:r w:rsidRPr="005C634E">
        <w:rPr>
          <w:rFonts w:ascii="Times New Roman" w:hAnsi="Times New Roman" w:cs="Times New Roman"/>
          <w:b/>
          <w:i/>
          <w:sz w:val="24"/>
          <w:szCs w:val="24"/>
        </w:rPr>
        <w:t>/T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5C634E">
        <w:rPr>
          <w:rFonts w:ascii="Times New Roman" w:hAnsi="Times New Roman" w:cs="Times New Roman"/>
          <w:sz w:val="24"/>
          <w:szCs w:val="24"/>
        </w:rPr>
        <w:t>Identifikačné číslo:</w:t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Pr="005C634E">
        <w:rPr>
          <w:rFonts w:ascii="Times New Roman" w:hAnsi="Times New Roman" w:cs="Times New Roman"/>
          <w:sz w:val="24"/>
          <w:szCs w:val="24"/>
        </w:rPr>
        <w:tab/>
      </w:r>
      <w:r w:rsidRPr="005C634E">
        <w:rPr>
          <w:rFonts w:ascii="Times New Roman" w:hAnsi="Times New Roman" w:cs="Times New Roman"/>
          <w:b/>
          <w:i/>
          <w:sz w:val="24"/>
          <w:szCs w:val="24"/>
        </w:rPr>
        <w:t xml:space="preserve">36 25 </w:t>
      </w:r>
      <w:r w:rsidR="00E9450B">
        <w:rPr>
          <w:rFonts w:ascii="Times New Roman" w:hAnsi="Times New Roman" w:cs="Times New Roman"/>
          <w:b/>
          <w:i/>
          <w:sz w:val="24"/>
          <w:szCs w:val="24"/>
        </w:rPr>
        <w:t>36 26</w:t>
      </w:r>
    </w:p>
    <w:p w:rsidR="009A462F" w:rsidRPr="005C634E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2. Hlavné činnosti spoločnosti podľa výpisu z obchodného registra:</w:t>
      </w:r>
    </w:p>
    <w:p w:rsidR="009A462F" w:rsidRPr="005C634E" w:rsidRDefault="003A0B7D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3A0B7D">
        <w:rPr>
          <w:rFonts w:ascii="Times New Roman" w:hAnsi="Times New Roman" w:cs="Times New Roman"/>
          <w:i/>
          <w:sz w:val="24"/>
          <w:szCs w:val="24"/>
        </w:rPr>
        <w:t>ubytovacie služby v ubytovacích zariadeniach s prevádzkovaním pohostinských činností v týchto zariadeniach a v chatovej osade triedy 3 a 4</w:t>
      </w:r>
    </w:p>
    <w:p w:rsidR="009A462F" w:rsidRPr="005C634E" w:rsidRDefault="003A0B7D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9A462F" w:rsidRPr="005C634E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pohostinská činnosť</w:t>
      </w:r>
    </w:p>
    <w:p w:rsidR="009A462F" w:rsidRPr="005C634E" w:rsidRDefault="003A0B7D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- </w:t>
      </w:r>
      <w:r w:rsidR="009A462F" w:rsidRPr="005C634E">
        <w:rPr>
          <w:rFonts w:ascii="Times New Roman" w:hAnsi="Times New Roman" w:cs="Times New Roman"/>
          <w:i/>
          <w:sz w:val="24"/>
          <w:szCs w:val="24"/>
        </w:rPr>
        <w:t>sprostredkovateľská činnosť v</w:t>
      </w:r>
      <w:r>
        <w:rPr>
          <w:rFonts w:ascii="Times New Roman" w:hAnsi="Times New Roman" w:cs="Times New Roman"/>
          <w:i/>
          <w:sz w:val="24"/>
          <w:szCs w:val="24"/>
        </w:rPr>
        <w:t> rozsahu voľnej živnosti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5C634E">
        <w:rPr>
          <w:rFonts w:ascii="Times New Roman" w:hAnsi="Times New Roman" w:cs="Times New Roman"/>
          <w:i/>
          <w:sz w:val="24"/>
          <w:szCs w:val="24"/>
        </w:rPr>
        <w:t>- kúpa tovaru na účely jeho predaja konečnému spotrebiteľovi (maloobchod</w:t>
      </w:r>
      <w:r w:rsidR="003A0B7D">
        <w:rPr>
          <w:rFonts w:ascii="Times New Roman" w:hAnsi="Times New Roman" w:cs="Times New Roman"/>
          <w:i/>
          <w:sz w:val="24"/>
          <w:szCs w:val="24"/>
        </w:rPr>
        <w:t xml:space="preserve">) v </w:t>
      </w:r>
      <w:r>
        <w:rPr>
          <w:rFonts w:ascii="Times New Roman" w:hAnsi="Times New Roman" w:cs="Times New Roman"/>
          <w:i/>
          <w:sz w:val="24"/>
          <w:szCs w:val="24"/>
        </w:rPr>
        <w:t>rozsahu voľnej živnosti</w:t>
      </w:r>
    </w:p>
    <w:p w:rsidR="009A462F" w:rsidRDefault="009A462F" w:rsidP="003A0B7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-</w:t>
      </w:r>
      <w:r w:rsidR="003A0B7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kúpa tovaru na účely jeho predaja iným prevádzkovateľom živnosti (veľkoobchod) v rozsahu voľnej živnosti</w:t>
      </w:r>
    </w:p>
    <w:p w:rsidR="003A0B7D" w:rsidRPr="005C634E" w:rsidRDefault="003A0B7D" w:rsidP="003A0B7D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- prevádzkovanie cestovnej kancelárie</w:t>
      </w:r>
    </w:p>
    <w:p w:rsidR="009A462F" w:rsidRDefault="009A462F" w:rsidP="004047DA">
      <w:pPr>
        <w:spacing w:after="0" w:line="240" w:lineRule="auto"/>
        <w:ind w:left="1276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3. Členovia štatutárneho orgánu: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Štatutárny orgán: </w:t>
      </w:r>
      <w:r w:rsidR="004047DA">
        <w:rPr>
          <w:rFonts w:ascii="Times New Roman" w:hAnsi="Times New Roman" w:cs="Times New Roman"/>
          <w:sz w:val="24"/>
          <w:szCs w:val="24"/>
        </w:rPr>
        <w:tab/>
      </w:r>
      <w:r w:rsidR="004047DA">
        <w:rPr>
          <w:rFonts w:ascii="Times New Roman" w:hAnsi="Times New Roman" w:cs="Times New Roman"/>
          <w:b/>
          <w:i/>
          <w:sz w:val="24"/>
          <w:szCs w:val="24"/>
        </w:rPr>
        <w:t>Konatelia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: </w:t>
      </w:r>
      <w:r>
        <w:rPr>
          <w:rFonts w:ascii="Times New Roman" w:hAnsi="Times New Roman" w:cs="Times New Roman"/>
          <w:i/>
          <w:sz w:val="24"/>
          <w:szCs w:val="24"/>
        </w:rPr>
        <w:tab/>
        <w:t>Andrej Rehák, r. č. 750206/7012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47D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Teplická 27/102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47D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921 01 Piešťany</w:t>
      </w:r>
    </w:p>
    <w:p w:rsidR="004047DA" w:rsidRDefault="004047DA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4047DA" w:rsidRDefault="004047DA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Mariana Gregorová, r. č. 775406/7255</w:t>
      </w:r>
    </w:p>
    <w:p w:rsidR="004047DA" w:rsidRDefault="004047DA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Žilinská 22/1</w:t>
      </w:r>
    </w:p>
    <w:p w:rsidR="004047DA" w:rsidRDefault="004047DA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921 01 Piešťany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47DA"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Kostiantyn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Gaievskyi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, r. č. 670707/9170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47DA">
        <w:rPr>
          <w:rFonts w:ascii="Times New Roman" w:hAnsi="Times New Roman" w:cs="Times New Roman"/>
          <w:i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Klempova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2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4047DA"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917 01 Trnava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Dozorný a iný orgán:</w:t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i/>
          <w:sz w:val="24"/>
          <w:szCs w:val="24"/>
        </w:rPr>
        <w:t>Valné zhromaždenie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13C02" w:rsidRDefault="00613C02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B. Informácie o účtovných metódach a všeobecných účtovných zásadách:</w:t>
      </w:r>
    </w:p>
    <w:p w:rsidR="009A462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Východiská pre zostavenie účtovnej závierky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bola zostavená za predpokladu nepretržitého trvania spoločnosti tzv. 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concern</w:t>
      </w:r>
      <w:proofErr w:type="spellEnd"/>
      <w:r>
        <w:rPr>
          <w:rFonts w:ascii="Times New Roman" w:hAnsi="Times New Roman" w:cs="Times New Roman"/>
          <w:sz w:val="24"/>
          <w:szCs w:val="24"/>
        </w:rPr>
        <w:t>. Účtovné metódy a všeobecné účtovné zásady boli účtovnou jednotkou konzistentne aplikované počas celého účtovného obdobia. Účtovná jednotka nie je súčasťou konsolidovaného celku. Spoločnosť nie je neobmedzene ručiacim spoločníkom v iných spoločnostiach podľa § 56 ods. 5 Obchodného z</w:t>
      </w:r>
      <w:r w:rsidR="00872D79">
        <w:rPr>
          <w:rFonts w:ascii="Times New Roman" w:hAnsi="Times New Roman" w:cs="Times New Roman"/>
          <w:sz w:val="24"/>
          <w:szCs w:val="24"/>
        </w:rPr>
        <w:t>ákonníka. Spoločnosť v roku 2013</w:t>
      </w:r>
      <w:r>
        <w:rPr>
          <w:rFonts w:ascii="Times New Roman" w:hAnsi="Times New Roman" w:cs="Times New Roman"/>
          <w:sz w:val="24"/>
          <w:szCs w:val="24"/>
        </w:rPr>
        <w:t xml:space="preserve"> nemá povinnosť auditu. </w:t>
      </w:r>
    </w:p>
    <w:p w:rsidR="009A462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22A0">
        <w:rPr>
          <w:rFonts w:ascii="Times New Roman" w:hAnsi="Times New Roman" w:cs="Times New Roman"/>
          <w:b/>
          <w:sz w:val="24"/>
          <w:szCs w:val="24"/>
        </w:rPr>
        <w:t>Právny</w:t>
      </w:r>
      <w:r>
        <w:rPr>
          <w:rFonts w:ascii="Times New Roman" w:hAnsi="Times New Roman" w:cs="Times New Roman"/>
          <w:b/>
          <w:sz w:val="24"/>
          <w:szCs w:val="24"/>
        </w:rPr>
        <w:t xml:space="preserve"> dôvod na zostavenie účtovnej závierky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spoločnosti k 31. decembru 2013 je zostavená ako riadna účtovná závierka podľa § 17 ods. 6 zákona č. 431/2002 </w:t>
      </w:r>
      <w:proofErr w:type="spellStart"/>
      <w:r>
        <w:rPr>
          <w:rFonts w:ascii="Times New Roman" w:hAnsi="Times New Roman" w:cs="Times New Roman"/>
          <w:sz w:val="24"/>
          <w:szCs w:val="24"/>
        </w:rPr>
        <w:t>Z.z</w:t>
      </w:r>
      <w:proofErr w:type="spellEnd"/>
      <w:r>
        <w:rPr>
          <w:rFonts w:ascii="Times New Roman" w:hAnsi="Times New Roman" w:cs="Times New Roman"/>
          <w:sz w:val="24"/>
          <w:szCs w:val="24"/>
        </w:rPr>
        <w:t>. o účtovníctve v znení neskorších predpisov, a to za účtovné obdobie od 1. januára 2013 do 31. decembra 2013.</w:t>
      </w:r>
    </w:p>
    <w:p w:rsidR="009A462F" w:rsidRPr="003722A0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nehmotný a dlhodobý hmotný majetok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Dlhodobý majetok nakupovaný sa oceňuje obstarávacou cenou, ktorá zahŕňa cenu obstarania a náklady súvisiace s obstaraním (clo, prepravu, montáž, poistné a pod.). Súčasťou obstarávacej ceny dlhodobého majetku nie sú úroky z cudzích zdrojov ani realizované kurzové rozdiely. 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dlhodobého nehmotného majetku sú stanovené vychádzajúc z predpokladanej doby jeho používania a predpokladaného priebehu jeho opotrebenia. Odpisovať sa začína počnúc mesiacom zaradenia dlhodobého nehmotného majetku do používania. O dlhodobom nehmotnom majetku, ktorého obstarávacia cena je 2.400 EUR a menej, sa účtuje priamo do nákladov.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hmotného majetku sú stanovené vychádzajúc z predpokladanej doby jeho používania a predpokladaného priebehu jeho opotrebenia. Odpisovať sa začína počnúc mesiacom zaradenia dlhodobého majetku do používania. O dlhodobom hmotnom majetku, ktorého obstarávacia cena je 1.700 EUR a nižšia, sa účtuje priamo do nákladov. 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sa zaokrúhľujú na celé eurá smerom nahor. 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obmedzené právo pri nakladaní s hmotným majetkom.</w:t>
      </w:r>
    </w:p>
    <w:p w:rsidR="009A462F" w:rsidRPr="003722A0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Cenné papiere a podiely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nevlastní žiadne cenné papiere a podiely.</w:t>
      </w:r>
    </w:p>
    <w:p w:rsidR="009A462F" w:rsidRPr="0024596D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Nakupované zásoby sa oceňujú obstarávacou cenou, ktorá zahŕňa cenu zásob a náklady súvisiace s obstaraním (clo, prepravu, poistné, provízie, skonto a pod.). Úroky z cudzích zdrojov nie sú súčasťou obstarávacej ceny.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účtovaní zásob postupovala spoločnosť spôsobom B účtovania zásob. Pri vyskladnení zásob sa používala metóda FIFO. Spoločnosť nemá poistené zásoby. Účtovná jednotka vo vykazovanom období nemala zriadené záložné právo na zásoby a ani žiadne obmedzenie pri nakladaní s uvedeným majetkom.</w:t>
      </w:r>
    </w:p>
    <w:p w:rsidR="009A462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sa pri ich vzniku oceňujú menovitou hodnotou. Postúpené pohľadávky a pohľadávky nadobudnuté vkladom do základného imania účtovná jednotka nerealizovala. Toto ocenenie sa zníži na základe existencie predpokladu, že pohľadávky alebo ich časť nebudú zaplatené (tvorbou opravnej položky). K 31.12.2013 účtovná jednotka pri preverovaní pohľadávok nezistila existenciu predpokladu nezaplatenia pohľadávok. Všetky pohľadávky boli zaplatené alebo sú v lehote splatnosti. Spoločnosť vo vykazovanom období neeviduje pohľadávky zabezpečené záložným právom alebo inou formou zabezpečenia. </w:t>
      </w:r>
    </w:p>
    <w:p w:rsidR="009A462F" w:rsidRPr="0024596D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Peňažné prostriedky a ceniny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hodnotou. O znížení ich hodnoty sa neúčtuje, opravná položka k peňažným prostriedkom a ceninám sa netvorí. Ako finančné účty sú vykázané peniaze v pokladnici, účty v bankách a stravné lístky. Účtami v bankách môže spoločnosť voľne disponovať.</w:t>
      </w:r>
    </w:p>
    <w:p w:rsidR="009A462F" w:rsidRPr="00EC5A6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9A462F" w:rsidRPr="00EC5A6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Rezervy sú záväzky s neurčitým časovým vymedzením alebo výškou, tvoria sa na krytie známych rizík alebo strát z podnikania. Oceňujú sa v očakávanej výške záväzku. Rezervy účtovná jednotka </w:t>
      </w:r>
      <w:r w:rsidR="00872D79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tvorila na nevyčerpané dovolenky a k nim prislúchajúce poistenie.</w:t>
      </w:r>
    </w:p>
    <w:p w:rsidR="009A462F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A462F" w:rsidRPr="00506EFB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 budúcich období a výnosy budúcich období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9A462F" w:rsidRPr="00506EFB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Finančný prenájom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prenajímateľom ani nájomcom majetku na základe finančného prenájmu.</w:t>
      </w:r>
    </w:p>
    <w:p w:rsidR="009A462F" w:rsidRPr="00506EFB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Cudzia mena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vyjadrené v cudzej mene sa prepočítavajú na eurá kurzom Európskej centrálnej banky alebo Národnej banky Slovenska, ak voči danej mene nebol určený kurz Európskou centrálnou bankou, vyhláseným v deň predchádzajúci dňu uskutočnenia účtovného prípadu. Ku dňu, ku ktorému sa zostavuje účtovná závierka, sa majetok a záväzky  v cudzej mene prepočítavajú na eurá kurzom Európskej centrálnej banky alebo Národnej banky Slovenska vyhláseným v tento deň.</w:t>
      </w:r>
    </w:p>
    <w:p w:rsidR="009A462F" w:rsidRPr="00506EFB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výkony a tovar neobsahujú daň z pridanej hodnoty a sú znížené o zľavy a zrážky  (rabaty, bonusy, skontá, dobropisy a pod.)</w:t>
      </w:r>
    </w:p>
    <w:p w:rsidR="009A462F" w:rsidRPr="00506EFB" w:rsidRDefault="009A462F" w:rsidP="009A462F">
      <w:pPr>
        <w:pStyle w:val="Odsekzoznamu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Daň z príjmov</w:t>
      </w:r>
    </w:p>
    <w:p w:rsidR="009A462F" w:rsidRDefault="009A462F" w:rsidP="009A462F">
      <w:pPr>
        <w:pStyle w:val="Odsekzoznamu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 z príjmov sa skladá zo splatnej dane, o odloženej dani účtovná jednotka neúčtuje. Splatná daň z príjmov sa počíta vo výške 19% daňového základu, ktorý sa vypočítal úpravou účtovného výsledku hospodárenia pred zdanením o položky zvyšujúce a znižujúce základ dane.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Odpisovanie dlhodobého majetku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889" w:type="dxa"/>
        <w:tblBorders>
          <w:top w:val="double" w:sz="6" w:space="0" w:color="auto"/>
          <w:left w:val="double" w:sz="6" w:space="0" w:color="auto"/>
          <w:bottom w:val="double" w:sz="6" w:space="0" w:color="auto"/>
          <w:right w:val="doub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4819"/>
      </w:tblGrid>
      <w:tr w:rsidR="009A462F" w:rsidTr="00134312">
        <w:trPr>
          <w:trHeight w:val="828"/>
        </w:trPr>
        <w:tc>
          <w:tcPr>
            <w:tcW w:w="1951" w:type="dxa"/>
          </w:tcPr>
          <w:p w:rsidR="009A462F" w:rsidRPr="00E31CC4" w:rsidRDefault="009A462F" w:rsidP="0013431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Druh  </w:t>
            </w: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inv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 majetku</w:t>
            </w:r>
          </w:p>
        </w:tc>
        <w:tc>
          <w:tcPr>
            <w:tcW w:w="1559" w:type="dxa"/>
          </w:tcPr>
          <w:p w:rsidR="009A462F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Rok</w:t>
            </w:r>
          </w:p>
          <w:p w:rsidR="009A462F" w:rsidRPr="00E31CC4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odpisovania</w:t>
            </w:r>
          </w:p>
        </w:tc>
        <w:tc>
          <w:tcPr>
            <w:tcW w:w="1560" w:type="dxa"/>
          </w:tcPr>
          <w:p w:rsidR="009A462F" w:rsidRPr="00E31CC4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1CC4">
              <w:rPr>
                <w:rFonts w:ascii="Times New Roman" w:hAnsi="Times New Roman" w:cs="Times New Roman"/>
                <w:b/>
                <w:sz w:val="24"/>
                <w:szCs w:val="24"/>
              </w:rPr>
              <w:t>Typ odpisov</w:t>
            </w:r>
          </w:p>
        </w:tc>
        <w:tc>
          <w:tcPr>
            <w:tcW w:w="4819" w:type="dxa"/>
          </w:tcPr>
          <w:p w:rsidR="009A462F" w:rsidRPr="00E31CC4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31CC4">
              <w:rPr>
                <w:rFonts w:ascii="Times New Roman" w:hAnsi="Times New Roman" w:cs="Times New Roman"/>
                <w:b/>
                <w:sz w:val="24"/>
                <w:szCs w:val="24"/>
              </w:rPr>
              <w:t>Odpisové metódy pri stanovení účtovných odpisov</w:t>
            </w:r>
          </w:p>
        </w:tc>
      </w:tr>
      <w:tr w:rsidR="009A462F" w:rsidTr="00134312">
        <w:trPr>
          <w:trHeight w:val="828"/>
        </w:trPr>
        <w:tc>
          <w:tcPr>
            <w:tcW w:w="1951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1559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60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rovnormerne</w:t>
            </w:r>
            <w:proofErr w:type="spellEnd"/>
          </w:p>
        </w:tc>
        <w:tc>
          <w:tcPr>
            <w:tcW w:w="4819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A462F" w:rsidTr="00134312">
        <w:trPr>
          <w:trHeight w:val="828"/>
        </w:trPr>
        <w:tc>
          <w:tcPr>
            <w:tcW w:w="1951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Termostaty regulátory</w:t>
            </w:r>
          </w:p>
        </w:tc>
        <w:tc>
          <w:tcPr>
            <w:tcW w:w="1559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60B9F"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A462F" w:rsidTr="00134312">
        <w:trPr>
          <w:trHeight w:val="828"/>
        </w:trPr>
        <w:tc>
          <w:tcPr>
            <w:tcW w:w="1951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Telefónna ústredňa</w:t>
            </w:r>
          </w:p>
        </w:tc>
        <w:tc>
          <w:tcPr>
            <w:tcW w:w="1559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560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A462F" w:rsidTr="00134312">
        <w:trPr>
          <w:trHeight w:val="828"/>
        </w:trPr>
        <w:tc>
          <w:tcPr>
            <w:tcW w:w="1951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Volkswagen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Passat</w:t>
            </w:r>
            <w:proofErr w:type="spellEnd"/>
          </w:p>
        </w:tc>
        <w:tc>
          <w:tcPr>
            <w:tcW w:w="1559" w:type="dxa"/>
            <w:vAlign w:val="center"/>
          </w:tcPr>
          <w:p w:rsidR="009A462F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60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A462F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52955" w:rsidTr="00134312">
        <w:trPr>
          <w:trHeight w:val="828"/>
        </w:trPr>
        <w:tc>
          <w:tcPr>
            <w:tcW w:w="1951" w:type="dxa"/>
            <w:vAlign w:val="center"/>
          </w:tcPr>
          <w:p w:rsidR="00952955" w:rsidRDefault="005042A8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Posuvné </w:t>
            </w:r>
            <w:r w:rsidR="00BB7B20">
              <w:rPr>
                <w:rFonts w:ascii="Times New Roman" w:hAnsi="Times New Roman" w:cs="Times New Roman"/>
                <w:sz w:val="24"/>
                <w:szCs w:val="24"/>
              </w:rPr>
              <w:t>vchodové dvere</w:t>
            </w:r>
          </w:p>
        </w:tc>
        <w:tc>
          <w:tcPr>
            <w:tcW w:w="1559" w:type="dxa"/>
            <w:vAlign w:val="center"/>
          </w:tcPr>
          <w:p w:rsidR="00952955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60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52955" w:rsidTr="00134312">
        <w:trPr>
          <w:trHeight w:val="828"/>
        </w:trPr>
        <w:tc>
          <w:tcPr>
            <w:tcW w:w="1951" w:type="dxa"/>
            <w:vAlign w:val="center"/>
          </w:tcPr>
          <w:p w:rsidR="00952955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Požiarna ústredňa</w:t>
            </w:r>
          </w:p>
        </w:tc>
        <w:tc>
          <w:tcPr>
            <w:tcW w:w="1559" w:type="dxa"/>
            <w:vAlign w:val="center"/>
          </w:tcPr>
          <w:p w:rsidR="00952955" w:rsidRDefault="00BB7B20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60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  <w:tr w:rsidR="00952955" w:rsidTr="00134312">
        <w:trPr>
          <w:trHeight w:val="828"/>
        </w:trPr>
        <w:tc>
          <w:tcPr>
            <w:tcW w:w="1951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Satelitný systém</w:t>
            </w:r>
          </w:p>
        </w:tc>
        <w:tc>
          <w:tcPr>
            <w:tcW w:w="1559" w:type="dxa"/>
            <w:vAlign w:val="center"/>
          </w:tcPr>
          <w:p w:rsidR="00952955" w:rsidRDefault="005042A8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60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4819" w:type="dxa"/>
            <w:vAlign w:val="center"/>
          </w:tcPr>
          <w:p w:rsidR="00952955" w:rsidRDefault="00952955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Účtovné odpisy sa rovnajú daňovým odpisom</w:t>
            </w:r>
          </w:p>
        </w:tc>
      </w:tr>
    </w:tbl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>
        <w:rPr>
          <w:rFonts w:ascii="Times New Roman" w:hAnsi="Times New Roman" w:cs="Times New Roman"/>
          <w:b/>
          <w:i/>
          <w:sz w:val="28"/>
          <w:szCs w:val="28"/>
        </w:rPr>
        <w:t>C. Doplňujúce informácie k súvahe a výkazu ziskov a strát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8"/>
          <w:szCs w:val="28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Tvorba opravných položiek – </w:t>
      </w:r>
      <w:r>
        <w:rPr>
          <w:rFonts w:ascii="Times New Roman" w:hAnsi="Times New Roman" w:cs="Times New Roman"/>
          <w:sz w:val="24"/>
          <w:szCs w:val="24"/>
        </w:rPr>
        <w:t>opravné položky neboli tvorené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Zmeny spôsobov – </w:t>
      </w:r>
      <w:r>
        <w:rPr>
          <w:rFonts w:ascii="Times New Roman" w:hAnsi="Times New Roman" w:cs="Times New Roman"/>
          <w:sz w:val="24"/>
          <w:szCs w:val="24"/>
        </w:rPr>
        <w:t>v roku 2013 sa neuskutočnili žiadne zmeny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3. Spôsob a výška poistenia dlhodobého majetku v celých eurách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nemá poistený dlhodobý majetok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0B9F">
        <w:rPr>
          <w:rFonts w:ascii="Times New Roman" w:hAnsi="Times New Roman" w:cs="Times New Roman"/>
          <w:b/>
          <w:sz w:val="24"/>
          <w:szCs w:val="24"/>
        </w:rPr>
        <w:t>4.  Údaje o záväzkoch v celých eurách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974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518"/>
        <w:gridCol w:w="992"/>
        <w:gridCol w:w="993"/>
        <w:gridCol w:w="992"/>
        <w:gridCol w:w="1134"/>
        <w:gridCol w:w="992"/>
        <w:gridCol w:w="1092"/>
        <w:gridCol w:w="1034"/>
      </w:tblGrid>
      <w:tr w:rsidR="009A462F" w:rsidTr="00134312">
        <w:tc>
          <w:tcPr>
            <w:tcW w:w="2518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Súvahová položka záväzku</w:t>
            </w:r>
          </w:p>
        </w:tc>
        <w:tc>
          <w:tcPr>
            <w:tcW w:w="9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Do lehoty splatnosti</w:t>
            </w:r>
          </w:p>
        </w:tc>
        <w:tc>
          <w:tcPr>
            <w:tcW w:w="993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Po lehote splatnosti spolu, v tom</w:t>
            </w:r>
          </w:p>
        </w:tc>
        <w:tc>
          <w:tcPr>
            <w:tcW w:w="9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Zostatok doby splatnosti do 1 roka</w:t>
            </w:r>
          </w:p>
        </w:tc>
        <w:tc>
          <w:tcPr>
            <w:tcW w:w="1134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Zostatok doby splatnosti od 1 roka do 5 rokov</w:t>
            </w:r>
          </w:p>
        </w:tc>
        <w:tc>
          <w:tcPr>
            <w:tcW w:w="9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Zostatok doby splatnosti nad 5 rokov</w:t>
            </w:r>
          </w:p>
        </w:tc>
        <w:tc>
          <w:tcPr>
            <w:tcW w:w="10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Výška záväzkov krytých záložným právom</w:t>
            </w:r>
          </w:p>
        </w:tc>
        <w:tc>
          <w:tcPr>
            <w:tcW w:w="1034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Výška záväzkov voči spriazneným osobám</w:t>
            </w: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1. Záväzky z obchodného styku (321, 322, 324, 325, 32X, 475A, 478A, 479A, 47XA)</w:t>
            </w:r>
          </w:p>
        </w:tc>
        <w:tc>
          <w:tcPr>
            <w:tcW w:w="992" w:type="dxa"/>
            <w:vAlign w:val="center"/>
          </w:tcPr>
          <w:p w:rsidR="009A462F" w:rsidRPr="00DB22C3" w:rsidRDefault="005042A8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-302</w:t>
            </w: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2. Záväzky vo ovládanej osobe a ovládajúcej osobe (361A, 471A)</w:t>
            </w:r>
          </w:p>
        </w:tc>
        <w:tc>
          <w:tcPr>
            <w:tcW w:w="992" w:type="dxa"/>
            <w:vAlign w:val="center"/>
          </w:tcPr>
          <w:p w:rsidR="009A462F" w:rsidRPr="00DB22C3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3. Ostatné záväzky v rámci konsolidovaného celku (361A, 36XA, 471A, 47XA)</w:t>
            </w:r>
          </w:p>
        </w:tc>
        <w:tc>
          <w:tcPr>
            <w:tcW w:w="992" w:type="dxa"/>
            <w:vAlign w:val="center"/>
          </w:tcPr>
          <w:p w:rsidR="009A462F" w:rsidRPr="00DB22C3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4. Záväzky voči spoločníkom a združeniu (364, 365, 366, 367, 368, 398A, 478A, 479A)</w:t>
            </w:r>
          </w:p>
        </w:tc>
        <w:tc>
          <w:tcPr>
            <w:tcW w:w="992" w:type="dxa"/>
            <w:vAlign w:val="center"/>
          </w:tcPr>
          <w:p w:rsidR="009A462F" w:rsidRPr="00DB22C3" w:rsidRDefault="005042A8" w:rsidP="00AD292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28304</w:t>
            </w: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5. Záväzky voči zamestnancom (331, 333, 33X,479A)</w:t>
            </w:r>
          </w:p>
        </w:tc>
        <w:tc>
          <w:tcPr>
            <w:tcW w:w="992" w:type="dxa"/>
            <w:vAlign w:val="center"/>
          </w:tcPr>
          <w:p w:rsidR="009A462F" w:rsidRPr="00DB22C3" w:rsidRDefault="005042A8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996</w:t>
            </w:r>
          </w:p>
        </w:tc>
        <w:tc>
          <w:tcPr>
            <w:tcW w:w="993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134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9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92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  <w:tc>
          <w:tcPr>
            <w:tcW w:w="1034" w:type="dxa"/>
            <w:vAlign w:val="center"/>
          </w:tcPr>
          <w:p w:rsidR="009A462F" w:rsidRPr="00500E89" w:rsidRDefault="009A462F" w:rsidP="00134312">
            <w:pPr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6. Záväzky zo sociálneho zabezpečenia (336, 479A)</w:t>
            </w:r>
          </w:p>
        </w:tc>
        <w:tc>
          <w:tcPr>
            <w:tcW w:w="992" w:type="dxa"/>
            <w:vAlign w:val="center"/>
          </w:tcPr>
          <w:p w:rsidR="009A462F" w:rsidRPr="00DB22C3" w:rsidRDefault="005042A8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</w:t>
            </w: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7. Daňové záväzky a dotácie (341, 342, 343, 345, 346, 347, 34X)</w:t>
            </w:r>
          </w:p>
        </w:tc>
        <w:tc>
          <w:tcPr>
            <w:tcW w:w="992" w:type="dxa"/>
            <w:vAlign w:val="center"/>
          </w:tcPr>
          <w:p w:rsidR="009A462F" w:rsidRPr="00DB22C3" w:rsidRDefault="009A462F" w:rsidP="001343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A462F" w:rsidTr="00134312">
        <w:tc>
          <w:tcPr>
            <w:tcW w:w="2518" w:type="dxa"/>
          </w:tcPr>
          <w:p w:rsidR="009A462F" w:rsidRPr="00500E89" w:rsidRDefault="009A462F" w:rsidP="00134312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 w:rsidRPr="00500E89">
              <w:rPr>
                <w:rFonts w:ascii="Times New Roman" w:hAnsi="Times New Roman" w:cs="Times New Roman"/>
                <w:sz w:val="16"/>
                <w:szCs w:val="16"/>
              </w:rPr>
              <w:t>8. Ostatné záväzky (372A, 373A, 377A, 379A, 474A, 479A, 47X)</w:t>
            </w: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3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92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A462F" w:rsidRPr="00500E89" w:rsidRDefault="009A462F" w:rsidP="00134312">
            <w:pPr>
              <w:jc w:val="both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9A462F" w:rsidRPr="00C60B9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vo vykazovanom období neevidovala záväzky kryté záložným právom.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Údaje o dlhopisoch – </w:t>
      </w:r>
      <w:r>
        <w:rPr>
          <w:rFonts w:ascii="Times New Roman" w:hAnsi="Times New Roman" w:cs="Times New Roman"/>
          <w:sz w:val="24"/>
          <w:szCs w:val="24"/>
        </w:rPr>
        <w:t>firma nevlastní žiadne dlhopisy. Spoločnosť vo vykazovanom období nevydala žiadne dlhopisy.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Údaje o finančnom majetku 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Opravné položky – k finančnému majetku neboli tvorené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7. Údaje o jednotlivých bankových úveroch a výpomociach – </w:t>
      </w:r>
      <w:r>
        <w:rPr>
          <w:rFonts w:ascii="Times New Roman" w:hAnsi="Times New Roman" w:cs="Times New Roman"/>
          <w:sz w:val="24"/>
          <w:szCs w:val="24"/>
        </w:rPr>
        <w:t>firma nemá žiadne bankové úvery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8. Údaje o zmene stavu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vrátane dôvodu rozdielu ak sa zmena stavu nerovná rozdielu medzi stavom netto k 31. 12. minulého a bežného účtovného obdobia ( napr. zmena metódy ocenenia, manká a škody, dary a pod.) – žiadne zmeny stavu sa neuskutočnili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9. Údaje o nákladových úrokoch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firma neplatila žiadne nákladové úroky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10. Údaje o výnosových úrokoch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firma získ</w:t>
      </w:r>
      <w:r w:rsidR="00540200">
        <w:rPr>
          <w:rFonts w:ascii="Times New Roman" w:hAnsi="Times New Roman" w:cs="Times New Roman"/>
          <w:sz w:val="24"/>
          <w:szCs w:val="24"/>
        </w:rPr>
        <w:t>al</w:t>
      </w:r>
      <w:r w:rsidR="005042A8">
        <w:rPr>
          <w:rFonts w:ascii="Times New Roman" w:hAnsi="Times New Roman" w:cs="Times New Roman"/>
          <w:sz w:val="24"/>
          <w:szCs w:val="24"/>
        </w:rPr>
        <w:t xml:space="preserve">a výnosové úroky vo výške </w:t>
      </w:r>
      <w:r w:rsidR="005042A8">
        <w:rPr>
          <w:rFonts w:ascii="Times New Roman" w:hAnsi="Times New Roman" w:cs="Times New Roman"/>
          <w:sz w:val="24"/>
          <w:szCs w:val="24"/>
        </w:rPr>
        <w:tab/>
      </w:r>
      <w:r w:rsidR="005042A8">
        <w:rPr>
          <w:rFonts w:ascii="Times New Roman" w:hAnsi="Times New Roman" w:cs="Times New Roman"/>
          <w:sz w:val="24"/>
          <w:szCs w:val="24"/>
        </w:rPr>
        <w:tab/>
        <w:t>0,12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 toho výška týkajúca sa spriaznených osôb:</w:t>
      </w:r>
      <w:r>
        <w:rPr>
          <w:rFonts w:ascii="Times New Roman" w:hAnsi="Times New Roman" w:cs="Times New Roman"/>
          <w:sz w:val="24"/>
          <w:szCs w:val="24"/>
        </w:rPr>
        <w:tab/>
        <w:t>0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11. Údaje o výnosoch z finančných investícií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firma nezískala žiadne výnosy z finančných investícií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z toho výška týkajúcich sa spriaznených </w:t>
      </w:r>
      <w:proofErr w:type="spellStart"/>
      <w:r>
        <w:rPr>
          <w:rFonts w:ascii="Times New Roman" w:hAnsi="Times New Roman" w:cs="Times New Roman"/>
          <w:sz w:val="24"/>
          <w:szCs w:val="24"/>
        </w:rPr>
        <w:t>osob</w:t>
      </w:r>
      <w:proofErr w:type="spellEnd"/>
      <w:r>
        <w:rPr>
          <w:rFonts w:ascii="Times New Roman" w:hAnsi="Times New Roman" w:cs="Times New Roman"/>
          <w:sz w:val="24"/>
          <w:szCs w:val="24"/>
        </w:rPr>
        <w:t>:    0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12. Údaje o mimoriadnych nákladoch a mimoriadnych výnosoch </w:t>
      </w:r>
      <w:r w:rsidRPr="008D3FF2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>u mimoriadne významných položiek a položiek týkajúcich sa spriaznených osôb ich výšku a popis)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Mimoriadne náklady: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firma nemala mimoriadne náklady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Mimoriadne výnosy: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firma nemala mimoriadne výnosy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53F8">
        <w:rPr>
          <w:rFonts w:ascii="Times New Roman" w:hAnsi="Times New Roman" w:cs="Times New Roman"/>
          <w:b/>
          <w:sz w:val="24"/>
          <w:szCs w:val="24"/>
        </w:rPr>
        <w:t>13. Údaje o nákladoch a výnosoch súvisiacich s iným účtovným obdobím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 u významných položiek ich výška a popis)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dodatočné účtovné prípady týkajúce sa predchádzajúceho roku sa neúčtovali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14. Prehľad o majetku, ktorého trhové ocenenie sa výrazne odlišuje od jeho ocenenia v účtovníctve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firma nevlastní žiadny majetok, ktorého trhové ocenenie sa výrazne odlišuje od jeho ocenenia v účtovníctve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15. Ďalšie záväzky neuvedené v bežnom účtovníctve a súvahe</w:t>
      </w:r>
    </w:p>
    <w:p w:rsidR="009A462F" w:rsidRDefault="009A462F" w:rsidP="009A462F">
      <w:pPr>
        <w:spacing w:after="0" w:line="240" w:lineRule="auto"/>
        <w:ind w:left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záväzky z ručenia a ich vecné zabezpečenie – firma nemá žiadne záväzky vyplývajúce z ručenia</w:t>
      </w:r>
    </w:p>
    <w:p w:rsidR="009A462F" w:rsidRDefault="009A462F" w:rsidP="009A462F">
      <w:pPr>
        <w:spacing w:after="0" w:line="240" w:lineRule="auto"/>
        <w:ind w:left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záväzky vyplývajúce zo súdnych sporov – firma nemá žiadne záväzky vyplývajúce zo súdnych sporov</w:t>
      </w:r>
    </w:p>
    <w:p w:rsidR="009A462F" w:rsidRDefault="009A462F" w:rsidP="009A462F">
      <w:pPr>
        <w:spacing w:after="0" w:line="240" w:lineRule="auto"/>
        <w:ind w:left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záväzky vyplývajúce z poskytnutých záruk – firma neposkytla žiadne záruky, takže nemá žiadne záväzky z toho vyplývajúce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53F8">
        <w:rPr>
          <w:rFonts w:ascii="Times New Roman" w:hAnsi="Times New Roman" w:cs="Times New Roman"/>
          <w:b/>
          <w:sz w:val="24"/>
          <w:szCs w:val="24"/>
        </w:rPr>
        <w:t>16. Ostatné finančné povinnosti neuvedené v bežnom účtovníctve a súvahe</w:t>
      </w:r>
      <w:r>
        <w:rPr>
          <w:rFonts w:ascii="Times New Roman" w:hAnsi="Times New Roman" w:cs="Times New Roman"/>
          <w:sz w:val="24"/>
          <w:szCs w:val="24"/>
        </w:rPr>
        <w:t xml:space="preserve"> – popis, výška, príp. vzťah k spriaznenej osobe</w:t>
      </w:r>
    </w:p>
    <w:p w:rsidR="009A462F" w:rsidRDefault="009A462F" w:rsidP="009A462F">
      <w:pPr>
        <w:spacing w:after="0" w:line="240" w:lineRule="auto"/>
        <w:ind w:left="30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povinnosti z devízových termínovaných obchodov a iných finančných derivátov – žiadne</w:t>
      </w:r>
    </w:p>
    <w:p w:rsidR="009A462F" w:rsidRDefault="009A462F" w:rsidP="009A462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b/ povinnosti z opčných obchodov –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c/ zákonná alebo zmluvná povinnosť odobrať určité produkty, napr. z dodávateľských       alebo odberateľských zmlúv –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d/ z leasingových, nájomných , servisných, poistných, koncesionárskych, licenčných a pod. zmlúv –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e/ povinnosť preinvestovať prostriedky získané oslobodením od dane z príjmov – firma nebola oslobodená od dane z príjmov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f/ povinnosti vyplývajúce z privatizácie (povinnosť preinvestovať časť kúpnej ceny, povinnosť presadiť ako spoločník, resp. akcionár preinvestovanie časti kúpnej ceny a pod.) –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17. Údaje o výskume a vývoji </w:t>
      </w:r>
      <w:r>
        <w:rPr>
          <w:rFonts w:ascii="Times New Roman" w:hAnsi="Times New Roman" w:cs="Times New Roman"/>
          <w:sz w:val="24"/>
          <w:szCs w:val="24"/>
        </w:rPr>
        <w:t xml:space="preserve"> -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18. Údaje o spriaznených osobách 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- k spriazneným osobám patria: </w:t>
      </w:r>
      <w:r>
        <w:rPr>
          <w:rFonts w:ascii="Times New Roman" w:hAnsi="Times New Roman" w:cs="Times New Roman"/>
          <w:b/>
          <w:sz w:val="24"/>
          <w:szCs w:val="24"/>
        </w:rPr>
        <w:t>firma nemá vzťahy so žiadnymi spriaznenými osobami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transakcie medzi spriaznenými osobami: </w:t>
      </w:r>
      <w:r>
        <w:rPr>
          <w:rFonts w:ascii="Times New Roman" w:hAnsi="Times New Roman" w:cs="Times New Roman"/>
          <w:b/>
          <w:sz w:val="24"/>
          <w:szCs w:val="24"/>
        </w:rPr>
        <w:t>neboli žiadne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19. Udalosti, ktoré nastali po dni, ku ktorému sa zostavuje účtovná závierka a ktoré neboli v nej zohľadnené, </w:t>
      </w:r>
      <w:r>
        <w:rPr>
          <w:rFonts w:ascii="Times New Roman" w:hAnsi="Times New Roman" w:cs="Times New Roman"/>
          <w:sz w:val="24"/>
          <w:szCs w:val="24"/>
        </w:rPr>
        <w:t>ale majú významný vplyv na verné zobrazenie skutočnosti, ktoré sú predmetom účtovníctva: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Po účtovnej uzávierke nenastali žiadne udalosti, ktoré by ovplyvnili výsledky roku 2013.</w:t>
      </w: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462F" w:rsidRPr="00AF0611" w:rsidRDefault="009A462F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</w:t>
      </w:r>
    </w:p>
    <w:p w:rsidR="009A462F" w:rsidRPr="00AF0611" w:rsidRDefault="005042A8" w:rsidP="009A462F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 Trnave, 06</w:t>
      </w:r>
      <w:r w:rsidR="009A462F">
        <w:rPr>
          <w:rFonts w:ascii="Times New Roman" w:hAnsi="Times New Roman" w:cs="Times New Roman"/>
          <w:i/>
          <w:sz w:val="24"/>
          <w:szCs w:val="24"/>
        </w:rPr>
        <w:t>. 0</w:t>
      </w:r>
      <w:r>
        <w:rPr>
          <w:rFonts w:ascii="Times New Roman" w:hAnsi="Times New Roman" w:cs="Times New Roman"/>
          <w:i/>
          <w:sz w:val="24"/>
          <w:szCs w:val="24"/>
        </w:rPr>
        <w:t>3</w:t>
      </w:r>
      <w:r w:rsidR="009A462F">
        <w:rPr>
          <w:rFonts w:ascii="Times New Roman" w:hAnsi="Times New Roman" w:cs="Times New Roman"/>
          <w:i/>
          <w:sz w:val="24"/>
          <w:szCs w:val="24"/>
        </w:rPr>
        <w:t>. 2014</w:t>
      </w:r>
      <w:r w:rsidR="009A462F">
        <w:rPr>
          <w:rFonts w:ascii="Times New Roman" w:hAnsi="Times New Roman" w:cs="Times New Roman"/>
          <w:i/>
          <w:sz w:val="24"/>
          <w:szCs w:val="24"/>
        </w:rPr>
        <w:tab/>
      </w:r>
      <w:r w:rsidR="009A462F">
        <w:rPr>
          <w:rFonts w:ascii="Times New Roman" w:hAnsi="Times New Roman" w:cs="Times New Roman"/>
          <w:i/>
          <w:sz w:val="24"/>
          <w:szCs w:val="24"/>
        </w:rPr>
        <w:tab/>
      </w:r>
      <w:r w:rsidR="009A462F">
        <w:rPr>
          <w:rFonts w:ascii="Times New Roman" w:hAnsi="Times New Roman" w:cs="Times New Roman"/>
          <w:i/>
          <w:sz w:val="24"/>
          <w:szCs w:val="24"/>
        </w:rPr>
        <w:tab/>
        <w:t xml:space="preserve">      </w:t>
      </w:r>
      <w:r w:rsidR="009A462F">
        <w:rPr>
          <w:rFonts w:ascii="Times New Roman" w:hAnsi="Times New Roman" w:cs="Times New Roman"/>
          <w:i/>
          <w:sz w:val="24"/>
          <w:szCs w:val="24"/>
        </w:rPr>
        <w:tab/>
        <w:t xml:space="preserve">podpis štatutárneho orgánu </w:t>
      </w:r>
    </w:p>
    <w:p w:rsidR="009A4EB9" w:rsidRDefault="009A4EB9">
      <w:bookmarkStart w:id="0" w:name="_GoBack"/>
      <w:bookmarkEnd w:id="0"/>
    </w:p>
    <w:sectPr w:rsidR="009A4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633F9E"/>
    <w:multiLevelType w:val="hybridMultilevel"/>
    <w:tmpl w:val="D9CC245A"/>
    <w:lvl w:ilvl="0" w:tplc="20DABAA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B14"/>
    <w:rsid w:val="001E3916"/>
    <w:rsid w:val="003A0B7D"/>
    <w:rsid w:val="004047DA"/>
    <w:rsid w:val="005042A8"/>
    <w:rsid w:val="00540200"/>
    <w:rsid w:val="00613C02"/>
    <w:rsid w:val="00872D79"/>
    <w:rsid w:val="00952955"/>
    <w:rsid w:val="009A462F"/>
    <w:rsid w:val="009A4EB9"/>
    <w:rsid w:val="00AD2924"/>
    <w:rsid w:val="00B83B14"/>
    <w:rsid w:val="00BB7B20"/>
    <w:rsid w:val="00E94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6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462F"/>
    <w:pPr>
      <w:ind w:left="720"/>
      <w:contextualSpacing/>
    </w:pPr>
  </w:style>
  <w:style w:type="table" w:styleId="Mriekatabuky">
    <w:name w:val="Table Grid"/>
    <w:basedOn w:val="Normlnatabuka"/>
    <w:uiPriority w:val="59"/>
    <w:rsid w:val="009A46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6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462F"/>
    <w:pPr>
      <w:ind w:left="720"/>
      <w:contextualSpacing/>
    </w:pPr>
  </w:style>
  <w:style w:type="table" w:styleId="Mriekatabuky">
    <w:name w:val="Table Grid"/>
    <w:basedOn w:val="Normlnatabuka"/>
    <w:uiPriority w:val="59"/>
    <w:rsid w:val="009A46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1784</Words>
  <Characters>10172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Sheyly´s Hotel</Company>
  <LinksUpToDate>false</LinksUpToDate>
  <CharactersWithSpaces>11933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PC_01</dc:creator>
  <cp:lastModifiedBy>Majka</cp:lastModifiedBy>
  <cp:revision>5</cp:revision>
  <dcterms:created xsi:type="dcterms:W3CDTF">2014-03-09T21:50:00Z</dcterms:created>
  <dcterms:modified xsi:type="dcterms:W3CDTF">2014-03-09T22:04:00Z</dcterms:modified>
</cp:coreProperties>
</file>