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6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331E3" w:rsidRDefault="000331E3"/>
    <w:p w:rsidR="000331E3" w:rsidRDefault="000331E3" w:rsidP="00393D97">
      <w:pPr>
        <w:pStyle w:val="Nadpis1"/>
      </w:pPr>
      <w:r>
        <w:rPr>
          <w:u w:val="none"/>
        </w:rPr>
        <w:t xml:space="preserve">A. </w:t>
      </w:r>
      <w:r>
        <w:t>VŠEOBECNÉ INFORMÁCIE</w:t>
      </w: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11"/>
        </w:numPr>
        <w:ind w:left="357" w:hanging="357"/>
      </w:pPr>
      <w:r>
        <w:t>Základné údaje o spoločnosti</w:t>
      </w:r>
    </w:p>
    <w:p w:rsidR="000331E3" w:rsidRDefault="000331E3">
      <w:pPr>
        <w:rPr>
          <w:b/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913"/>
        <w:gridCol w:w="5272"/>
      </w:tblGrid>
      <w:tr w:rsidR="000331E3">
        <w:tc>
          <w:tcPr>
            <w:tcW w:w="39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PANDA servis,  s.r.o. („spoločnosť“)</w:t>
            </w:r>
          </w:p>
          <w:p w:rsidR="000331E3" w:rsidRDefault="000331E3" w:rsidP="000331E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Buzulucká 12, 040 01 Košice</w:t>
            </w:r>
          </w:p>
        </w:tc>
      </w:tr>
      <w:tr w:rsidR="000331E3">
        <w:trPr>
          <w:trHeight w:val="28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23. decembra 2010</w:t>
            </w:r>
          </w:p>
        </w:tc>
      </w:tr>
      <w:tr w:rsidR="000331E3">
        <w:trPr>
          <w:trHeight w:val="27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23. decembra 2010</w:t>
            </w:r>
          </w:p>
        </w:tc>
      </w:tr>
    </w:tbl>
    <w:p w:rsidR="000331E3" w:rsidRDefault="000331E3"/>
    <w:p w:rsidR="000331E3" w:rsidRDefault="000331E3"/>
    <w:p w:rsidR="000331E3" w:rsidRDefault="000331E3">
      <w:pPr>
        <w:numPr>
          <w:ilvl w:val="0"/>
          <w:numId w:val="11"/>
        </w:numPr>
        <w:ind w:left="357" w:hanging="357"/>
        <w:rPr>
          <w:b/>
        </w:rPr>
      </w:pPr>
      <w:r>
        <w:rPr>
          <w:b/>
        </w:rPr>
        <w:t xml:space="preserve">Opis hospodárskej činnosti </w:t>
      </w:r>
    </w:p>
    <w:p w:rsidR="000331E3" w:rsidRDefault="000331E3">
      <w:pPr>
        <w:ind w:left="357"/>
        <w:rPr>
          <w:b/>
        </w:rPr>
      </w:pPr>
    </w:p>
    <w:p w:rsidR="000331E3" w:rsidRDefault="000331E3" w:rsidP="000331E3">
      <w:r>
        <w:t>Upratovacie a čistiace práce</w:t>
      </w:r>
    </w:p>
    <w:p w:rsidR="000331E3" w:rsidRDefault="000331E3" w:rsidP="000331E3"/>
    <w:p w:rsidR="000331E3" w:rsidRDefault="000331E3" w:rsidP="000331E3">
      <w:r>
        <w:t>Zamestnanci</w:t>
      </w:r>
    </w:p>
    <w:p w:rsidR="000331E3" w:rsidRDefault="000331E3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87"/>
        <w:gridCol w:w="2645"/>
        <w:gridCol w:w="2904"/>
      </w:tblGrid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15.8</w:t>
            </w: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</w:t>
            </w: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</w:tr>
    </w:tbl>
    <w:p w:rsidR="000331E3" w:rsidRDefault="000331E3"/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Právny dôvod zostavenia účtovnej závierky</w:t>
      </w:r>
    </w:p>
    <w:p w:rsidR="000331E3" w:rsidRDefault="000331E3"/>
    <w:p w:rsidR="000331E3" w:rsidRDefault="000331E3">
      <w:r>
        <w:t xml:space="preserve">Táto účtovná závierka je riadna individuálna účtovná závierka za PANDA servis, s.r.o. Bola zostavená za účtovné obdobie od 1. januára do 31. decembra 2013 podľa slovenských právnych predpisov, a to zákona o účtovníctve a postupov účtovania pre podnikateľov. </w:t>
      </w:r>
    </w:p>
    <w:p w:rsidR="000331E3" w:rsidRDefault="000331E3"/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Schválenie účtovnej závierky za rok 2012</w:t>
      </w:r>
    </w:p>
    <w:p w:rsidR="000331E3" w:rsidRDefault="000331E3"/>
    <w:p w:rsidR="000331E3" w:rsidRDefault="000331E3">
      <w:r>
        <w:t xml:space="preserve">Účtovná závierka spoločnosti PANDA servis, s.r.o. za rok 2012 bola schválená valným zhromaždením dňa 18. Júna  2013. </w:t>
      </w:r>
    </w:p>
    <w:p w:rsidR="000331E3" w:rsidRDefault="000331E3">
      <w:pPr>
        <w:pStyle w:val="Nadpis2"/>
        <w:tabs>
          <w:tab w:val="clear" w:pos="539"/>
        </w:tabs>
      </w:pPr>
    </w:p>
    <w:p w:rsidR="000331E3" w:rsidRDefault="000331E3">
      <w:pPr>
        <w:rPr>
          <w:szCs w:val="17"/>
        </w:rPr>
      </w:pPr>
    </w:p>
    <w:p w:rsidR="000331E3" w:rsidRDefault="000331E3">
      <w:pPr>
        <w:rPr>
          <w:szCs w:val="17"/>
        </w:rPr>
      </w:pPr>
    </w:p>
    <w:p w:rsidR="000331E3" w:rsidRDefault="000331E3" w:rsidP="00393D97">
      <w:pPr>
        <w:pStyle w:val="Nadpis1"/>
      </w:pPr>
      <w:bookmarkStart w:id="0" w:name="_Ref150575427"/>
      <w:r>
        <w:t>POUŽITÉ ÚČTOVNÉ ZÁSADY A ÚČTOVNÉ METÓDY</w:t>
      </w:r>
      <w:bookmarkEnd w:id="0"/>
    </w:p>
    <w:p w:rsidR="000331E3" w:rsidRDefault="000331E3"/>
    <w:p w:rsidR="000331E3" w:rsidRDefault="000331E3"/>
    <w:p w:rsidR="000331E3" w:rsidRDefault="000331E3">
      <w:pPr>
        <w:numPr>
          <w:ilvl w:val="0"/>
          <w:numId w:val="6"/>
        </w:numPr>
        <w:ind w:left="357" w:hanging="357"/>
      </w:pPr>
      <w:r>
        <w:t xml:space="preserve">Účtovná závierka za rok 2013 bola spracovaná za predpokladu nepretržitého pokračovania činnosti.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numPr>
          <w:ilvl w:val="0"/>
          <w:numId w:val="6"/>
        </w:numPr>
        <w:ind w:left="357" w:hanging="357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331E3" w:rsidRDefault="000331E3">
      <w:pPr>
        <w:pStyle w:val="Odsekzoznamu"/>
      </w:pPr>
    </w:p>
    <w:p w:rsidR="000331E3" w:rsidRDefault="000331E3">
      <w:pPr>
        <w:ind w:left="357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0331E3" w:rsidRDefault="000331E3"/>
    <w:p w:rsidR="000331E3" w:rsidRDefault="000331E3">
      <w:pPr>
        <w:ind w:left="357"/>
      </w:pPr>
      <w: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Moment zaúčtovania výnosov – výnosy sa účtujú pri splnení dodacích podmienok, nakoľko v tomto okamihu prechádzajú na odberateľa významné riziká a vlastnícke práva.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331E3" w:rsidRDefault="000331E3"/>
    <w:p w:rsidR="000331E3" w:rsidRDefault="000331E3">
      <w:pPr>
        <w:pStyle w:val="Nadpis2"/>
        <w:numPr>
          <w:ilvl w:val="0"/>
          <w:numId w:val="6"/>
        </w:numPr>
        <w:ind w:left="357" w:hanging="357"/>
        <w:rPr>
          <w:b w:val="0"/>
        </w:rPr>
      </w:pPr>
      <w:bookmarkStart w:id="1" w:name="_Ref150575436"/>
      <w:r>
        <w:rPr>
          <w:b w:val="0"/>
        </w:rPr>
        <w:t xml:space="preserve">Spôsob ocenenia jednotlivých zložiek majetku a záväzkov </w:t>
      </w:r>
      <w:bookmarkEnd w:id="1"/>
    </w:p>
    <w:p w:rsidR="000331E3" w:rsidRDefault="000331E3"/>
    <w:p w:rsidR="000331E3" w:rsidRDefault="000331E3">
      <w:pPr>
        <w:ind w:left="142" w:hanging="142"/>
        <w:jc w:val="left"/>
      </w:pPr>
      <w:r>
        <w:t xml:space="preserve">      Pri  obstaraní  majetku  sa  uplatňuje  princíp  obstarávacích  cien (t. j.  historických  cien). </w:t>
      </w:r>
    </w:p>
    <w:p w:rsidR="000331E3" w:rsidRDefault="000331E3">
      <w:pPr>
        <w:ind w:left="142" w:hanging="142"/>
        <w:jc w:val="left"/>
      </w:pPr>
    </w:p>
    <w:p w:rsidR="000331E3" w:rsidRDefault="000331E3">
      <w:pPr>
        <w:ind w:left="340" w:hanging="170"/>
      </w:pPr>
      <w:r>
        <w:t xml:space="preserve">   Dlhodobý hmotný majetok obstaraný kúpou sa oceňuje obstarávacou cenou. Obstarávacia cena je     cena, za ktorú sa majetok obstaral, a náklady súvisiace s jeho obstaraním (prepravné). Úroky z úveru nie sú súčasťou obstarávacej ceny majetku.</w:t>
      </w:r>
    </w:p>
    <w:p w:rsidR="000331E3" w:rsidRDefault="000331E3"/>
    <w:p w:rsidR="000331E3" w:rsidRDefault="000331E3">
      <w:pPr>
        <w:ind w:left="340"/>
      </w:pPr>
      <w:r>
        <w:t xml:space="preserve">Dlhodobý hmotný majetok obstaraný iným spôsobom – reprodukčnou obstarávacou cenou v prípade bezodplatného nadobudnutia majetku alebo majetku novo zisteného pri inventarizácii, t. j. cenou, za ktorú by sa majetok obstaral v čase, keď sa o ňom účtuje. 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Odpisy dlhodobého hmotného majetku sú stanovené podľa predpokladanej doby jeho používania a predpokladaného priebehu jeho opotrebovania. Odpisovať sa začne v mesiaci zaradenia do používania. O dlhodobom hmotnom majetku, ktorého obstarávacia cena je 1700 eur a nižšia a zároveň s dobou použiteľnosti dlhšou ako jeden rok, sa účtuje ako o zásobách. Pozemky a umelecké diela sa neodpisujú.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Technické zhodnotenie dlhodobého hmotného majetku nie je technickým zhodnotením, ak neprevyšuje úhrne za účtovné obdobie sumu 1700 eur.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Materiál sa oceňuje obstarávacou cenou, ktorú tvorí cena obstarania a náklady súvisiace s obstaraním (prepravné). Úroky y úverov nie sú súčasťou obstarávacej ceny. Pri úbytku rovnakého druhu zásob sa používa metóda FIFO.</w:t>
      </w:r>
    </w:p>
    <w:p w:rsidR="000331E3" w:rsidRDefault="000331E3">
      <w:pPr>
        <w:ind w:left="340"/>
      </w:pPr>
    </w:p>
    <w:p w:rsidR="000331E3" w:rsidRDefault="000331E3">
      <w:pPr>
        <w:ind w:left="340"/>
      </w:pPr>
      <w:r>
        <w:t>Neskladovateľnými zásobami sú náhradné diely, pracovné náradie, kancelárske potreby, hygienické potreby, čistiaci materiál, odborné časopisy a iné publikácie, ochranné pracovné pomôcky a podobne.</w:t>
      </w:r>
    </w:p>
    <w:p w:rsidR="000331E3" w:rsidRDefault="000331E3">
      <w:pPr>
        <w:ind w:left="340"/>
      </w:pPr>
    </w:p>
    <w:p w:rsidR="000331E3" w:rsidRDefault="000331E3">
      <w:pPr>
        <w:ind w:left="340"/>
      </w:pPr>
      <w:r>
        <w:t>Opravné položky k zásobám sa tvoria pri pomaly obratových zásobách.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Pohľadávky:</w:t>
      </w:r>
    </w:p>
    <w:p w:rsidR="000331E3" w:rsidRDefault="000331E3">
      <w:pPr>
        <w:numPr>
          <w:ilvl w:val="0"/>
          <w:numId w:val="2"/>
        </w:numPr>
        <w:tabs>
          <w:tab w:val="left" w:pos="680"/>
        </w:tabs>
        <w:ind w:left="340" w:firstLine="0"/>
      </w:pPr>
      <w:r>
        <w:t>pri ich vzniku alebo bezodplatnom nadobudnutí – menovitou hodnotou,</w:t>
      </w:r>
    </w:p>
    <w:p w:rsidR="000331E3" w:rsidRDefault="000331E3">
      <w:pPr>
        <w:numPr>
          <w:ilvl w:val="0"/>
          <w:numId w:val="2"/>
        </w:numPr>
        <w:tabs>
          <w:tab w:val="left" w:pos="425"/>
        </w:tabs>
        <w:ind w:left="680" w:hanging="340"/>
      </w:pPr>
      <w:r>
        <w:t xml:space="preserve">    pri odplatnom nadobudnutí (postúpení) alebo nadobudnutí vkladom do základného imania – obstarávacou cenou.</w:t>
      </w:r>
    </w:p>
    <w:p w:rsidR="000331E3" w:rsidRDefault="000331E3">
      <w:pPr>
        <w:ind w:left="539"/>
      </w:pPr>
    </w:p>
    <w:p w:rsidR="000331E3" w:rsidRDefault="000331E3">
      <w:pPr>
        <w:ind w:left="340"/>
      </w:pPr>
      <w:r>
        <w:t>Zníženie ocenenia pohľadávok prostredníctvom tvorby opravných položiek sa tvorí k pochybným  a nevymožiteľným pohľadávkam.</w:t>
      </w:r>
    </w:p>
    <w:p w:rsidR="000331E3" w:rsidRDefault="000331E3">
      <w:pPr>
        <w:ind w:left="539"/>
      </w:pPr>
    </w:p>
    <w:p w:rsidR="000331E3" w:rsidRDefault="000331E3"/>
    <w:p w:rsidR="000331E3" w:rsidRDefault="000331E3">
      <w:r>
        <w:t xml:space="preserve">      Peňažné prostriedky sa oceňujú ich menovitou hodnotou.</w:t>
      </w:r>
    </w:p>
    <w:p w:rsidR="000331E3" w:rsidRDefault="000331E3">
      <w:r>
        <w:t xml:space="preserve">      Peňažné prostriedky zahŕňajú peňažnú hotovosť, stravné lístky a peňažné prostriedky v bankách.     </w:t>
      </w:r>
    </w:p>
    <w:p w:rsidR="000331E3" w:rsidRDefault="000331E3">
      <w:r>
        <w:t xml:space="preserve">      V súvahe sú kontokorentné úvery vykázané ako krátkodobé bankové úvery.</w:t>
      </w:r>
    </w:p>
    <w:p w:rsidR="000331E3" w:rsidRDefault="000331E3">
      <w:pPr>
        <w:ind w:left="340"/>
      </w:pPr>
      <w:r>
        <w:t xml:space="preserve"> </w:t>
      </w:r>
    </w:p>
    <w:p w:rsidR="000331E3" w:rsidRDefault="000331E3">
      <w:r>
        <w:t xml:space="preserve">      Časové rozlíšenie na strane aktív súvahy – očakávanou menovitou hodnotou.</w:t>
      </w:r>
    </w:p>
    <w:p w:rsidR="000331E3" w:rsidRDefault="000331E3">
      <w:pPr>
        <w:ind w:left="340"/>
      </w:pPr>
      <w:r>
        <w:t xml:space="preserve"> </w:t>
      </w:r>
    </w:p>
    <w:p w:rsidR="000331E3" w:rsidRDefault="000331E3">
      <w:pPr>
        <w:ind w:left="340"/>
      </w:pPr>
      <w:r>
        <w:t xml:space="preserve">Rezervy sa účtujú v očakávanej výške záväzku. </w:t>
      </w:r>
    </w:p>
    <w:p w:rsidR="000331E3" w:rsidRDefault="000331E3">
      <w:pPr>
        <w:jc w:val="left"/>
      </w:pPr>
      <w:r>
        <w:t xml:space="preserve">      Krátkodobé rezervy sa vytvárajú na nevyčerpané dovolenky, na neukončené cestovné a na služby.    </w:t>
      </w:r>
    </w:p>
    <w:p w:rsidR="000331E3" w:rsidRDefault="000331E3">
      <w:pPr>
        <w:jc w:val="left"/>
      </w:pPr>
    </w:p>
    <w:p w:rsidR="000331E3" w:rsidRDefault="000331E3">
      <w:pPr>
        <w:ind w:left="340"/>
        <w:jc w:val="left"/>
      </w:pPr>
      <w:r>
        <w:t>Záväzky:</w:t>
      </w:r>
    </w:p>
    <w:p w:rsidR="000331E3" w:rsidRDefault="000331E3">
      <w:pPr>
        <w:numPr>
          <w:ilvl w:val="0"/>
          <w:numId w:val="4"/>
        </w:numPr>
        <w:jc w:val="left"/>
      </w:pPr>
      <w:r>
        <w:t>pri ich vzniku – menovitou hodnotou,</w:t>
      </w:r>
    </w:p>
    <w:p w:rsidR="000331E3" w:rsidRDefault="000331E3">
      <w:pPr>
        <w:numPr>
          <w:ilvl w:val="0"/>
          <w:numId w:val="4"/>
        </w:numPr>
        <w:jc w:val="left"/>
      </w:pPr>
      <w:r>
        <w:t>pri prevzatí – obstarávacou cenou.</w:t>
      </w:r>
    </w:p>
    <w:p w:rsidR="000331E3" w:rsidRDefault="000331E3">
      <w:pPr>
        <w:jc w:val="left"/>
      </w:pPr>
    </w:p>
    <w:p w:rsidR="000331E3" w:rsidRDefault="000331E3">
      <w:r>
        <w:t xml:space="preserve">      Časové rozlíšenie na strane pasív súvahy – očakávanou menovitou hodnotou.</w:t>
      </w:r>
    </w:p>
    <w:p w:rsidR="000331E3" w:rsidRDefault="000331E3">
      <w:pPr>
        <w:jc w:val="left"/>
      </w:pPr>
      <w:r>
        <w:t xml:space="preserve">    </w:t>
      </w:r>
    </w:p>
    <w:p w:rsidR="000331E3" w:rsidRDefault="000331E3">
      <w:pPr>
        <w:ind w:left="340"/>
      </w:pPr>
      <w:r>
        <w:t>Daň z príjmov splatná – podľa slovenského zákona o daniach z príjmov sa splatné dane z príjmov   určujú z účtovného zisku pri sadzbe 23 % po úpravách o niektoré položky na daňové účely.</w:t>
      </w:r>
    </w:p>
    <w:p w:rsidR="000331E3" w:rsidRDefault="000331E3">
      <w:pPr>
        <w:jc w:val="left"/>
      </w:pPr>
      <w:r>
        <w:t xml:space="preserve">            </w:t>
      </w:r>
    </w:p>
    <w:p w:rsidR="000331E3" w:rsidRDefault="000331E3">
      <w:pPr>
        <w:ind w:left="539" w:hanging="113"/>
      </w:pPr>
    </w:p>
    <w:p w:rsidR="000331E3" w:rsidRDefault="00393D97">
      <w:pPr>
        <w:pStyle w:val="Nadpis2"/>
        <w:numPr>
          <w:ilvl w:val="0"/>
          <w:numId w:val="6"/>
        </w:numPr>
        <w:ind w:left="357" w:hanging="357"/>
        <w:rPr>
          <w:b w:val="0"/>
          <w:bCs w:val="0"/>
        </w:rPr>
      </w:pPr>
      <w:r>
        <w:rPr>
          <w:b w:val="0"/>
          <w:bCs w:val="0"/>
        </w:rPr>
        <w:t>T</w:t>
      </w:r>
      <w:r w:rsidR="000331E3">
        <w:rPr>
          <w:b w:val="0"/>
          <w:bCs w:val="0"/>
        </w:rPr>
        <w:t xml:space="preserve">vorba odpisového plánu </w:t>
      </w:r>
    </w:p>
    <w:p w:rsidR="000331E3" w:rsidRDefault="000331E3"/>
    <w:p w:rsidR="000331E3" w:rsidRDefault="000331E3">
      <w:pPr>
        <w:ind w:left="426"/>
      </w:pPr>
      <w:r>
        <w:t>Osobné motorové vozidlá    4 roky   25 %</w:t>
      </w:r>
    </w:p>
    <w:p w:rsidR="000331E3" w:rsidRDefault="000331E3"/>
    <w:p w:rsidR="000331E3" w:rsidRDefault="000331E3">
      <w:pPr>
        <w:ind w:left="426"/>
      </w:pPr>
    </w:p>
    <w:p w:rsidR="000331E3" w:rsidRPr="00AD76FD" w:rsidRDefault="000331E3" w:rsidP="00393D97">
      <w:pPr>
        <w:pStyle w:val="Nadpis1"/>
      </w:pPr>
      <w:r w:rsidRPr="00AD76FD">
        <w:rPr>
          <w:u w:val="none"/>
        </w:rPr>
        <w:t xml:space="preserve">F.   </w:t>
      </w:r>
      <w:r w:rsidRPr="00AD76FD">
        <w:t>ÚDAJE VYKÁZANÉ NA STRANE AKTÍV SÚVAHY</w:t>
      </w:r>
    </w:p>
    <w:p w:rsidR="000331E3" w:rsidRDefault="000331E3"/>
    <w:p w:rsidR="000331E3" w:rsidRDefault="000331E3">
      <w:pPr>
        <w:rPr>
          <w:b/>
          <w:u w:val="single"/>
        </w:rPr>
      </w:pPr>
    </w:p>
    <w:p w:rsidR="000331E3" w:rsidRDefault="000331E3">
      <w:pPr>
        <w:pStyle w:val="Nadpis3"/>
        <w:numPr>
          <w:ilvl w:val="0"/>
          <w:numId w:val="5"/>
        </w:numPr>
        <w:ind w:left="357" w:hanging="357"/>
        <w:rPr>
          <w:b/>
          <w:u w:val="none"/>
        </w:rPr>
      </w:pPr>
      <w:r>
        <w:rPr>
          <w:b/>
          <w:u w:val="none"/>
        </w:rPr>
        <w:t>Pohyby na účtoch dlhodobého nehmotného a hmotného majetku, oprávok, opravných položiek a zostatkovej hodnoty (riadok 003 a 011 súvahy)</w:t>
      </w: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72"/>
        <w:gridCol w:w="993"/>
        <w:gridCol w:w="693"/>
        <w:gridCol w:w="845"/>
        <w:gridCol w:w="921"/>
        <w:gridCol w:w="834"/>
        <w:gridCol w:w="693"/>
        <w:gridCol w:w="1149"/>
        <w:gridCol w:w="1037"/>
      </w:tblGrid>
      <w:tr w:rsidR="000331E3">
        <w:trPr>
          <w:trHeight w:val="334"/>
        </w:trPr>
        <w:tc>
          <w:tcPr>
            <w:tcW w:w="15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165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0331E3">
        <w:trPr>
          <w:trHeight w:val="1124"/>
        </w:trPr>
        <w:tc>
          <w:tcPr>
            <w:tcW w:w="1572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3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DF6B19" w:rsidRDefault="00DF6B19"/>
    <w:p w:rsidR="000331E3" w:rsidRDefault="000331E3"/>
    <w:p w:rsidR="000331E3" w:rsidRDefault="000331E3"/>
    <w:p w:rsidR="000331E3" w:rsidRDefault="000331E3"/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17"/>
        <w:gridCol w:w="1041"/>
        <w:gridCol w:w="714"/>
        <w:gridCol w:w="889"/>
        <w:gridCol w:w="906"/>
        <w:gridCol w:w="15"/>
        <w:gridCol w:w="15"/>
        <w:gridCol w:w="851"/>
        <w:gridCol w:w="9"/>
        <w:gridCol w:w="17"/>
        <w:gridCol w:w="700"/>
        <w:gridCol w:w="1136"/>
        <w:gridCol w:w="1151"/>
      </w:tblGrid>
      <w:tr w:rsidR="000331E3">
        <w:trPr>
          <w:trHeight w:val="334"/>
        </w:trPr>
        <w:tc>
          <w:tcPr>
            <w:tcW w:w="1717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lastRenderedPageBreak/>
              <w:t>Dlhodobý nehmotný majetok</w:t>
            </w:r>
          </w:p>
        </w:tc>
        <w:tc>
          <w:tcPr>
            <w:tcW w:w="7444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1124"/>
        </w:trPr>
        <w:tc>
          <w:tcPr>
            <w:tcW w:w="1717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1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 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326"/>
        <w:gridCol w:w="1306"/>
        <w:gridCol w:w="22"/>
        <w:gridCol w:w="44"/>
        <w:gridCol w:w="1106"/>
        <w:gridCol w:w="22"/>
        <w:gridCol w:w="22"/>
        <w:gridCol w:w="1659"/>
        <w:gridCol w:w="22"/>
        <w:gridCol w:w="14"/>
        <w:gridCol w:w="52"/>
        <w:gridCol w:w="1327"/>
        <w:gridCol w:w="22"/>
        <w:gridCol w:w="22"/>
        <w:gridCol w:w="1347"/>
        <w:gridCol w:w="22"/>
        <w:gridCol w:w="22"/>
        <w:gridCol w:w="44"/>
        <w:gridCol w:w="1172"/>
        <w:gridCol w:w="44"/>
        <w:gridCol w:w="995"/>
        <w:gridCol w:w="44"/>
        <w:gridCol w:w="1636"/>
        <w:gridCol w:w="1092"/>
      </w:tblGrid>
      <w:tr w:rsidR="000331E3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11287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11 287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3369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6 929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6 929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2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</w:tr>
      <w:tr w:rsidR="000331E3">
        <w:trPr>
          <w:trHeight w:val="290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82F2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</w:tr>
      <w:tr w:rsidR="000331E3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4 056</w:t>
            </w: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4 056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4 135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4 135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  <w:r>
              <w:rPr>
                <w:rFonts w:cs="Arial Narrow"/>
                <w:b/>
                <w:bCs/>
                <w:sz w:val="15"/>
                <w:szCs w:val="15"/>
              </w:rPr>
              <w:lastRenderedPageBreak/>
              <w:t>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lastRenderedPageBreak/>
              <w:t>Opravné položky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2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12 485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12 485</w:t>
            </w:r>
          </w:p>
        </w:tc>
      </w:tr>
      <w:tr w:rsidR="000331E3">
        <w:trPr>
          <w:trHeight w:val="290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default" r:id="rId8"/>
          <w:footerReference w:type="default" r:id="rId9"/>
          <w:pgSz w:w="11905" w:h="16837"/>
          <w:pgMar w:top="736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5"/>
        </w:numPr>
        <w:ind w:left="284" w:hanging="284"/>
      </w:pPr>
      <w:r>
        <w:t>Spôsob a výška poistenia dlhodobého hmotného majetku</w:t>
      </w:r>
    </w:p>
    <w:p w:rsidR="000331E3" w:rsidRDefault="000331E3">
      <w:pPr>
        <w:jc w:val="left"/>
        <w:rPr>
          <w:b/>
          <w:sz w:val="15"/>
          <w:szCs w:val="15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2409"/>
        <w:gridCol w:w="1119"/>
        <w:gridCol w:w="1079"/>
        <w:gridCol w:w="2368"/>
      </w:tblGrid>
      <w:tr w:rsidR="000331E3">
        <w:trPr>
          <w:cantSplit/>
          <w:trHeight w:val="454"/>
        </w:trPr>
        <w:tc>
          <w:tcPr>
            <w:tcW w:w="212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40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Výška poistenia (poistná suma)</w:t>
            </w:r>
          </w:p>
        </w:tc>
        <w:tc>
          <w:tcPr>
            <w:tcW w:w="23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Názov a sídlo poisťovne</w:t>
            </w:r>
          </w:p>
        </w:tc>
      </w:tr>
      <w:tr w:rsidR="000331E3">
        <w:trPr>
          <w:cantSplit/>
          <w:trHeight w:val="283"/>
        </w:trPr>
        <w:tc>
          <w:tcPr>
            <w:tcW w:w="2127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409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2013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2012</w:t>
            </w:r>
          </w:p>
        </w:tc>
        <w:tc>
          <w:tcPr>
            <w:tcW w:w="2368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automobily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Pzp, havarijné poistenie</w:t>
            </w:r>
            <w:r w:rsidR="000331E3">
              <w:rPr>
                <w:sz w:val="15"/>
                <w:szCs w:val="15"/>
              </w:rPr>
              <w:t xml:space="preserve"> </w:t>
            </w: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1070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990</w:t>
            </w: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GENERALI SLOVENSKO</w:t>
            </w: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tabs>
          <w:tab w:val="clear" w:pos="539"/>
        </w:tabs>
      </w:pPr>
      <w:r>
        <w:t>j)   Dlhodobý finančný majetok (r. 021 súvahy)</w:t>
      </w: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51"/>
        <w:gridCol w:w="1509"/>
        <w:gridCol w:w="17"/>
        <w:gridCol w:w="1967"/>
        <w:gridCol w:w="73"/>
        <w:gridCol w:w="1327"/>
        <w:gridCol w:w="44"/>
        <w:gridCol w:w="24"/>
        <w:gridCol w:w="1150"/>
        <w:gridCol w:w="22"/>
        <w:gridCol w:w="1155"/>
        <w:gridCol w:w="19"/>
        <w:gridCol w:w="17"/>
        <w:gridCol w:w="1403"/>
        <w:gridCol w:w="16"/>
        <w:gridCol w:w="24"/>
        <w:gridCol w:w="1185"/>
        <w:gridCol w:w="19"/>
        <w:gridCol w:w="1381"/>
        <w:gridCol w:w="981"/>
      </w:tblGrid>
      <w:tr w:rsidR="000331E3">
        <w:trPr>
          <w:trHeight w:val="277"/>
        </w:trPr>
        <w:tc>
          <w:tcPr>
            <w:tcW w:w="2051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Dlhodobý finančný majetok</w:t>
            </w:r>
          </w:p>
        </w:tc>
        <w:tc>
          <w:tcPr>
            <w:tcW w:w="12333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393"/>
        </w:trPr>
        <w:tc>
          <w:tcPr>
            <w:tcW w:w="2051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Calibri"/>
                <w:sz w:val="15"/>
                <w:szCs w:val="15"/>
              </w:rPr>
            </w:pPr>
          </w:p>
        </w:tc>
        <w:tc>
          <w:tcPr>
            <w:tcW w:w="1526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Podielové CP a podiely v DÚJ</w:t>
            </w:r>
          </w:p>
        </w:tc>
        <w:tc>
          <w:tcPr>
            <w:tcW w:w="19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Podielové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CP a podiely </w:t>
            </w:r>
            <w:r>
              <w:rPr>
                <w:rFonts w:ascii="Verdana" w:hAnsi="Verdana"/>
                <w:sz w:val="15"/>
                <w:szCs w:val="15"/>
              </w:rPr>
              <w:br/>
              <w:t>v spoločnosti s podstatným vplyvom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 dlhodobé CP a podiely</w:t>
            </w:r>
          </w:p>
        </w:tc>
        <w:tc>
          <w:tcPr>
            <w:tcW w:w="124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ÚJ v</w:t>
            </w:r>
            <w:r>
              <w:rPr>
                <w:rFonts w:ascii="Verdana" w:hAnsi="Verdana"/>
                <w:sz w:val="15"/>
                <w:szCs w:val="15"/>
              </w:rPr>
              <w:br/>
              <w:t> kons.</w:t>
            </w:r>
            <w:r>
              <w:rPr>
                <w:rFonts w:ascii="Verdana" w:hAnsi="Verdana"/>
                <w:sz w:val="15"/>
                <w:szCs w:val="15"/>
              </w:rPr>
              <w:br/>
              <w:t>celku</w:t>
            </w:r>
          </w:p>
        </w:tc>
        <w:tc>
          <w:tcPr>
            <w:tcW w:w="1174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Ostatný DFM</w:t>
            </w:r>
          </w:p>
        </w:tc>
        <w:tc>
          <w:tcPr>
            <w:tcW w:w="146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s dobou splatnosti najviac jeden rok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Obsta-rávaný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 DFM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Poskytnuté preddavky na DFM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 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90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6837" w:h="11905" w:orient="landscape"/>
          <w:pgMar w:top="1418" w:right="112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51"/>
        <w:gridCol w:w="1509"/>
        <w:gridCol w:w="17"/>
        <w:gridCol w:w="1967"/>
        <w:gridCol w:w="73"/>
        <w:gridCol w:w="1327"/>
        <w:gridCol w:w="44"/>
        <w:gridCol w:w="24"/>
        <w:gridCol w:w="1150"/>
        <w:gridCol w:w="22"/>
        <w:gridCol w:w="1155"/>
        <w:gridCol w:w="19"/>
        <w:gridCol w:w="17"/>
        <w:gridCol w:w="1403"/>
        <w:gridCol w:w="16"/>
        <w:gridCol w:w="24"/>
        <w:gridCol w:w="1185"/>
        <w:gridCol w:w="19"/>
        <w:gridCol w:w="1381"/>
        <w:gridCol w:w="981"/>
      </w:tblGrid>
      <w:tr w:rsidR="000331E3">
        <w:trPr>
          <w:trHeight w:val="277"/>
        </w:trPr>
        <w:tc>
          <w:tcPr>
            <w:tcW w:w="2051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Dlhodobý finančný majetok</w:t>
            </w:r>
          </w:p>
        </w:tc>
        <w:tc>
          <w:tcPr>
            <w:tcW w:w="12333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 w:cs="Arial Narrow"/>
                <w:bCs w:val="0"/>
                <w:sz w:val="15"/>
                <w:szCs w:val="15"/>
              </w:rPr>
              <w:t>Bezprostredne predchádzajúce účtovné obdobie</w:t>
            </w:r>
            <w:r>
              <w:rPr>
                <w:rFonts w:ascii="Verdana" w:hAnsi="Verdana"/>
                <w:sz w:val="15"/>
                <w:szCs w:val="15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393"/>
        </w:trPr>
        <w:tc>
          <w:tcPr>
            <w:tcW w:w="2051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Calibri"/>
                <w:sz w:val="15"/>
                <w:szCs w:val="15"/>
              </w:rPr>
            </w:pPr>
          </w:p>
        </w:tc>
        <w:tc>
          <w:tcPr>
            <w:tcW w:w="1526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Podielové CP a podiely v DÚJ</w:t>
            </w:r>
          </w:p>
        </w:tc>
        <w:tc>
          <w:tcPr>
            <w:tcW w:w="19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Podielové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CP a podiely </w:t>
            </w:r>
            <w:r>
              <w:rPr>
                <w:rFonts w:ascii="Verdana" w:hAnsi="Verdana"/>
                <w:sz w:val="15"/>
                <w:szCs w:val="15"/>
              </w:rPr>
              <w:br/>
              <w:t>v spoločnosti s podstatným vplyvom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 dlhodobé CP a podiely</w:t>
            </w:r>
          </w:p>
        </w:tc>
        <w:tc>
          <w:tcPr>
            <w:tcW w:w="124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ÚJ v</w:t>
            </w:r>
            <w:r>
              <w:rPr>
                <w:rFonts w:ascii="Verdana" w:hAnsi="Verdana"/>
                <w:sz w:val="15"/>
                <w:szCs w:val="15"/>
              </w:rPr>
              <w:br/>
              <w:t> kons.</w:t>
            </w:r>
            <w:r>
              <w:rPr>
                <w:rFonts w:ascii="Verdana" w:hAnsi="Verdana"/>
                <w:sz w:val="15"/>
                <w:szCs w:val="15"/>
              </w:rPr>
              <w:br/>
              <w:t>celku</w:t>
            </w:r>
          </w:p>
        </w:tc>
        <w:tc>
          <w:tcPr>
            <w:tcW w:w="1174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Ostatný DFM</w:t>
            </w:r>
          </w:p>
        </w:tc>
        <w:tc>
          <w:tcPr>
            <w:tcW w:w="146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s dobou splatnosti najviac jeden rok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Obsta-rávaný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 DFM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Poskytnuté preddavky na DFM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 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90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0331E3" w:rsidRDefault="000331E3">
      <w:pPr>
        <w:sectPr w:rsidR="000331E3">
          <w:headerReference w:type="even" r:id="rId22"/>
          <w:headerReference w:type="default" r:id="rId23"/>
          <w:footerReference w:type="even" r:id="rId24"/>
          <w:footerReference w:type="default" r:id="rId25"/>
          <w:headerReference w:type="first" r:id="rId26"/>
          <w:footerReference w:type="first" r:id="rId27"/>
          <w:pgSz w:w="16837" w:h="11905" w:orient="landscape"/>
          <w:pgMar w:top="1418" w:right="1128" w:bottom="1418" w:left="1418" w:header="680" w:footer="680" w:gutter="0"/>
          <w:cols w:space="708"/>
          <w:docGrid w:linePitch="360"/>
        </w:sectPr>
      </w:pPr>
    </w:p>
    <w:p w:rsidR="000331E3" w:rsidRDefault="000331E3">
      <w:pPr>
        <w:pStyle w:val="Nadpis2"/>
        <w:tabs>
          <w:tab w:val="clear" w:pos="539"/>
        </w:tabs>
        <w:ind w:left="0" w:firstLine="0"/>
      </w:pPr>
      <w:r>
        <w:lastRenderedPageBreak/>
        <w:t>r)  Opravné položky k pohľadávkam (r. 038 a 046 súvahy)</w:t>
      </w:r>
    </w:p>
    <w:p w:rsidR="000331E3" w:rsidRDefault="000331E3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0"/>
        <w:gridCol w:w="1284"/>
        <w:gridCol w:w="1143"/>
        <w:gridCol w:w="1707"/>
        <w:gridCol w:w="1848"/>
        <w:gridCol w:w="1339"/>
      </w:tblGrid>
      <w:tr w:rsidR="000331E3">
        <w:trPr>
          <w:trHeight w:val="283"/>
        </w:trPr>
        <w:tc>
          <w:tcPr>
            <w:tcW w:w="19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Pohľadávky</w:t>
            </w:r>
          </w:p>
        </w:tc>
        <w:tc>
          <w:tcPr>
            <w:tcW w:w="7321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>
        <w:tc>
          <w:tcPr>
            <w:tcW w:w="1920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Arial"/>
                <w:sz w:val="15"/>
                <w:szCs w:val="15"/>
              </w:rPr>
            </w:pP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OP na začiatku účtovného obdobia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  <w:p w:rsidR="000331E3" w:rsidRDefault="000331E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OP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Zúčtovanie OP z dôvodu zániku opodstatnenosti</w:t>
            </w: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Zúčtovanie OP z dôvodu vyradenia majetku </w:t>
            </w:r>
            <w:r>
              <w:rPr>
                <w:rFonts w:ascii="Verdana" w:hAnsi="Verdana"/>
                <w:sz w:val="15"/>
                <w:szCs w:val="15"/>
              </w:rPr>
              <w:br/>
              <w:t>z účtovníctva</w:t>
            </w:r>
          </w:p>
        </w:tc>
        <w:tc>
          <w:tcPr>
            <w:tcW w:w="133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OP na konci účtovného obdobia</w:t>
            </w: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Pohľadávky z obchodného styku 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Pohľadávky spolu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</w:tbl>
    <w:p w:rsidR="000331E3" w:rsidRDefault="000331E3"/>
    <w:p w:rsidR="000331E3" w:rsidRDefault="00393D97">
      <w:pPr>
        <w:pStyle w:val="Nadpis2"/>
        <w:numPr>
          <w:ilvl w:val="0"/>
          <w:numId w:val="10"/>
        </w:numPr>
        <w:ind w:left="426" w:hanging="426"/>
      </w:pPr>
      <w:r>
        <w:t>P</w:t>
      </w:r>
      <w:r w:rsidR="000331E3">
        <w:t>ohľadávky (r. 038 a 046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3059"/>
        <w:gridCol w:w="2040"/>
        <w:gridCol w:w="2040"/>
        <w:gridCol w:w="2070"/>
      </w:tblGrid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</w:t>
            </w: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20794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226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21 020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2 669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2 669</w:t>
            </w: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23 463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226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23 689</w:t>
            </w:r>
          </w:p>
        </w:tc>
      </w:tr>
    </w:tbl>
    <w:p w:rsidR="000331E3" w:rsidRDefault="000331E3"/>
    <w:p w:rsidR="000331E3" w:rsidRDefault="000331E3"/>
    <w:p w:rsidR="000331E3" w:rsidRDefault="000331E3">
      <w:r>
        <w:t xml:space="preserve">Bežná lehota splatnosti pohľadávok je </w:t>
      </w:r>
      <w:r w:rsidR="00230F24">
        <w:t>14</w:t>
      </w:r>
      <w:r>
        <w:t xml:space="preserve"> dní. </w:t>
      </w:r>
    </w:p>
    <w:p w:rsidR="000331E3" w:rsidRDefault="000331E3"/>
    <w:p w:rsidR="000331E3" w:rsidRDefault="000331E3">
      <w:pPr>
        <w:sectPr w:rsidR="000331E3">
          <w:headerReference w:type="even" r:id="rId28"/>
          <w:headerReference w:type="default" r:id="rId29"/>
          <w:footerReference w:type="even" r:id="rId30"/>
          <w:footerReference w:type="default" r:id="rId31"/>
          <w:headerReference w:type="first" r:id="rId32"/>
          <w:footerReference w:type="first" r:id="rId33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/>
    <w:p w:rsidR="000331E3" w:rsidRDefault="000331E3">
      <w:pPr>
        <w:rPr>
          <w:b/>
        </w:rPr>
      </w:pPr>
      <w:r>
        <w:rPr>
          <w:b/>
        </w:rPr>
        <w:t>w)  Finančné účty (riadok 055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09"/>
        <w:gridCol w:w="2742"/>
        <w:gridCol w:w="2408"/>
      </w:tblGrid>
      <w:tr w:rsidR="000331E3">
        <w:tc>
          <w:tcPr>
            <w:tcW w:w="400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Pokladnica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3 179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515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3 448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1 400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ind w:left="144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6 627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1 915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/>
    <w:p w:rsidR="000331E3" w:rsidRDefault="000331E3">
      <w:pPr>
        <w:pStyle w:val="Nadpis2"/>
        <w:tabs>
          <w:tab w:val="clear" w:pos="539"/>
        </w:tabs>
      </w:pPr>
      <w:r>
        <w:t>zb)  Časové rozlíšenie (r. 061 súvahy)</w:t>
      </w:r>
    </w:p>
    <w:p w:rsidR="000331E3" w:rsidRDefault="000331E3">
      <w:pPr>
        <w:rPr>
          <w:sz w:val="18"/>
        </w:rPr>
      </w:pPr>
    </w:p>
    <w:tbl>
      <w:tblPr>
        <w:tblW w:w="917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27"/>
        <w:gridCol w:w="2567"/>
        <w:gridCol w:w="2479"/>
      </w:tblGrid>
      <w:tr w:rsidR="000331E3" w:rsidTr="00AF449D">
        <w:trPr>
          <w:trHeight w:val="659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14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Poistenie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297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230F24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99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Poistenie majetku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189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57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 w:rsidP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Služby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107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úroky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Internet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42</w:t>
            </w:r>
          </w:p>
        </w:tc>
      </w:tr>
    </w:tbl>
    <w:p w:rsidR="000331E3" w:rsidRDefault="000331E3"/>
    <w:p w:rsidR="000331E3" w:rsidRDefault="000331E3"/>
    <w:p w:rsidR="000331E3" w:rsidRDefault="000331E3" w:rsidP="00393D97">
      <w:pPr>
        <w:pStyle w:val="Nadpis1"/>
      </w:pPr>
      <w:r>
        <w:t>ÚDAJE VYKÁZANÉ NA STRANE PASÍV SÚVAHY</w:t>
      </w:r>
    </w:p>
    <w:p w:rsidR="000331E3" w:rsidRDefault="000331E3">
      <w:pPr>
        <w:rPr>
          <w:b/>
        </w:rPr>
      </w:pPr>
    </w:p>
    <w:p w:rsidR="000331E3" w:rsidRDefault="000331E3">
      <w:pPr>
        <w:rPr>
          <w:b/>
        </w:rPr>
      </w:pPr>
    </w:p>
    <w:p w:rsidR="000331E3" w:rsidRDefault="000331E3">
      <w:pPr>
        <w:pStyle w:val="Nadpis2"/>
        <w:numPr>
          <w:ilvl w:val="0"/>
          <w:numId w:val="13"/>
        </w:numPr>
        <w:ind w:left="357" w:hanging="357"/>
      </w:pPr>
      <w:r>
        <w:t xml:space="preserve">Vlastné imanie (r. 067 súvahy) </w:t>
      </w:r>
    </w:p>
    <w:p w:rsidR="000331E3" w:rsidRDefault="000331E3">
      <w:r>
        <w:t xml:space="preserve"> </w:t>
      </w:r>
    </w:p>
    <w:p w:rsidR="000331E3" w:rsidRDefault="000331E3">
      <w:r>
        <w:t xml:space="preserve">Základné imanie pozostáva z podielu </w:t>
      </w:r>
      <w:r w:rsidR="00AF449D">
        <w:t>1</w:t>
      </w:r>
      <w:r>
        <w:t xml:space="preserve"> spoločník</w:t>
      </w:r>
      <w:r w:rsidR="00AF449D">
        <w:t>a</w:t>
      </w:r>
      <w:r>
        <w:t xml:space="preserve"> a je vo výške </w:t>
      </w:r>
      <w:r w:rsidR="00AF449D">
        <w:t>5 000.-</w:t>
      </w:r>
      <w:r>
        <w:t xml:space="preserve"> eur. Základné imanie bolo celé upísané a splatené.</w:t>
      </w:r>
    </w:p>
    <w:p w:rsidR="000331E3" w:rsidRDefault="000331E3"/>
    <w:p w:rsidR="000331E3" w:rsidRDefault="000331E3">
      <w:pPr>
        <w:rPr>
          <w:color w:val="000000"/>
        </w:rPr>
      </w:pPr>
    </w:p>
    <w:p w:rsidR="000331E3" w:rsidRDefault="000331E3">
      <w:pPr>
        <w:rPr>
          <w:color w:val="000000"/>
        </w:rPr>
      </w:pPr>
      <w:r>
        <w:rPr>
          <w:color w:val="000000"/>
        </w:rPr>
        <w:t xml:space="preserve">Výsledok hospodárenia vo výške </w:t>
      </w:r>
      <w:r w:rsidR="00AF449D">
        <w:rPr>
          <w:color w:val="000000"/>
        </w:rPr>
        <w:t>886.99</w:t>
      </w:r>
      <w:r>
        <w:rPr>
          <w:color w:val="000000"/>
        </w:rPr>
        <w:t xml:space="preserve"> eur za rok 2012 bol určený na </w:t>
      </w:r>
      <w:r w:rsidR="00AF449D">
        <w:rPr>
          <w:color w:val="000000"/>
        </w:rPr>
        <w:t xml:space="preserve">úhradu straty minulých </w:t>
      </w:r>
      <w:r>
        <w:rPr>
          <w:color w:val="000000"/>
        </w:rPr>
        <w:t xml:space="preserve"> rokov v zmysle rozhodnutia valného zhromaždenia. </w:t>
      </w:r>
    </w:p>
    <w:p w:rsidR="000331E3" w:rsidRDefault="000331E3">
      <w:pPr>
        <w:rPr>
          <w:sz w:val="15"/>
          <w:szCs w:val="15"/>
        </w:rPr>
      </w:pPr>
    </w:p>
    <w:p w:rsidR="000331E3" w:rsidRDefault="000331E3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AF449D" w:rsidRDefault="00AF449D">
      <w:pPr>
        <w:rPr>
          <w:sz w:val="15"/>
          <w:szCs w:val="15"/>
        </w:rPr>
      </w:pPr>
    </w:p>
    <w:p w:rsidR="000331E3" w:rsidRDefault="000331E3">
      <w:r>
        <w:t>Rozdelenie účtovného zisku za rok 2012</w:t>
      </w:r>
    </w:p>
    <w:p w:rsidR="000331E3" w:rsidRDefault="000331E3">
      <w:pPr>
        <w:rPr>
          <w:sz w:val="15"/>
          <w:szCs w:val="15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945"/>
        <w:gridCol w:w="2372"/>
      </w:tblGrid>
      <w:tr w:rsidR="000331E3">
        <w:trPr>
          <w:trHeight w:val="765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 xml:space="preserve">Účtovný zisk 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886.99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Rozdelenie účtovného zisku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Bežné účtovné obdobie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zákonného rezervného fondu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štatutárnych a ostatných fondov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sociálneho fondu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na zvýšenie základného imania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886.99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Rozdelenie podielu na zisku spoločníkom, členom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Iné 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886.99</w:t>
            </w:r>
          </w:p>
        </w:tc>
      </w:tr>
    </w:tbl>
    <w:p w:rsidR="000331E3" w:rsidRDefault="000331E3"/>
    <w:p w:rsidR="000331E3" w:rsidRDefault="000331E3">
      <w:pPr>
        <w:pStyle w:val="Nadpis2"/>
        <w:numPr>
          <w:ilvl w:val="0"/>
          <w:numId w:val="13"/>
        </w:numPr>
        <w:ind w:left="357" w:hanging="357"/>
      </w:pPr>
      <w:r>
        <w:t>Rezervy (r. 089 súvahy)</w:t>
      </w:r>
    </w:p>
    <w:p w:rsidR="000331E3" w:rsidRDefault="000331E3"/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1 509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1 509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nevyčerpané dovolenky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63 601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30 113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63 601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30 113</w:t>
            </w:r>
          </w:p>
        </w:tc>
      </w:tr>
    </w:tbl>
    <w:p w:rsidR="000331E3" w:rsidRDefault="000331E3">
      <w:pPr>
        <w:rPr>
          <w:sz w:val="15"/>
          <w:szCs w:val="15"/>
        </w:rPr>
      </w:pPr>
    </w:p>
    <w:p w:rsidR="000331E3" w:rsidRDefault="000331E3">
      <w:pPr>
        <w:rPr>
          <w:sz w:val="15"/>
          <w:szCs w:val="15"/>
        </w:rPr>
      </w:pPr>
    </w:p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1 861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1 861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nevyčerpané dovolenky</w:t>
            </w:r>
          </w:p>
        </w:tc>
        <w:tc>
          <w:tcPr>
            <w:tcW w:w="1707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36 998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63 601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36 998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70" w:type="dxa"/>
            <w:tcBorders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63 601</w:t>
            </w:r>
          </w:p>
        </w:tc>
      </w:tr>
    </w:tbl>
    <w:p w:rsidR="000331E3" w:rsidRDefault="000331E3">
      <w:pPr>
        <w:rPr>
          <w:sz w:val="15"/>
          <w:szCs w:val="15"/>
        </w:rPr>
      </w:pPr>
    </w:p>
    <w:p w:rsidR="00AF449D" w:rsidRDefault="00AF449D" w:rsidP="00AF449D">
      <w:pPr>
        <w:pStyle w:val="Nadpis2"/>
        <w:tabs>
          <w:tab w:val="clear" w:pos="539"/>
        </w:tabs>
        <w:ind w:left="426" w:firstLine="0"/>
      </w:pPr>
    </w:p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Default="00AF449D" w:rsidP="00AF449D"/>
    <w:p w:rsidR="00AF449D" w:rsidRPr="00AF449D" w:rsidRDefault="00AF449D" w:rsidP="00AF449D"/>
    <w:p w:rsidR="000331E3" w:rsidRDefault="00AF449D">
      <w:pPr>
        <w:pStyle w:val="Nadpis2"/>
        <w:numPr>
          <w:ilvl w:val="0"/>
          <w:numId w:val="13"/>
        </w:numPr>
        <w:ind w:left="426" w:hanging="426"/>
      </w:pPr>
      <w:r>
        <w:t>Z</w:t>
      </w:r>
      <w:r w:rsidR="000331E3">
        <w:t>áväzky (r. 094 a 106 súvahy)</w:t>
      </w:r>
    </w:p>
    <w:p w:rsidR="000331E3" w:rsidRDefault="000331E3">
      <w:pPr>
        <w:rPr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65"/>
        <w:gridCol w:w="2042"/>
        <w:gridCol w:w="2042"/>
        <w:gridCol w:w="2064"/>
      </w:tblGrid>
      <w:tr w:rsidR="000331E3">
        <w:trPr>
          <w:trHeight w:val="340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Záväzky spolu</w:t>
            </w: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</w:t>
            </w: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Prijaté preddavky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Zmenky na úhradu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Vydané dlhopisy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</w:t>
            </w: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Odložený daňový záväzok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23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AF449D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23</w:t>
            </w: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23 930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23 930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spoločníkom a združeniu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18 981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18 981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zamestnancom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4 286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4 286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poistenia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3 014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3 014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Daňové záväzky a dotácie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660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660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489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489</w:t>
            </w: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b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sz w:val="15"/>
                <w:szCs w:val="15"/>
                <w:lang w:val="en-US"/>
              </w:rPr>
              <w:t>51 360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51 360</w:t>
            </w:r>
          </w:p>
        </w:tc>
      </w:tr>
    </w:tbl>
    <w:p w:rsidR="000331E3" w:rsidRDefault="000331E3"/>
    <w:p w:rsidR="000331E3" w:rsidRDefault="000331E3"/>
    <w:p w:rsidR="000331E3" w:rsidRDefault="000331E3">
      <w:pPr>
        <w:pStyle w:val="Nadpis3"/>
        <w:numPr>
          <w:ilvl w:val="0"/>
          <w:numId w:val="14"/>
        </w:numPr>
        <w:ind w:left="426" w:hanging="426"/>
        <w:rPr>
          <w:b/>
          <w:u w:val="none"/>
        </w:rPr>
      </w:pPr>
      <w:r>
        <w:rPr>
          <w:b/>
          <w:u w:val="none"/>
        </w:rPr>
        <w:t>Záväzky zo sociálneho fondu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59"/>
        <w:gridCol w:w="2567"/>
        <w:gridCol w:w="2606"/>
      </w:tblGrid>
      <w:tr w:rsidR="000331E3">
        <w:trPr>
          <w:trHeight w:val="825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202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803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zo zisku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Ostatná tvorba sociálneho fondu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1005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306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1005</w:t>
            </w:r>
          </w:p>
        </w:tc>
      </w:tr>
      <w:tr w:rsidR="000331E3">
        <w:trPr>
          <w:trHeight w:val="345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23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pStyle w:val="Nadpis2"/>
        <w:tabs>
          <w:tab w:val="clear" w:pos="539"/>
        </w:tabs>
        <w:ind w:left="0" w:firstLine="0"/>
      </w:pPr>
      <w:r>
        <w:t>i)   Bankové úvery (r. 118 súvahy)</w:t>
      </w:r>
    </w:p>
    <w:p w:rsidR="000331E3" w:rsidRDefault="000331E3">
      <w:pPr>
        <w:rPr>
          <w:sz w:val="15"/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849"/>
        <w:gridCol w:w="730"/>
        <w:gridCol w:w="992"/>
        <w:gridCol w:w="1276"/>
        <w:gridCol w:w="1503"/>
        <w:gridCol w:w="1820"/>
      </w:tblGrid>
      <w:tr w:rsidR="000331E3">
        <w:trPr>
          <w:trHeight w:val="990"/>
        </w:trPr>
        <w:tc>
          <w:tcPr>
            <w:tcW w:w="28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73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Mena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Úrok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p. a. </w:t>
            </w:r>
          </w:p>
          <w:p w:rsidR="000331E3" w:rsidRDefault="000331E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 %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Dátum splatnosti</w:t>
            </w:r>
          </w:p>
        </w:tc>
        <w:tc>
          <w:tcPr>
            <w:tcW w:w="150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Suma istiny v príslušnej mene za bežné účtovné obdobie</w:t>
            </w:r>
          </w:p>
        </w:tc>
        <w:tc>
          <w:tcPr>
            <w:tcW w:w="18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Suma istiny v príslušnej mene za 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917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bankové úvery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pStyle w:val="Nadpis2"/>
        <w:numPr>
          <w:ilvl w:val="1"/>
          <w:numId w:val="9"/>
        </w:numPr>
        <w:tabs>
          <w:tab w:val="left" w:pos="340"/>
        </w:tabs>
        <w:ind w:left="340" w:hanging="340"/>
      </w:pPr>
      <w:r>
        <w:t>Časové rozlíšenie (r. 121 súvahy)</w:t>
      </w:r>
    </w:p>
    <w:p w:rsidR="000331E3" w:rsidRDefault="000331E3">
      <w:pPr>
        <w:rPr>
          <w:lang w:val="en-GB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225"/>
        <w:gridCol w:w="2563"/>
        <w:gridCol w:w="2371"/>
      </w:tblGrid>
      <w:tr w:rsidR="000331E3">
        <w:trPr>
          <w:trHeight w:val="772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416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77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375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</w:t>
            </w:r>
          </w:p>
        </w:tc>
        <w:tc>
          <w:tcPr>
            <w:tcW w:w="25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  <w:tc>
          <w:tcPr>
            <w:tcW w:w="237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Ostatné </w:t>
            </w:r>
          </w:p>
        </w:tc>
        <w:tc>
          <w:tcPr>
            <w:tcW w:w="25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 w:rsidP="00393D97">
      <w:pPr>
        <w:pStyle w:val="Nadpis1"/>
      </w:pPr>
      <w:r>
        <w:t>Výnosy</w:t>
      </w:r>
    </w:p>
    <w:p w:rsidR="000331E3" w:rsidRDefault="000331E3"/>
    <w:p w:rsidR="000331E3" w:rsidRDefault="000331E3">
      <w:pPr>
        <w:rPr>
          <w:sz w:val="14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t>Výnosy z hospodárskej činnosti (r. 05 výkazu ziskov a strát)</w:t>
      </w:r>
    </w:p>
    <w:p w:rsidR="000331E3" w:rsidRDefault="000331E3">
      <w:pPr>
        <w:rPr>
          <w:szCs w:val="17"/>
        </w:rPr>
      </w:pPr>
      <w:r>
        <w:rPr>
          <w:szCs w:val="17"/>
        </w:rPr>
        <w:t xml:space="preserve"> </w:t>
      </w:r>
    </w:p>
    <w:tbl>
      <w:tblPr>
        <w:tblW w:w="9555" w:type="dxa"/>
        <w:tblInd w:w="108" w:type="dxa"/>
        <w:tblLayout w:type="fixed"/>
        <w:tblLook w:val="0000"/>
      </w:tblPr>
      <w:tblGrid>
        <w:gridCol w:w="1731"/>
        <w:gridCol w:w="1338"/>
        <w:gridCol w:w="1350"/>
        <w:gridCol w:w="1264"/>
        <w:gridCol w:w="1311"/>
        <w:gridCol w:w="1220"/>
        <w:gridCol w:w="1341"/>
      </w:tblGrid>
      <w:tr w:rsidR="000331E3" w:rsidTr="009A6183">
        <w:trPr>
          <w:trHeight w:val="330"/>
        </w:trPr>
        <w:tc>
          <w:tcPr>
            <w:tcW w:w="17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6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Upratovacie páce</w:t>
            </w:r>
          </w:p>
        </w:tc>
        <w:tc>
          <w:tcPr>
            <w:tcW w:w="25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Predaj tovaru </w:t>
            </w:r>
          </w:p>
        </w:tc>
        <w:tc>
          <w:tcPr>
            <w:tcW w:w="25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</w:t>
            </w:r>
          </w:p>
        </w:tc>
      </w:tr>
      <w:tr w:rsidR="000331E3" w:rsidTr="009A6183">
        <w:trPr>
          <w:trHeight w:val="1005"/>
        </w:trPr>
        <w:tc>
          <w:tcPr>
            <w:tcW w:w="1731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</w:tr>
      <w:tr w:rsidR="000331E3" w:rsidTr="009A6183">
        <w:trPr>
          <w:trHeight w:val="330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Slovenská republika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212 246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227 087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144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166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9A6183">
        <w:trPr>
          <w:trHeight w:val="345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212</w:t>
            </w:r>
          </w:p>
          <w:p w:rsidR="009A618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246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227 087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144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166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pStyle w:val="Nadpis2"/>
        <w:numPr>
          <w:ilvl w:val="3"/>
          <w:numId w:val="7"/>
        </w:numPr>
        <w:tabs>
          <w:tab w:val="left" w:pos="425"/>
        </w:tabs>
        <w:ind w:left="426" w:hanging="426"/>
        <w:jc w:val="left"/>
      </w:pPr>
      <w:r>
        <w:t>Ostané výnosy z hospodárskej činnosti, výnosy z finančnej činnosti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963"/>
        <w:gridCol w:w="1560"/>
        <w:gridCol w:w="1597"/>
      </w:tblGrid>
      <w:tr w:rsidR="000331E3">
        <w:trPr>
          <w:trHeight w:val="884"/>
        </w:trPr>
        <w:tc>
          <w:tcPr>
            <w:tcW w:w="5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výnosov z hospodárskej činnosti, z 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6 857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4569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 predaja hmotného majetku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výnosy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6 657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4 569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Finančné výnosy, z toho: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bankové úroky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lastRenderedPageBreak/>
        <w:t>Čistý obrat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878"/>
        <w:gridCol w:w="1606"/>
        <w:gridCol w:w="1649"/>
      </w:tblGrid>
      <w:tr w:rsidR="000331E3">
        <w:trPr>
          <w:trHeight w:val="1005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vlastné výrobky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 predaja služieb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212 246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227 087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tovar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144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166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Iné výnosy súvisiace s bežnou činnosťou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6 858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 w:rsidP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4 576</w:t>
            </w:r>
          </w:p>
        </w:tc>
      </w:tr>
      <w:tr w:rsidR="000331E3" w:rsidTr="00D94761">
        <w:trPr>
          <w:trHeight w:val="225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219 248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231 829</w:t>
            </w:r>
          </w:p>
        </w:tc>
      </w:tr>
    </w:tbl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NÁKLADY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705"/>
        <w:gridCol w:w="1701"/>
        <w:gridCol w:w="1709"/>
      </w:tblGrid>
      <w:tr w:rsidR="000331E3" w:rsidTr="00D94761">
        <w:trPr>
          <w:trHeight w:val="1005"/>
        </w:trPr>
        <w:tc>
          <w:tcPr>
            <w:tcW w:w="5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84 596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31 069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Opravy a udržiavanie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2 006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5 513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nájomné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1 702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1 957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Výdavky na reprezentáciu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449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1 388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poplatky, poštovné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1 213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1 372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4 691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5 259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Upratovacie  služby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228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Koncesionárske poplatky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223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223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74 172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15 129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144 719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198 865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Drobný nákup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4 907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4 408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PHL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10 101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9 411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Drobný majetok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761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2 707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Spotreba materiálu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9 686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9 586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energií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79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107 769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167 039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Daň z 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 w:rsidP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Diaľničné známky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Poistenie majetku a osôb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2 741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1 001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Odpisy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5 315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4 135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Ostatné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2476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425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751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úroky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250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569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Bankové poplatky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175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182</w:t>
            </w:r>
          </w:p>
        </w:tc>
      </w:tr>
    </w:tbl>
    <w:p w:rsidR="000331E3" w:rsidRDefault="000331E3">
      <w:pPr>
        <w:tabs>
          <w:tab w:val="left" w:pos="5295"/>
        </w:tabs>
      </w:pPr>
    </w:p>
    <w:p w:rsidR="000331E3" w:rsidRDefault="000331E3">
      <w:pPr>
        <w:tabs>
          <w:tab w:val="left" w:pos="5295"/>
        </w:tabs>
      </w:pPr>
    </w:p>
    <w:p w:rsidR="000331E3" w:rsidRDefault="000331E3" w:rsidP="00393D97">
      <w:pPr>
        <w:pStyle w:val="Nadpis1"/>
      </w:pPr>
      <w:r>
        <w:t>DAŇ Z PRÍJMOV</w:t>
      </w:r>
    </w:p>
    <w:p w:rsidR="000331E3" w:rsidRDefault="000331E3">
      <w:pPr>
        <w:rPr>
          <w:sz w:val="18"/>
        </w:rPr>
      </w:pPr>
    </w:p>
    <w:p w:rsidR="000331E3" w:rsidRDefault="000331E3">
      <w:r>
        <w:t xml:space="preserve">Sadzba dane z príjmov pre rok 2013 je 23 %. Spoločnosť nemala žiadne úľavy z daní. </w:t>
      </w:r>
    </w:p>
    <w:p w:rsidR="000331E3" w:rsidRDefault="000331E3"/>
    <w:p w:rsidR="000331E3" w:rsidRDefault="000331E3"/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SKUTOČNOSTI, KTORÉ NASTALI PO DNI, KU KTORÉMU SA ZOSTAVUJE ÚČTOVNÁ ZÁVIERKA, A DO DŇA ZOSTAVENIA ÚČTOVNEJ ZÁVIERKY</w:t>
      </w:r>
    </w:p>
    <w:p w:rsidR="000331E3" w:rsidRDefault="000331E3"/>
    <w:p w:rsidR="000331E3" w:rsidRDefault="000331E3"/>
    <w:p w:rsidR="000331E3" w:rsidRDefault="000331E3">
      <w:r>
        <w:t>Po 31. decembri 2013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0331E3" w:rsidRDefault="000331E3">
      <w:pPr>
        <w:tabs>
          <w:tab w:val="left" w:pos="5295"/>
        </w:tabs>
      </w:pPr>
    </w:p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PREHĽAD ZMIEN VLASTNÉHO IMANIA</w:t>
      </w:r>
    </w:p>
    <w:p w:rsidR="000331E3" w:rsidRDefault="000331E3">
      <w:pPr>
        <w:rPr>
          <w:color w:val="000000"/>
        </w:rPr>
      </w:pPr>
    </w:p>
    <w:p w:rsidR="000331E3" w:rsidRDefault="000331E3">
      <w:pPr>
        <w:rPr>
          <w:color w:val="00000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4"/>
        <w:gridCol w:w="1427"/>
        <w:gridCol w:w="1426"/>
        <w:gridCol w:w="1426"/>
        <w:gridCol w:w="1426"/>
        <w:gridCol w:w="1456"/>
      </w:tblGrid>
      <w:tr w:rsidR="000331E3">
        <w:trPr>
          <w:trHeight w:val="318"/>
        </w:trPr>
        <w:tc>
          <w:tcPr>
            <w:tcW w:w="1994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>
        <w:tc>
          <w:tcPr>
            <w:tcW w:w="1994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 w:rsidP="0094699E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-5 250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 w:rsidP="0094699E">
            <w:pPr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4 363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 w:rsidP="0094699E">
            <w:pPr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10 610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  <w:tr w:rsidR="000331E3">
        <w:trPr>
          <w:trHeight w:val="345"/>
        </w:trPr>
        <w:tc>
          <w:tcPr>
            <w:tcW w:w="199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</w:tbl>
    <w:p w:rsidR="000331E3" w:rsidRDefault="000331E3">
      <w:pPr>
        <w:rPr>
          <w:rFonts w:cs="Arial Narrow"/>
          <w:sz w:val="15"/>
          <w:szCs w:val="15"/>
        </w:rPr>
      </w:pPr>
    </w:p>
    <w:p w:rsidR="0094699E" w:rsidRDefault="0094699E">
      <w:pPr>
        <w:rPr>
          <w:rFonts w:cs="Arial Narrow"/>
          <w:sz w:val="15"/>
          <w:szCs w:val="15"/>
        </w:rPr>
      </w:pPr>
    </w:p>
    <w:p w:rsidR="0094699E" w:rsidRDefault="0094699E">
      <w:pPr>
        <w:rPr>
          <w:rFonts w:cs="Arial Narrow"/>
          <w:sz w:val="15"/>
          <w:szCs w:val="15"/>
        </w:rPr>
      </w:pPr>
    </w:p>
    <w:p w:rsidR="0094699E" w:rsidRDefault="0094699E">
      <w:pPr>
        <w:rPr>
          <w:rFonts w:cs="Arial Narrow"/>
          <w:sz w:val="15"/>
          <w:szCs w:val="15"/>
        </w:rPr>
      </w:pPr>
    </w:p>
    <w:p w:rsidR="0094699E" w:rsidRDefault="0094699E">
      <w:pPr>
        <w:rPr>
          <w:rFonts w:cs="Arial Narrow"/>
          <w:sz w:val="15"/>
          <w:szCs w:val="15"/>
        </w:rPr>
      </w:pPr>
    </w:p>
    <w:p w:rsidR="0094699E" w:rsidRDefault="0094699E">
      <w:pPr>
        <w:rPr>
          <w:rFonts w:cs="Arial Narrow"/>
          <w:sz w:val="15"/>
          <w:szCs w:val="15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0"/>
        <w:gridCol w:w="1427"/>
        <w:gridCol w:w="1427"/>
        <w:gridCol w:w="1427"/>
        <w:gridCol w:w="1427"/>
        <w:gridCol w:w="1457"/>
      </w:tblGrid>
      <w:tr w:rsidR="000331E3">
        <w:trPr>
          <w:trHeight w:val="396"/>
        </w:trPr>
        <w:tc>
          <w:tcPr>
            <w:tcW w:w="199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1990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5 000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 w:rsidP="0094699E">
            <w:pPr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-5 250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 w:rsidP="0094699E">
            <w:pPr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4 950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887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45"/>
        </w:trPr>
        <w:tc>
          <w:tcPr>
            <w:tcW w:w="199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</w:tbl>
    <w:p w:rsidR="000331E3" w:rsidRDefault="000331E3" w:rsidP="0094699E"/>
    <w:sectPr w:rsidR="000331E3" w:rsidSect="0079376F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5" w:h="16837"/>
      <w:pgMar w:top="1128" w:right="1418" w:bottom="1418" w:left="1418" w:header="680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54FC" w:rsidRDefault="005054FC">
      <w:r>
        <w:separator/>
      </w:r>
    </w:p>
  </w:endnote>
  <w:endnote w:type="continuationSeparator" w:id="1">
    <w:p w:rsidR="005054FC" w:rsidRDefault="005054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518.9pt;margin-top:.05pt;width:5.4pt;height:10.45pt;z-index:251654656;mso-wrap-distance-left:0;mso-wrap-distance-right:0;mso-position-horizontal-relative:page" stroked="f">
          <v:fill opacity="0" color2="black"/>
          <v:textbox style="mso-next-textbox:#_x0000_s1026"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513.5pt;margin-top:.05pt;width:10.8pt;height:10.45pt;z-index:251658752;mso-wrap-distance-left:0;mso-wrap-distance-right:0;mso-position-horizontal-relative:page" stroked="f">
          <v:fill opacity="0" color2="black"/>
          <v:textbox style="mso-next-textbox:#_x0000_s1030"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10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left:0;text-align:left;margin-left:513.5pt;margin-top:.05pt;width:10.8pt;height:10.45pt;z-index:251660800;mso-wrap-distance-left:0;mso-wrap-distance-right:0;mso-position-horizontal-relative:page" stroked="f">
          <v:fill opacity="0" color2="black"/>
          <v:textbox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14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left:0;text-align:left;margin-left:518.9pt;margin-top:.05pt;width:5.4pt;height:10.45pt;z-index:251655680;mso-wrap-distance-left:0;mso-wrap-distance-right:0;mso-position-horizontal-relative:page" stroked="f">
          <v:fill opacity="0" color2="black"/>
          <v:textbox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7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780pt;margin-top:.05pt;width:5.4pt;height:10.45pt;z-index:251656704;mso-wrap-distance-left:0;mso-wrap-distance-right:0;mso-position-horizontal-relative:page" stroked="f">
          <v:fill opacity="0" color2="black"/>
          <v:textbox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8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left:0;text-align:left;margin-left:774.6pt;margin-top:.05pt;width:10.8pt;height:10.45pt;z-index:251657728;mso-wrap-distance-left:0;mso-wrap-distance-right:0;mso-position-horizontal-relative:page" stroked="f">
          <v:fill opacity="0" color2="black"/>
          <v:textbox inset="0,0,0,0">
            <w:txbxContent>
              <w:p w:rsidR="00AD76FD" w:rsidRDefault="00AD76F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E64B2">
                  <w:rPr>
                    <w:rStyle w:val="slostrany"/>
                    <w:noProof/>
                  </w:rPr>
                  <w:t>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54FC" w:rsidRDefault="005054FC">
      <w:r>
        <w:separator/>
      </w:r>
    </w:p>
  </w:footnote>
  <w:footnote w:type="continuationSeparator" w:id="1">
    <w:p w:rsidR="005054FC" w:rsidRDefault="005054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0C36CE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0C36CE" w:rsidRDefault="000C36CE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AD76FD" w:rsidRDefault="00AD7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K 31. decembru 2013</w:t>
    </w:r>
  </w:p>
  <w:p w:rsidR="00AD76FD" w:rsidRDefault="00AD7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5E46FD" w:rsidRDefault="005E46FD" w:rsidP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>
      <w:rPr>
        <w:b w:val="0"/>
        <w:bCs/>
        <w:sz w:val="16"/>
        <w:szCs w:val="16"/>
      </w:rPr>
      <w:t>K 31. decembru 2013</w:t>
    </w:r>
    <w:r>
      <w:rPr>
        <w:color w:val="808080"/>
        <w:sz w:val="16"/>
        <w:szCs w:val="16"/>
      </w:rPr>
      <w:t xml:space="preserve"> </w:t>
    </w:r>
  </w:p>
  <w:p w:rsidR="00AD76FD" w:rsidRDefault="00AD76FD" w:rsidP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A0F" w:rsidRDefault="006D1A0F" w:rsidP="006D1A0F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6D1A0F" w:rsidRDefault="006D1A0F" w:rsidP="006D1A0F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6D1A0F" w:rsidRDefault="006D1A0F" w:rsidP="006D1A0F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>
      <w:rPr>
        <w:b w:val="0"/>
        <w:bCs/>
        <w:sz w:val="16"/>
        <w:szCs w:val="16"/>
      </w:rPr>
      <w:t>K 31. decembru 2013</w:t>
    </w:r>
    <w:r>
      <w:rPr>
        <w:color w:val="808080"/>
        <w:sz w:val="16"/>
        <w:szCs w:val="16"/>
      </w:rPr>
      <w:t xml:space="preserve"> </w:t>
    </w:r>
  </w:p>
  <w:p w:rsidR="00AD76FD" w:rsidRDefault="00AD76FD" w:rsidP="006D1A0F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K 31. decembru 2013</w:t>
    </w:r>
  </w:p>
  <w:p w:rsidR="00AD76FD" w:rsidRDefault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 </w:t>
    </w:r>
    <w:r w:rsidR="00AD76FD"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 w:rsidR="00AD76FD"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AD7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K 31. decembru 2013</w:t>
    </w:r>
  </w:p>
  <w:p w:rsidR="00AD76FD" w:rsidRDefault="00AD7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6FD" w:rsidRDefault="00AD76FD"/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PANDA servis, s. r. o., Košice</w:t>
    </w:r>
  </w:p>
  <w:p w:rsidR="005E46FD" w:rsidRDefault="005E46FD" w:rsidP="005E46FD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>
      <w:rPr>
        <w:b w:val="0"/>
        <w:bCs/>
        <w:sz w:val="16"/>
        <w:szCs w:val="16"/>
      </w:rPr>
      <w:t>Poznámky k účtovným výkazom</w:t>
    </w:r>
  </w:p>
  <w:p w:rsidR="005E46FD" w:rsidRDefault="005E46FD" w:rsidP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>
      <w:rPr>
        <w:b w:val="0"/>
        <w:bCs/>
        <w:sz w:val="16"/>
        <w:szCs w:val="16"/>
      </w:rPr>
      <w:t>K 31. decembru 2013</w:t>
    </w:r>
    <w:r>
      <w:rPr>
        <w:color w:val="808080"/>
        <w:sz w:val="16"/>
        <w:szCs w:val="16"/>
      </w:rPr>
      <w:t xml:space="preserve"> </w:t>
    </w:r>
  </w:p>
  <w:p w:rsidR="00AD76FD" w:rsidRDefault="00AD76FD" w:rsidP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(údaje v tabuľkách sú uvedené v celých eurách, ak nie je uvedené inak)             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8"/>
      <w:numFmt w:val="upperLetter"/>
      <w:lvlText w:val="%1."/>
      <w:lvlJc w:val="left"/>
      <w:pPr>
        <w:tabs>
          <w:tab w:val="num" w:pos="717"/>
        </w:tabs>
        <w:ind w:left="717" w:hanging="360"/>
      </w:pPr>
    </w:lvl>
  </w:abstractNum>
  <w:abstractNum w:abstractNumId="3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7"/>
      <w:numFmt w:val="lowerLetter"/>
      <w:lvlText w:val="%1)"/>
      <w:lvlJc w:val="left"/>
      <w:pPr>
        <w:tabs>
          <w:tab w:val="num" w:pos="3597"/>
        </w:tabs>
        <w:ind w:left="3597" w:hanging="360"/>
      </w:pPr>
    </w:lvl>
    <w:lvl w:ilvl="1">
      <w:start w:val="1"/>
      <w:numFmt w:val="lowerLetter"/>
      <w:lvlText w:val="%2."/>
      <w:lvlJc w:val="left"/>
      <w:pPr>
        <w:tabs>
          <w:tab w:val="num" w:pos="4317"/>
        </w:tabs>
        <w:ind w:left="4317" w:hanging="360"/>
      </w:pPr>
    </w:lvl>
    <w:lvl w:ilvl="2">
      <w:start w:val="1"/>
      <w:numFmt w:val="lowerRoman"/>
      <w:lvlText w:val="%3."/>
      <w:lvlJc w:val="left"/>
      <w:pPr>
        <w:tabs>
          <w:tab w:val="num" w:pos="5037"/>
        </w:tabs>
        <w:ind w:left="5037" w:hanging="180"/>
      </w:pPr>
    </w:lvl>
    <w:lvl w:ilvl="3">
      <w:start w:val="1"/>
      <w:numFmt w:val="decimal"/>
      <w:lvlText w:val="%4."/>
      <w:lvlJc w:val="left"/>
      <w:pPr>
        <w:tabs>
          <w:tab w:val="num" w:pos="5757"/>
        </w:tabs>
        <w:ind w:left="5757" w:hanging="360"/>
      </w:pPr>
    </w:lvl>
    <w:lvl w:ilvl="4">
      <w:start w:val="1"/>
      <w:numFmt w:val="lowerLetter"/>
      <w:lvlText w:val="%5."/>
      <w:lvlJc w:val="left"/>
      <w:pPr>
        <w:tabs>
          <w:tab w:val="num" w:pos="6477"/>
        </w:tabs>
        <w:ind w:left="6477" w:hanging="360"/>
      </w:pPr>
    </w:lvl>
    <w:lvl w:ilvl="5">
      <w:start w:val="1"/>
      <w:numFmt w:val="lowerRoman"/>
      <w:lvlText w:val="%6."/>
      <w:lvlJc w:val="left"/>
      <w:pPr>
        <w:tabs>
          <w:tab w:val="num" w:pos="7197"/>
        </w:tabs>
        <w:ind w:left="7197" w:hanging="180"/>
      </w:pPr>
    </w:lvl>
    <w:lvl w:ilvl="6">
      <w:start w:val="1"/>
      <w:numFmt w:val="decimal"/>
      <w:lvlText w:val="%7."/>
      <w:lvlJc w:val="left"/>
      <w:pPr>
        <w:tabs>
          <w:tab w:val="num" w:pos="7917"/>
        </w:tabs>
        <w:ind w:left="7917" w:hanging="360"/>
      </w:pPr>
    </w:lvl>
    <w:lvl w:ilvl="7">
      <w:start w:val="1"/>
      <w:numFmt w:val="lowerLetter"/>
      <w:lvlText w:val="%8."/>
      <w:lvlJc w:val="left"/>
      <w:pPr>
        <w:tabs>
          <w:tab w:val="num" w:pos="8637"/>
        </w:tabs>
        <w:ind w:left="8637" w:hanging="360"/>
      </w:pPr>
    </w:lvl>
    <w:lvl w:ilvl="8">
      <w:start w:val="1"/>
      <w:numFmt w:val="lowerRoman"/>
      <w:lvlText w:val="%9."/>
      <w:lvlJc w:val="left"/>
      <w:pPr>
        <w:tabs>
          <w:tab w:val="num" w:pos="9357"/>
        </w:tabs>
        <w:ind w:left="9357" w:hanging="180"/>
      </w:pPr>
    </w:lvl>
  </w:abstractNum>
  <w:abstractNum w:abstractNumId="7">
    <w:nsid w:val="00000008"/>
    <w:multiLevelType w:val="singleLevel"/>
    <w:tmpl w:val="00000008"/>
    <w:name w:val="WW8Num9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9"/>
    <w:multiLevelType w:val="multilevel"/>
    <w:tmpl w:val="00000009"/>
    <w:name w:val="WW8Num10"/>
    <w:lvl w:ilvl="0">
      <w:start w:val="7"/>
      <w:numFmt w:val="upp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9">
    <w:nsid w:val="0000000A"/>
    <w:multiLevelType w:val="singleLevel"/>
    <w:tmpl w:val="0000000A"/>
    <w:name w:val="WW8Num11"/>
    <w:lvl w:ilvl="0">
      <w:start w:val="19"/>
      <w:numFmt w:val="lowerLetter"/>
      <w:lvlText w:val="%1)"/>
      <w:lvlJc w:val="left"/>
      <w:pPr>
        <w:tabs>
          <w:tab w:val="num" w:pos="0"/>
        </w:tabs>
        <w:ind w:left="899" w:hanging="360"/>
      </w:p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3"/>
    <w:lvl w:ilvl="0">
      <w:start w:val="15"/>
      <w:numFmt w:val="upperLetter"/>
      <w:lvlText w:val="%1."/>
      <w:lvlJc w:val="left"/>
      <w:pPr>
        <w:tabs>
          <w:tab w:val="num" w:pos="0"/>
        </w:tabs>
        <w:ind w:left="717" w:hanging="360"/>
      </w:pPr>
    </w:lvl>
  </w:abstractNum>
  <w:abstractNum w:abstractNumId="12">
    <w:nsid w:val="0000000D"/>
    <w:multiLevelType w:val="single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1797" w:hanging="360"/>
      </w:pPr>
    </w:lvl>
  </w:abstractNum>
  <w:abstractNum w:abstractNumId="13">
    <w:nsid w:val="0000000E"/>
    <w:multiLevelType w:val="singleLevel"/>
    <w:tmpl w:val="0000000E"/>
    <w:name w:val="WW8Num15"/>
    <w:lvl w:ilvl="0">
      <w:start w:val="5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0F"/>
    <w:multiLevelType w:val="multilevel"/>
    <w:tmpl w:val="0000000F"/>
    <w:name w:val="WW8Num18"/>
    <w:lvl w:ilvl="0">
      <w:start w:val="5"/>
      <w:numFmt w:val="upperLetter"/>
      <w:lvlText w:val="%1."/>
      <w:lvlJc w:val="left"/>
      <w:pPr>
        <w:tabs>
          <w:tab w:val="num" w:pos="0"/>
        </w:tabs>
        <w:ind w:left="71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5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77" w:hanging="360"/>
      </w:pPr>
    </w:lvl>
    <w:lvl w:ilvl="4">
      <w:start w:val="15"/>
      <w:numFmt w:val="lowerLetter"/>
      <w:lvlText w:val="%5)"/>
      <w:lvlJc w:val="left"/>
      <w:pPr>
        <w:tabs>
          <w:tab w:val="num" w:pos="3597"/>
        </w:tabs>
        <w:ind w:left="359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1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3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5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77" w:hanging="180"/>
      </w:pPr>
    </w:lvl>
  </w:abstractNum>
  <w:abstractNum w:abstractNumId="15">
    <w:nsid w:val="41EB167E"/>
    <w:multiLevelType w:val="hybridMultilevel"/>
    <w:tmpl w:val="BD8E6E04"/>
    <w:lvl w:ilvl="0" w:tplc="0F58F8FE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hyphenationZone w:val="425"/>
  <w:defaultTableStyle w:val="Normlny"/>
  <w:drawingGridHorizontalSpacing w:val="85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717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0331E3"/>
    <w:rsid w:val="000331E3"/>
    <w:rsid w:val="000C36CE"/>
    <w:rsid w:val="0018528A"/>
    <w:rsid w:val="001921A9"/>
    <w:rsid w:val="00230F24"/>
    <w:rsid w:val="00393D97"/>
    <w:rsid w:val="004144CA"/>
    <w:rsid w:val="00446797"/>
    <w:rsid w:val="005054FC"/>
    <w:rsid w:val="005E46FD"/>
    <w:rsid w:val="00682F23"/>
    <w:rsid w:val="006D1A0F"/>
    <w:rsid w:val="0079376F"/>
    <w:rsid w:val="008248C0"/>
    <w:rsid w:val="0094699E"/>
    <w:rsid w:val="0095347F"/>
    <w:rsid w:val="00975C39"/>
    <w:rsid w:val="009A6183"/>
    <w:rsid w:val="009E64B2"/>
    <w:rsid w:val="00AD76FD"/>
    <w:rsid w:val="00AF449D"/>
    <w:rsid w:val="00B171EC"/>
    <w:rsid w:val="00D94761"/>
    <w:rsid w:val="00DF6B19"/>
    <w:rsid w:val="00E3025F"/>
    <w:rsid w:val="00EB7078"/>
    <w:rsid w:val="00F2031B"/>
    <w:rsid w:val="00FD40D8"/>
    <w:rsid w:val="00FE5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76F"/>
    <w:pPr>
      <w:suppressAutoHyphens/>
      <w:jc w:val="both"/>
    </w:pPr>
    <w:rPr>
      <w:rFonts w:ascii="Verdana" w:hAnsi="Verdana"/>
      <w:sz w:val="17"/>
      <w:lang w:eastAsia="ar-SA"/>
    </w:rPr>
  </w:style>
  <w:style w:type="paragraph" w:styleId="Nadpis1">
    <w:name w:val="heading 1"/>
    <w:basedOn w:val="Normlny"/>
    <w:next w:val="Normlny"/>
    <w:qFormat/>
    <w:rsid w:val="00393D97"/>
    <w:pPr>
      <w:keepNext/>
      <w:tabs>
        <w:tab w:val="num" w:pos="539"/>
      </w:tabs>
      <w:ind w:left="539" w:hanging="539"/>
      <w:outlineLvl w:val="0"/>
    </w:pPr>
    <w:rPr>
      <w:rFonts w:cs="Arial"/>
      <w:b/>
      <w:bCs/>
      <w:caps/>
      <w:kern w:val="1"/>
      <w:sz w:val="18"/>
      <w:szCs w:val="15"/>
      <w:u w:val="single"/>
    </w:rPr>
  </w:style>
  <w:style w:type="paragraph" w:styleId="Nadpis2">
    <w:name w:val="heading 2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79376F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79376F"/>
    <w:pPr>
      <w:tabs>
        <w:tab w:val="num" w:pos="1152"/>
      </w:tabs>
      <w:spacing w:before="240" w:after="60"/>
      <w:ind w:left="1152" w:hanging="1152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9376F"/>
    <w:pPr>
      <w:tabs>
        <w:tab w:val="num" w:pos="1296"/>
      </w:tabs>
      <w:spacing w:before="240" w:after="60"/>
      <w:ind w:left="1296" w:hanging="1296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79376F"/>
    <w:pPr>
      <w:tabs>
        <w:tab w:val="num" w:pos="1440"/>
      </w:tabs>
      <w:spacing w:before="240" w:after="60"/>
      <w:ind w:left="1440" w:hanging="144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79376F"/>
    <w:pPr>
      <w:tabs>
        <w:tab w:val="num" w:pos="1584"/>
      </w:tabs>
      <w:spacing w:before="240" w:after="60"/>
      <w:ind w:left="1584" w:hanging="1584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79376F"/>
    <w:rPr>
      <w:rFonts w:ascii="Verdana" w:eastAsia="Times New Roman" w:hAnsi="Verdana" w:cs="Times New Roman"/>
    </w:rPr>
  </w:style>
  <w:style w:type="character" w:customStyle="1" w:styleId="WW8Num1z1">
    <w:name w:val="WW8Num1z1"/>
    <w:rsid w:val="0079376F"/>
    <w:rPr>
      <w:rFonts w:ascii="Courier New" w:hAnsi="Courier New"/>
    </w:rPr>
  </w:style>
  <w:style w:type="character" w:customStyle="1" w:styleId="WW8Num1z2">
    <w:name w:val="WW8Num1z2"/>
    <w:rsid w:val="0079376F"/>
    <w:rPr>
      <w:rFonts w:ascii="Wingdings" w:hAnsi="Wingdings"/>
    </w:rPr>
  </w:style>
  <w:style w:type="character" w:customStyle="1" w:styleId="WW8Num1z3">
    <w:name w:val="WW8Num1z3"/>
    <w:rsid w:val="0079376F"/>
    <w:rPr>
      <w:rFonts w:ascii="Symbol" w:hAnsi="Symbol"/>
    </w:rPr>
  </w:style>
  <w:style w:type="character" w:customStyle="1" w:styleId="WW8Num2z0">
    <w:name w:val="WW8Num2z0"/>
    <w:rsid w:val="0079376F"/>
    <w:rPr>
      <w:rFonts w:ascii="Symbol" w:hAnsi="Symbol"/>
    </w:rPr>
  </w:style>
  <w:style w:type="character" w:customStyle="1" w:styleId="WW8Num4z0">
    <w:name w:val="WW8Num4z0"/>
    <w:rsid w:val="0079376F"/>
    <w:rPr>
      <w:rFonts w:ascii="Verdana" w:eastAsia="Times New Roman" w:hAnsi="Verdana" w:cs="Times New Roman"/>
    </w:rPr>
  </w:style>
  <w:style w:type="character" w:customStyle="1" w:styleId="WW8Num4z1">
    <w:name w:val="WW8Num4z1"/>
    <w:rsid w:val="0079376F"/>
    <w:rPr>
      <w:rFonts w:ascii="Courier New" w:hAnsi="Courier New"/>
    </w:rPr>
  </w:style>
  <w:style w:type="character" w:customStyle="1" w:styleId="WW8Num4z2">
    <w:name w:val="WW8Num4z2"/>
    <w:rsid w:val="0079376F"/>
    <w:rPr>
      <w:rFonts w:ascii="Wingdings" w:hAnsi="Wingdings"/>
    </w:rPr>
  </w:style>
  <w:style w:type="character" w:customStyle="1" w:styleId="WW8Num4z3">
    <w:name w:val="WW8Num4z3"/>
    <w:rsid w:val="0079376F"/>
    <w:rPr>
      <w:rFonts w:ascii="Symbol" w:hAnsi="Symbol"/>
    </w:rPr>
  </w:style>
  <w:style w:type="character" w:customStyle="1" w:styleId="WW8Num5z0">
    <w:name w:val="WW8Num5z0"/>
    <w:rsid w:val="0079376F"/>
    <w:rPr>
      <w:rFonts w:ascii="Symbol" w:hAnsi="Symbol"/>
    </w:rPr>
  </w:style>
  <w:style w:type="character" w:customStyle="1" w:styleId="WW8Num5z1">
    <w:name w:val="WW8Num5z1"/>
    <w:rsid w:val="0079376F"/>
    <w:rPr>
      <w:rFonts w:ascii="Courier New" w:hAnsi="Courier New"/>
    </w:rPr>
  </w:style>
  <w:style w:type="character" w:customStyle="1" w:styleId="WW8Num5z2">
    <w:name w:val="WW8Num5z2"/>
    <w:rsid w:val="0079376F"/>
    <w:rPr>
      <w:rFonts w:ascii="Wingdings" w:hAnsi="Wingdings"/>
    </w:rPr>
  </w:style>
  <w:style w:type="character" w:customStyle="1" w:styleId="Predvolenpsmoodseku1">
    <w:name w:val="Predvolené písmo odseku1"/>
    <w:rsid w:val="0079376F"/>
  </w:style>
  <w:style w:type="character" w:styleId="slostrany">
    <w:name w:val="page number"/>
    <w:basedOn w:val="Predvolenpsmoodseku1"/>
    <w:rsid w:val="0079376F"/>
  </w:style>
  <w:style w:type="character" w:customStyle="1" w:styleId="Odkaznakomentr1">
    <w:name w:val="Odkaz na komentár1"/>
    <w:rsid w:val="0079376F"/>
    <w:rPr>
      <w:sz w:val="16"/>
      <w:szCs w:val="16"/>
    </w:rPr>
  </w:style>
  <w:style w:type="character" w:customStyle="1" w:styleId="NzovChar">
    <w:name w:val="Názov Char"/>
    <w:rsid w:val="0079376F"/>
    <w:rPr>
      <w:rFonts w:ascii="Arial Narrow" w:hAnsi="Arial Narrow"/>
      <w:b/>
      <w:bCs/>
      <w:kern w:val="1"/>
      <w:sz w:val="22"/>
      <w:szCs w:val="32"/>
    </w:rPr>
  </w:style>
  <w:style w:type="character" w:customStyle="1" w:styleId="PtaChar">
    <w:name w:val="Päta Char"/>
    <w:rsid w:val="0079376F"/>
    <w:rPr>
      <w:rFonts w:ascii="Verdana" w:hAnsi="Verdana"/>
      <w:sz w:val="17"/>
    </w:rPr>
  </w:style>
  <w:style w:type="character" w:customStyle="1" w:styleId="HlavikaChar">
    <w:name w:val="Hlavička Char"/>
    <w:rsid w:val="0079376F"/>
    <w:rPr>
      <w:rFonts w:ascii="Verdana" w:hAnsi="Verdana"/>
      <w:b/>
      <w:sz w:val="17"/>
    </w:rPr>
  </w:style>
  <w:style w:type="paragraph" w:customStyle="1" w:styleId="Nadpis">
    <w:name w:val="Nadpis"/>
    <w:basedOn w:val="Normlny"/>
    <w:next w:val="Zkladntext"/>
    <w:rsid w:val="0079376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9376F"/>
    <w:rPr>
      <w:sz w:val="24"/>
      <w:lang w:val="cs-CZ"/>
    </w:rPr>
  </w:style>
  <w:style w:type="paragraph" w:styleId="Zoznam">
    <w:name w:val="List"/>
    <w:basedOn w:val="Zkladntext"/>
    <w:rsid w:val="0079376F"/>
    <w:rPr>
      <w:rFonts w:cs="Tahoma"/>
    </w:rPr>
  </w:style>
  <w:style w:type="paragraph" w:customStyle="1" w:styleId="Popisok">
    <w:name w:val="Popisok"/>
    <w:basedOn w:val="Normlny"/>
    <w:rsid w:val="007937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9376F"/>
    <w:pPr>
      <w:suppressLineNumbers/>
    </w:pPr>
    <w:rPr>
      <w:rFonts w:cs="Tahoma"/>
    </w:rPr>
  </w:style>
  <w:style w:type="paragraph" w:styleId="Hlavika">
    <w:name w:val="header"/>
    <w:basedOn w:val="Normlny"/>
    <w:rsid w:val="0079376F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79376F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rsid w:val="0079376F"/>
    <w:rPr>
      <w:rFonts w:ascii="Tahoma" w:hAnsi="Tahoma" w:cs="Tahoma"/>
      <w:sz w:val="16"/>
      <w:szCs w:val="16"/>
    </w:rPr>
  </w:style>
  <w:style w:type="paragraph" w:customStyle="1" w:styleId="Textkomentra1">
    <w:name w:val="Text komentára1"/>
    <w:basedOn w:val="Normlny"/>
    <w:rsid w:val="0079376F"/>
    <w:rPr>
      <w:sz w:val="20"/>
    </w:rPr>
  </w:style>
  <w:style w:type="paragraph" w:styleId="Predmetkomentra">
    <w:name w:val="annotation subject"/>
    <w:basedOn w:val="Textkomentra1"/>
    <w:next w:val="Textkomentra1"/>
    <w:rsid w:val="0079376F"/>
    <w:rPr>
      <w:b/>
      <w:bCs/>
    </w:rPr>
  </w:style>
  <w:style w:type="paragraph" w:customStyle="1" w:styleId="tableheader">
    <w:name w:val="table header"/>
    <w:basedOn w:val="Normlny"/>
    <w:rsid w:val="0079376F"/>
    <w:pPr>
      <w:jc w:val="center"/>
    </w:pPr>
    <w:rPr>
      <w:rFonts w:ascii="Times New Roman Bold" w:hAnsi="Times New Roman Bold"/>
      <w:b/>
      <w:i/>
      <w:sz w:val="20"/>
    </w:rPr>
  </w:style>
  <w:style w:type="paragraph" w:styleId="Revzia">
    <w:name w:val="Revision"/>
    <w:rsid w:val="0079376F"/>
    <w:pPr>
      <w:suppressAutoHyphens/>
    </w:pPr>
    <w:rPr>
      <w:rFonts w:ascii="Verdana" w:eastAsia="Arial" w:hAnsi="Verdana"/>
      <w:sz w:val="17"/>
      <w:lang w:eastAsia="ar-SA"/>
    </w:rPr>
  </w:style>
  <w:style w:type="paragraph" w:customStyle="1" w:styleId="TopHeader">
    <w:name w:val="Top Header"/>
    <w:basedOn w:val="Normlny"/>
    <w:rsid w:val="0079376F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qFormat/>
    <w:rsid w:val="0079376F"/>
    <w:pPr>
      <w:keepNext/>
      <w:spacing w:before="100" w:after="220"/>
      <w:jc w:val="center"/>
    </w:pPr>
    <w:rPr>
      <w:rFonts w:ascii="Arial Narrow" w:hAnsi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rsid w:val="0079376F"/>
    <w:pPr>
      <w:jc w:val="center"/>
    </w:pPr>
    <w:rPr>
      <w:i/>
      <w:iCs/>
    </w:rPr>
  </w:style>
  <w:style w:type="paragraph" w:styleId="Odsekzoznamu">
    <w:name w:val="List Paragraph"/>
    <w:basedOn w:val="Normlny"/>
    <w:qFormat/>
    <w:rsid w:val="0079376F"/>
    <w:pPr>
      <w:ind w:left="708"/>
    </w:pPr>
  </w:style>
  <w:style w:type="paragraph" w:customStyle="1" w:styleId="Obsahtabuky">
    <w:name w:val="Obsah tabuľky"/>
    <w:basedOn w:val="Normlny"/>
    <w:rsid w:val="0079376F"/>
    <w:pPr>
      <w:suppressLineNumbers/>
    </w:pPr>
  </w:style>
  <w:style w:type="paragraph" w:customStyle="1" w:styleId="Nadpistabuky">
    <w:name w:val="Nadpis tabuľky"/>
    <w:basedOn w:val="Obsahtabuky"/>
    <w:rsid w:val="0079376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937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header" Target="header10.xml"/><Relationship Id="rId39" Type="http://schemas.openxmlformats.org/officeDocument/2006/relationships/footer" Target="footer16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34" Type="http://schemas.openxmlformats.org/officeDocument/2006/relationships/header" Target="header1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5" Type="http://schemas.openxmlformats.org/officeDocument/2006/relationships/footer" Target="footer9.xml"/><Relationship Id="rId33" Type="http://schemas.openxmlformats.org/officeDocument/2006/relationships/footer" Target="footer13.xml"/><Relationship Id="rId38" Type="http://schemas.openxmlformats.org/officeDocument/2006/relationships/header" Target="header1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29" Type="http://schemas.openxmlformats.org/officeDocument/2006/relationships/header" Target="header12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footer" Target="footer8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header" Target="header11.xml"/><Relationship Id="rId36" Type="http://schemas.openxmlformats.org/officeDocument/2006/relationships/footer" Target="footer14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Relationship Id="rId27" Type="http://schemas.openxmlformats.org/officeDocument/2006/relationships/footer" Target="footer10.xml"/><Relationship Id="rId30" Type="http://schemas.openxmlformats.org/officeDocument/2006/relationships/footer" Target="footer11.xml"/><Relationship Id="rId35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7F9BD-CC99-4E0E-BC6D-9C10A452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3121</Words>
  <Characters>17793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/>
  <LinksUpToDate>false</LinksUpToDate>
  <CharactersWithSpaces>20873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Eco</cp:lastModifiedBy>
  <cp:revision>4</cp:revision>
  <cp:lastPrinted>2014-03-18T16:28:00Z</cp:lastPrinted>
  <dcterms:created xsi:type="dcterms:W3CDTF">2014-03-18T17:33:00Z</dcterms:created>
  <dcterms:modified xsi:type="dcterms:W3CDTF">2014-03-18T17:35:00Z</dcterms:modified>
</cp:coreProperties>
</file>