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834B2" w:rsidRPr="009353C6" w:rsidRDefault="009353C6">
      <w:pPr>
        <w:rPr>
          <w:b/>
          <w:sz w:val="36"/>
        </w:rPr>
      </w:pPr>
      <w:r w:rsidRPr="009353C6">
        <w:rPr>
          <w:b/>
          <w:sz w:val="36"/>
        </w:rPr>
        <w:t>Príloha k účtovnej závierke 2013</w:t>
      </w: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04"/>
        <w:gridCol w:w="5868"/>
      </w:tblGrid>
      <w:tr w:rsidR="009353C6" w:rsidRPr="009353C6" w:rsidTr="009353C6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9353C6" w:rsidRPr="009353C6" w:rsidRDefault="009353C6" w:rsidP="009353C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353C6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Oddiel: </w:t>
            </w:r>
            <w:r w:rsidRPr="009353C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  <w:proofErr w:type="spellStart"/>
            <w:r w:rsidRPr="009353C6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Sro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9353C6" w:rsidRPr="009353C6" w:rsidRDefault="009353C6" w:rsidP="009353C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353C6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Vložka číslo: </w:t>
            </w:r>
            <w:r w:rsidRPr="009353C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Pr="009353C6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23357/R</w:t>
            </w:r>
          </w:p>
        </w:tc>
      </w:tr>
    </w:tbl>
    <w:p w:rsidR="009353C6" w:rsidRPr="009353C6" w:rsidRDefault="009353C6" w:rsidP="009353C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9353C6" w:rsidRPr="009353C6" w:rsidTr="009353C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353C6" w:rsidRPr="009353C6" w:rsidRDefault="009353C6" w:rsidP="009353C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353C6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9353C6" w:rsidRPr="009353C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353C6" w:rsidRPr="009353C6" w:rsidRDefault="009353C6" w:rsidP="009353C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53C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PAMILO, s. r. o. </w:t>
                  </w:r>
                </w:p>
              </w:tc>
              <w:tc>
                <w:tcPr>
                  <w:tcW w:w="1650" w:type="pct"/>
                  <w:hideMark/>
                </w:tcPr>
                <w:p w:rsidR="009353C6" w:rsidRPr="009353C6" w:rsidRDefault="009353C6" w:rsidP="009353C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53C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9353C6" w:rsidRPr="009353C6" w:rsidRDefault="009353C6" w:rsidP="009353C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9353C6" w:rsidRPr="009353C6" w:rsidRDefault="009353C6" w:rsidP="009353C6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9353C6" w:rsidRPr="009353C6" w:rsidTr="009353C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353C6" w:rsidRPr="009353C6" w:rsidRDefault="009353C6" w:rsidP="009353C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353C6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9353C6" w:rsidRPr="009353C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353C6" w:rsidRPr="009353C6" w:rsidRDefault="009353C6" w:rsidP="009353C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53C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Valentína </w:t>
                  </w:r>
                  <w:proofErr w:type="spellStart"/>
                  <w:r w:rsidRPr="009353C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Beniaka</w:t>
                  </w:r>
                  <w:proofErr w:type="spellEnd"/>
                  <w:r w:rsidRPr="009353C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 60/205 </w:t>
                  </w:r>
                  <w:r w:rsidRPr="009353C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9353C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Chynorany 956 33 </w:t>
                  </w:r>
                </w:p>
              </w:tc>
              <w:tc>
                <w:tcPr>
                  <w:tcW w:w="1650" w:type="pct"/>
                  <w:hideMark/>
                </w:tcPr>
                <w:p w:rsidR="009353C6" w:rsidRPr="009353C6" w:rsidRDefault="009353C6" w:rsidP="009353C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53C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9353C6" w:rsidRPr="009353C6" w:rsidRDefault="009353C6" w:rsidP="009353C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9353C6" w:rsidRPr="009353C6" w:rsidRDefault="009353C6" w:rsidP="009353C6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9353C6" w:rsidRPr="009353C6" w:rsidTr="009353C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353C6" w:rsidRPr="009353C6" w:rsidRDefault="009353C6" w:rsidP="009353C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353C6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9353C6" w:rsidRPr="009353C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353C6" w:rsidRPr="009353C6" w:rsidRDefault="009353C6" w:rsidP="009353C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53C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45 670 358 </w:t>
                  </w:r>
                </w:p>
              </w:tc>
              <w:tc>
                <w:tcPr>
                  <w:tcW w:w="1650" w:type="pct"/>
                  <w:hideMark/>
                </w:tcPr>
                <w:p w:rsidR="009353C6" w:rsidRPr="009353C6" w:rsidRDefault="009353C6" w:rsidP="009353C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9353C6" w:rsidRPr="009353C6" w:rsidRDefault="009353C6" w:rsidP="009353C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9353C6" w:rsidRPr="009353C6" w:rsidRDefault="009353C6" w:rsidP="009353C6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9353C6" w:rsidRPr="009353C6" w:rsidTr="009353C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353C6" w:rsidRPr="009353C6" w:rsidRDefault="009353C6" w:rsidP="009353C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353C6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9353C6" w:rsidRPr="009353C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353C6" w:rsidRPr="009353C6" w:rsidRDefault="009353C6" w:rsidP="009353C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53C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30.07.2010 </w:t>
                  </w:r>
                </w:p>
              </w:tc>
              <w:tc>
                <w:tcPr>
                  <w:tcW w:w="1650" w:type="pct"/>
                  <w:hideMark/>
                </w:tcPr>
                <w:p w:rsidR="009353C6" w:rsidRPr="009353C6" w:rsidRDefault="009353C6" w:rsidP="009353C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53C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9353C6" w:rsidRPr="009353C6" w:rsidRDefault="009353C6" w:rsidP="009353C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9353C6" w:rsidRPr="009353C6" w:rsidRDefault="009353C6" w:rsidP="009353C6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9353C6" w:rsidRPr="009353C6" w:rsidTr="009353C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353C6" w:rsidRPr="009353C6" w:rsidRDefault="009353C6" w:rsidP="009353C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353C6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9353C6" w:rsidRPr="009353C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353C6" w:rsidRPr="009353C6" w:rsidRDefault="009353C6" w:rsidP="009353C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53C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9353C6" w:rsidRPr="009353C6" w:rsidRDefault="009353C6" w:rsidP="009353C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9353C6" w:rsidRPr="009353C6" w:rsidRDefault="009353C6" w:rsidP="009353C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9353C6" w:rsidRPr="009353C6" w:rsidRDefault="009353C6" w:rsidP="009353C6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9353C6" w:rsidRPr="009353C6" w:rsidTr="009353C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353C6" w:rsidRPr="009353C6" w:rsidRDefault="009353C6" w:rsidP="009353C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353C6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9353C6" w:rsidRPr="009353C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353C6" w:rsidRPr="009353C6" w:rsidRDefault="009353C6" w:rsidP="009353C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53C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vedenie účtovníctva </w:t>
                  </w:r>
                </w:p>
              </w:tc>
              <w:tc>
                <w:tcPr>
                  <w:tcW w:w="1650" w:type="pct"/>
                  <w:hideMark/>
                </w:tcPr>
                <w:p w:rsidR="009353C6" w:rsidRPr="009353C6" w:rsidRDefault="009353C6" w:rsidP="009353C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53C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9353C6" w:rsidRPr="009353C6" w:rsidRDefault="009353C6" w:rsidP="009353C6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9353C6" w:rsidRPr="009353C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353C6" w:rsidRPr="009353C6" w:rsidRDefault="009353C6" w:rsidP="009353C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53C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(maloobchod) alebo iným prevádzkovateľom živností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9353C6" w:rsidRPr="009353C6" w:rsidRDefault="009353C6" w:rsidP="009353C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53C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9353C6" w:rsidRPr="009353C6" w:rsidRDefault="009353C6" w:rsidP="009353C6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9353C6" w:rsidRPr="009353C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353C6" w:rsidRPr="009353C6" w:rsidRDefault="009353C6" w:rsidP="009353C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53C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obchodu </w:t>
                  </w:r>
                </w:p>
              </w:tc>
              <w:tc>
                <w:tcPr>
                  <w:tcW w:w="1650" w:type="pct"/>
                  <w:hideMark/>
                </w:tcPr>
                <w:p w:rsidR="009353C6" w:rsidRPr="009353C6" w:rsidRDefault="009353C6" w:rsidP="009353C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53C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9353C6" w:rsidRPr="009353C6" w:rsidRDefault="009353C6" w:rsidP="009353C6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9353C6" w:rsidRPr="009353C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353C6" w:rsidRPr="009353C6" w:rsidRDefault="009353C6" w:rsidP="009353C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53C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činnosť podnikateľských, organizačných a ekonomických poradcov </w:t>
                  </w:r>
                </w:p>
              </w:tc>
              <w:tc>
                <w:tcPr>
                  <w:tcW w:w="1650" w:type="pct"/>
                  <w:hideMark/>
                </w:tcPr>
                <w:p w:rsidR="009353C6" w:rsidRPr="009353C6" w:rsidRDefault="009353C6" w:rsidP="009353C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53C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9353C6" w:rsidRPr="009353C6" w:rsidRDefault="009353C6" w:rsidP="009353C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9353C6" w:rsidRPr="009353C6" w:rsidRDefault="009353C6" w:rsidP="009353C6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9353C6" w:rsidRPr="009353C6" w:rsidTr="009353C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353C6" w:rsidRPr="009353C6" w:rsidRDefault="009353C6" w:rsidP="009353C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353C6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9353C6" w:rsidRPr="009353C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353C6" w:rsidRPr="009353C6" w:rsidRDefault="009353C6" w:rsidP="009353C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5" w:history="1">
                    <w:r w:rsidRPr="009353C6">
                      <w:rPr>
                        <w:rFonts w:ascii="Arial CE" w:eastAsia="Times New Roman" w:hAnsi="Arial CE" w:cs="Arial CE"/>
                        <w:b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Pavol </w:t>
                    </w:r>
                    <w:proofErr w:type="spellStart"/>
                    <w:r w:rsidRPr="009353C6">
                      <w:rPr>
                        <w:rFonts w:ascii="Arial CE" w:eastAsia="Times New Roman" w:hAnsi="Arial CE" w:cs="Arial CE"/>
                        <w:b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Longauer</w:t>
                    </w:r>
                    <w:proofErr w:type="spellEnd"/>
                    <w:r w:rsidRPr="009353C6">
                      <w:rPr>
                        <w:rFonts w:ascii="Arial CE" w:eastAsia="Times New Roman" w:hAnsi="Arial CE" w:cs="Arial CE"/>
                        <w:b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 </w:t>
                    </w:r>
                  </w:hyperlink>
                  <w:r w:rsidRPr="009353C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9353C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Valentína </w:t>
                  </w:r>
                  <w:proofErr w:type="spellStart"/>
                  <w:r w:rsidRPr="009353C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Beniaka</w:t>
                  </w:r>
                  <w:proofErr w:type="spellEnd"/>
                  <w:r w:rsidRPr="009353C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 60/205 </w:t>
                  </w:r>
                  <w:r w:rsidRPr="009353C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9353C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Chynorany 956 33 </w:t>
                  </w:r>
                </w:p>
              </w:tc>
              <w:tc>
                <w:tcPr>
                  <w:tcW w:w="1650" w:type="pct"/>
                  <w:hideMark/>
                </w:tcPr>
                <w:p w:rsidR="009353C6" w:rsidRPr="009353C6" w:rsidRDefault="009353C6" w:rsidP="009353C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9353C6" w:rsidRPr="009353C6" w:rsidRDefault="009353C6" w:rsidP="009353C6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9353C6" w:rsidRPr="009353C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353C6" w:rsidRPr="009353C6" w:rsidRDefault="009353C6" w:rsidP="009353C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6" w:history="1">
                    <w:r w:rsidRPr="009353C6">
                      <w:rPr>
                        <w:rFonts w:ascii="Arial CE" w:eastAsia="Times New Roman" w:hAnsi="Arial CE" w:cs="Arial CE"/>
                        <w:b/>
                        <w:bCs/>
                        <w:color w:val="0033CC"/>
                        <w:sz w:val="20"/>
                        <w:szCs w:val="20"/>
                        <w:lang w:eastAsia="sk-SK"/>
                      </w:rPr>
                      <w:t>Miroslava Longauerová </w:t>
                    </w:r>
                  </w:hyperlink>
                  <w:r w:rsidRPr="009353C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9353C6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 xml:space="preserve">Valentína </w:t>
                  </w:r>
                  <w:proofErr w:type="spellStart"/>
                  <w:r w:rsidRPr="009353C6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Beniaka</w:t>
                  </w:r>
                  <w:proofErr w:type="spellEnd"/>
                  <w:r w:rsidRPr="009353C6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 60/205 </w:t>
                  </w:r>
                  <w:r w:rsidRPr="009353C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9353C6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Chynorany 956 33 </w:t>
                  </w:r>
                </w:p>
              </w:tc>
              <w:tc>
                <w:tcPr>
                  <w:tcW w:w="1650" w:type="pct"/>
                  <w:hideMark/>
                </w:tcPr>
                <w:p w:rsidR="009353C6" w:rsidRPr="009353C6" w:rsidRDefault="009353C6" w:rsidP="009353C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53C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53C6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(od: 30.07.2010 do: 08.03.2013)</w:t>
                  </w:r>
                </w:p>
              </w:tc>
            </w:tr>
          </w:tbl>
          <w:p w:rsidR="009353C6" w:rsidRPr="009353C6" w:rsidRDefault="009353C6" w:rsidP="009353C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9353C6" w:rsidRPr="009353C6" w:rsidRDefault="009353C6" w:rsidP="009353C6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9353C6" w:rsidRPr="009353C6" w:rsidTr="009353C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353C6" w:rsidRPr="009353C6" w:rsidRDefault="009353C6" w:rsidP="009353C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353C6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9353C6" w:rsidRPr="009353C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353C6" w:rsidRPr="009353C6" w:rsidRDefault="009353C6" w:rsidP="009353C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53C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Pavol </w:t>
                  </w:r>
                  <w:proofErr w:type="spellStart"/>
                  <w:r w:rsidRPr="009353C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Longauer</w:t>
                  </w:r>
                  <w:proofErr w:type="spellEnd"/>
                  <w:r w:rsidRPr="009353C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  <w:r w:rsidRPr="009353C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9353C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Vklad: 5 000 EUR Splatené: 5 000 EUR </w:t>
                  </w:r>
                </w:p>
              </w:tc>
              <w:tc>
                <w:tcPr>
                  <w:tcW w:w="1650" w:type="pct"/>
                  <w:hideMark/>
                </w:tcPr>
                <w:p w:rsidR="009353C6" w:rsidRPr="009353C6" w:rsidRDefault="009353C6" w:rsidP="009353C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53C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53C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09.03.2013)</w:t>
                  </w:r>
                </w:p>
              </w:tc>
            </w:tr>
          </w:tbl>
          <w:p w:rsidR="009353C6" w:rsidRPr="009353C6" w:rsidRDefault="009353C6" w:rsidP="009353C6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9353C6" w:rsidRPr="009353C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353C6" w:rsidRPr="009353C6" w:rsidRDefault="009353C6" w:rsidP="009353C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53C6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Pavol </w:t>
                  </w:r>
                  <w:proofErr w:type="spellStart"/>
                  <w:r w:rsidRPr="009353C6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Longauer</w:t>
                  </w:r>
                  <w:proofErr w:type="spellEnd"/>
                  <w:r w:rsidRPr="009353C6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 </w:t>
                  </w:r>
                  <w:r w:rsidRPr="009353C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9353C6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Vklad: 2 500 EUR Splatené: 2 500 EUR </w:t>
                  </w:r>
                </w:p>
              </w:tc>
              <w:tc>
                <w:tcPr>
                  <w:tcW w:w="1650" w:type="pct"/>
                  <w:hideMark/>
                </w:tcPr>
                <w:p w:rsidR="009353C6" w:rsidRPr="009353C6" w:rsidRDefault="009353C6" w:rsidP="009353C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53C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53C6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(od: 30.07.2010 do: 08.03.2013)</w:t>
                  </w:r>
                </w:p>
              </w:tc>
            </w:tr>
          </w:tbl>
          <w:p w:rsidR="009353C6" w:rsidRPr="009353C6" w:rsidRDefault="009353C6" w:rsidP="009353C6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9353C6" w:rsidRPr="009353C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353C6" w:rsidRPr="009353C6" w:rsidRDefault="009353C6" w:rsidP="009353C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53C6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Miroslava Longauerová </w:t>
                  </w:r>
                  <w:r w:rsidRPr="009353C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9353C6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Vklad: 2 500 EUR Splatené: 2 500 EUR </w:t>
                  </w:r>
                </w:p>
              </w:tc>
              <w:tc>
                <w:tcPr>
                  <w:tcW w:w="1650" w:type="pct"/>
                  <w:hideMark/>
                </w:tcPr>
                <w:p w:rsidR="009353C6" w:rsidRPr="009353C6" w:rsidRDefault="009353C6" w:rsidP="009353C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53C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53C6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(od: 30.07.2010 do: 08.03.2013)</w:t>
                  </w:r>
                </w:p>
              </w:tc>
            </w:tr>
          </w:tbl>
          <w:p w:rsidR="009353C6" w:rsidRPr="009353C6" w:rsidRDefault="009353C6" w:rsidP="009353C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9353C6" w:rsidRPr="009353C6" w:rsidRDefault="009353C6" w:rsidP="009353C6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9353C6" w:rsidRPr="009353C6" w:rsidTr="009353C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353C6" w:rsidRPr="009353C6" w:rsidRDefault="009353C6" w:rsidP="009353C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353C6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9353C6" w:rsidRPr="009353C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353C6" w:rsidRPr="009353C6" w:rsidRDefault="009353C6" w:rsidP="009353C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53C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konateľ </w:t>
                  </w:r>
                </w:p>
              </w:tc>
              <w:tc>
                <w:tcPr>
                  <w:tcW w:w="1650" w:type="pct"/>
                  <w:hideMark/>
                </w:tcPr>
                <w:p w:rsidR="009353C6" w:rsidRPr="009353C6" w:rsidRDefault="009353C6" w:rsidP="009353C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53C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53C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30.07.2010)</w:t>
                  </w:r>
                </w:p>
              </w:tc>
            </w:tr>
          </w:tbl>
          <w:p w:rsidR="009353C6" w:rsidRPr="009353C6" w:rsidRDefault="009353C6" w:rsidP="009353C6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9353C6" w:rsidRPr="009353C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353C6" w:rsidRPr="009353C6" w:rsidRDefault="009353C6" w:rsidP="009353C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7" w:history="1">
                    <w:r w:rsidRPr="009353C6">
                      <w:rPr>
                        <w:rFonts w:ascii="Arial CE" w:eastAsia="Times New Roman" w:hAnsi="Arial CE" w:cs="Arial CE"/>
                        <w:b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Pavol </w:t>
                    </w:r>
                    <w:proofErr w:type="spellStart"/>
                    <w:r w:rsidRPr="009353C6">
                      <w:rPr>
                        <w:rFonts w:ascii="Arial CE" w:eastAsia="Times New Roman" w:hAnsi="Arial CE" w:cs="Arial CE"/>
                        <w:b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Longauer</w:t>
                    </w:r>
                    <w:proofErr w:type="spellEnd"/>
                    <w:r w:rsidRPr="009353C6">
                      <w:rPr>
                        <w:rFonts w:ascii="Arial CE" w:eastAsia="Times New Roman" w:hAnsi="Arial CE" w:cs="Arial CE"/>
                        <w:b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 </w:t>
                    </w:r>
                  </w:hyperlink>
                  <w:r w:rsidRPr="009353C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9353C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Valentína </w:t>
                  </w:r>
                  <w:proofErr w:type="spellStart"/>
                  <w:r w:rsidRPr="009353C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Beniaka</w:t>
                  </w:r>
                  <w:proofErr w:type="spellEnd"/>
                  <w:r w:rsidRPr="009353C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 60/205 </w:t>
                  </w:r>
                  <w:r w:rsidRPr="009353C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9353C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Chynorany 956 33 </w:t>
                  </w:r>
                  <w:r w:rsidRPr="009353C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9353C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Vznik funkcie: 30.07.2010 </w:t>
                  </w:r>
                </w:p>
              </w:tc>
              <w:tc>
                <w:tcPr>
                  <w:tcW w:w="1650" w:type="pct"/>
                  <w:hideMark/>
                </w:tcPr>
                <w:p w:rsidR="009353C6" w:rsidRPr="009353C6" w:rsidRDefault="009353C6" w:rsidP="009353C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353C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53C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30.07.2010)</w:t>
                  </w:r>
                </w:p>
              </w:tc>
            </w:tr>
          </w:tbl>
          <w:p w:rsidR="009353C6" w:rsidRPr="009353C6" w:rsidRDefault="009353C6" w:rsidP="009353C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9353C6" w:rsidRPr="009353C6" w:rsidRDefault="009353C6" w:rsidP="009353C6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9353C6" w:rsidRPr="009353C6" w:rsidTr="009353C6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9353C6" w:rsidRPr="009353C6" w:rsidRDefault="009353C6" w:rsidP="009353C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</w:tcPr>
          <w:p w:rsidR="009353C6" w:rsidRPr="009353C6" w:rsidRDefault="009353C6" w:rsidP="009353C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9353C6" w:rsidRPr="009353C6" w:rsidRDefault="009353C6" w:rsidP="009353C6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9353C6" w:rsidRPr="009353C6" w:rsidTr="009353C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353C6" w:rsidRPr="009353C6" w:rsidRDefault="009353C6" w:rsidP="009353C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353C6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152"/>
            </w:tblGrid>
            <w:tr w:rsidR="009353C6" w:rsidRPr="009353C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353C6" w:rsidRDefault="009353C6" w:rsidP="009353C6">
                  <w:pPr>
                    <w:spacing w:after="0" w:line="240" w:lineRule="auto"/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r w:rsidRPr="009353C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5 000 EUR Rozsah splatenia: 5 000 EUR </w:t>
                  </w:r>
                </w:p>
                <w:p w:rsidR="009353C6" w:rsidRPr="009353C6" w:rsidRDefault="009353C6" w:rsidP="009353C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9353C6" w:rsidRPr="009353C6" w:rsidRDefault="009353C6" w:rsidP="009353C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9353C6" w:rsidRDefault="009353C6">
      <w:r>
        <w:t>Spoločnosť v roku 2013 nevykazovala žiadnych zamestnancov.</w:t>
      </w:r>
    </w:p>
    <w:p w:rsidR="009353C6" w:rsidRPr="00380026" w:rsidRDefault="009353C6" w:rsidP="009353C6">
      <w:pPr>
        <w:pStyle w:val="Nadpis1"/>
        <w:numPr>
          <w:ilvl w:val="0"/>
          <w:numId w:val="3"/>
        </w:numPr>
        <w:rPr>
          <w:rFonts w:asciiTheme="minorHAnsi" w:hAnsiTheme="minorHAnsi"/>
          <w:b w:val="0"/>
        </w:rPr>
      </w:pPr>
      <w:r w:rsidRPr="00380026">
        <w:rPr>
          <w:rFonts w:asciiTheme="minorHAnsi" w:hAnsiTheme="minorHAnsi"/>
        </w:rPr>
        <w:t>Štruktúra spoločníkov a ich podiel</w:t>
      </w:r>
      <w:r>
        <w:rPr>
          <w:rFonts w:asciiTheme="minorHAnsi" w:hAnsiTheme="minorHAnsi"/>
        </w:rPr>
        <w:t xml:space="preserve"> na základnom imaní k 31.12.2013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64"/>
        <w:gridCol w:w="1276"/>
        <w:gridCol w:w="1247"/>
        <w:gridCol w:w="596"/>
        <w:gridCol w:w="1247"/>
        <w:gridCol w:w="872"/>
        <w:gridCol w:w="1254"/>
      </w:tblGrid>
      <w:tr w:rsidR="009353C6" w:rsidRPr="00380026" w:rsidTr="009353C6">
        <w:trPr>
          <w:gridAfter w:val="1"/>
          <w:wAfter w:w="1254" w:type="dxa"/>
          <w:cantSplit/>
        </w:trPr>
        <w:tc>
          <w:tcPr>
            <w:tcW w:w="2864" w:type="dxa"/>
            <w:vMerge w:val="restart"/>
            <w:tcBorders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:rsidR="009353C6" w:rsidRPr="00380026" w:rsidRDefault="009353C6" w:rsidP="000E33D5">
            <w:pPr>
              <w:pStyle w:val="Zarkazkladnhotextu"/>
              <w:tabs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i/>
                <w:sz w:val="20"/>
                <w:lang w:val="sk-SK"/>
              </w:rPr>
            </w:pPr>
            <w:r w:rsidRPr="00380026">
              <w:rPr>
                <w:rFonts w:asciiTheme="minorHAnsi" w:hAnsiTheme="minorHAnsi"/>
                <w:b/>
                <w:i/>
                <w:sz w:val="20"/>
                <w:lang w:val="sk-SK"/>
              </w:rPr>
              <w:t xml:space="preserve">Spoločníci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:rsidR="009353C6" w:rsidRPr="00380026" w:rsidRDefault="009353C6" w:rsidP="000E33D5">
            <w:pPr>
              <w:pStyle w:val="Zarkazkladnhotextu"/>
              <w:tabs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i/>
                <w:sz w:val="20"/>
                <w:lang w:val="sk-SK"/>
              </w:rPr>
            </w:pPr>
            <w:r w:rsidRPr="00380026">
              <w:rPr>
                <w:rFonts w:asciiTheme="minorHAnsi" w:hAnsiTheme="minorHAnsi"/>
                <w:b/>
                <w:i/>
                <w:sz w:val="20"/>
                <w:lang w:val="sk-SK"/>
              </w:rPr>
              <w:t>Podiel na základnom imaní</w:t>
            </w:r>
          </w:p>
        </w:tc>
        <w:tc>
          <w:tcPr>
            <w:tcW w:w="1843" w:type="dxa"/>
            <w:gridSpan w:val="2"/>
            <w:tcBorders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</w:tcPr>
          <w:p w:rsidR="009353C6" w:rsidRPr="00380026" w:rsidRDefault="009353C6" w:rsidP="000E33D5">
            <w:pPr>
              <w:pStyle w:val="Zarkazkladnhotextu"/>
              <w:tabs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i/>
                <w:sz w:val="20"/>
                <w:lang w:val="sk-SK"/>
              </w:rPr>
            </w:pPr>
            <w:r w:rsidRPr="00380026">
              <w:rPr>
                <w:rFonts w:asciiTheme="minorHAnsi" w:hAnsiTheme="minorHAnsi"/>
                <w:b/>
                <w:i/>
                <w:sz w:val="20"/>
                <w:lang w:val="sk-SK"/>
              </w:rPr>
              <w:t>Hlasovacie práva</w:t>
            </w:r>
          </w:p>
          <w:p w:rsidR="009353C6" w:rsidRPr="00380026" w:rsidRDefault="009353C6" w:rsidP="000E33D5">
            <w:pPr>
              <w:pStyle w:val="Zarkazkladnhotextu"/>
              <w:tabs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i/>
                <w:sz w:val="20"/>
                <w:lang w:val="sk-SK"/>
              </w:rPr>
            </w:pPr>
            <w:r w:rsidRPr="00380026">
              <w:rPr>
                <w:rFonts w:asciiTheme="minorHAnsi" w:hAnsiTheme="minorHAnsi"/>
                <w:b/>
                <w:i/>
                <w:sz w:val="20"/>
                <w:lang w:val="sk-SK"/>
              </w:rPr>
              <w:t>v %</w:t>
            </w:r>
          </w:p>
        </w:tc>
        <w:tc>
          <w:tcPr>
            <w:tcW w:w="2119" w:type="dxa"/>
            <w:gridSpan w:val="2"/>
            <w:tcBorders>
              <w:left w:val="single" w:sz="4" w:space="0" w:color="C0C0C0"/>
              <w:bottom w:val="single" w:sz="4" w:space="0" w:color="C0C0C0"/>
            </w:tcBorders>
            <w:shd w:val="clear" w:color="auto" w:fill="C0C0C0"/>
            <w:vAlign w:val="center"/>
          </w:tcPr>
          <w:p w:rsidR="009353C6" w:rsidRPr="00380026" w:rsidRDefault="009353C6" w:rsidP="000E33D5">
            <w:pPr>
              <w:pStyle w:val="Zarkazkladnhotextu"/>
              <w:tabs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i/>
                <w:sz w:val="20"/>
                <w:lang w:val="sk-SK"/>
              </w:rPr>
            </w:pPr>
            <w:r w:rsidRPr="00380026">
              <w:rPr>
                <w:rFonts w:asciiTheme="minorHAnsi" w:hAnsiTheme="minorHAnsi"/>
                <w:b/>
                <w:i/>
                <w:sz w:val="20"/>
                <w:lang w:val="sk-SK"/>
              </w:rPr>
              <w:t>Podiel na ostatných položkách vlastného imania v %</w:t>
            </w:r>
          </w:p>
        </w:tc>
      </w:tr>
      <w:tr w:rsidR="009353C6" w:rsidRPr="00380026" w:rsidTr="009353C6">
        <w:trPr>
          <w:cantSplit/>
        </w:trPr>
        <w:tc>
          <w:tcPr>
            <w:tcW w:w="2864" w:type="dxa"/>
            <w:vMerge/>
            <w:tcBorders>
              <w:top w:val="single" w:sz="4" w:space="0" w:color="C0C0C0"/>
              <w:bottom w:val="single" w:sz="4" w:space="0" w:color="auto"/>
              <w:right w:val="single" w:sz="4" w:space="0" w:color="C0C0C0"/>
            </w:tcBorders>
            <w:vAlign w:val="center"/>
          </w:tcPr>
          <w:p w:rsidR="009353C6" w:rsidRPr="00380026" w:rsidRDefault="009353C6" w:rsidP="000E33D5">
            <w:pPr>
              <w:pStyle w:val="Zarkazkladnhotextu"/>
              <w:tabs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b/>
                <w:i/>
                <w:sz w:val="22"/>
                <w:lang w:val="sk-SK"/>
              </w:rPr>
            </w:pPr>
          </w:p>
        </w:tc>
        <w:tc>
          <w:tcPr>
            <w:tcW w:w="1276" w:type="dxa"/>
            <w:tcBorders>
              <w:top w:val="single" w:sz="4" w:space="0" w:color="C0C0C0"/>
              <w:left w:val="single" w:sz="4" w:space="0" w:color="C0C0C0"/>
              <w:bottom w:val="single" w:sz="4" w:space="0" w:color="auto"/>
              <w:right w:val="single" w:sz="4" w:space="0" w:color="C0C0C0"/>
            </w:tcBorders>
            <w:shd w:val="clear" w:color="auto" w:fill="C0C0C0"/>
            <w:vAlign w:val="center"/>
          </w:tcPr>
          <w:p w:rsidR="009353C6" w:rsidRPr="00380026" w:rsidRDefault="009353C6" w:rsidP="000E33D5">
            <w:pPr>
              <w:pStyle w:val="Zarkazkladnhotextu"/>
              <w:tabs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i/>
                <w:sz w:val="20"/>
                <w:lang w:val="sk-SK"/>
              </w:rPr>
            </w:pPr>
            <w:r w:rsidRPr="00380026">
              <w:rPr>
                <w:rFonts w:asciiTheme="minorHAnsi" w:hAnsiTheme="minorHAnsi"/>
                <w:b/>
                <w:i/>
                <w:sz w:val="20"/>
                <w:lang w:val="sk-SK"/>
              </w:rPr>
              <w:t>v  €</w:t>
            </w:r>
          </w:p>
        </w:tc>
        <w:tc>
          <w:tcPr>
            <w:tcW w:w="1247" w:type="dxa"/>
            <w:tcBorders>
              <w:top w:val="single" w:sz="4" w:space="0" w:color="C0C0C0"/>
              <w:left w:val="single" w:sz="4" w:space="0" w:color="C0C0C0"/>
              <w:bottom w:val="single" w:sz="4" w:space="0" w:color="auto"/>
              <w:right w:val="single" w:sz="4" w:space="0" w:color="C0C0C0"/>
            </w:tcBorders>
            <w:shd w:val="clear" w:color="auto" w:fill="C0C0C0"/>
          </w:tcPr>
          <w:p w:rsidR="009353C6" w:rsidRPr="00380026" w:rsidRDefault="009353C6" w:rsidP="000E33D5">
            <w:pPr>
              <w:pStyle w:val="Zarkazkladnhotextu"/>
              <w:tabs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i/>
                <w:sz w:val="20"/>
                <w:lang w:val="sk-SK"/>
              </w:rPr>
            </w:pPr>
            <w:r w:rsidRPr="00380026">
              <w:rPr>
                <w:rFonts w:asciiTheme="minorHAnsi" w:hAnsiTheme="minorHAnsi"/>
                <w:b/>
                <w:i/>
                <w:sz w:val="20"/>
                <w:lang w:val="sk-SK"/>
              </w:rPr>
              <w:t>v %</w:t>
            </w:r>
          </w:p>
        </w:tc>
        <w:tc>
          <w:tcPr>
            <w:tcW w:w="1843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auto"/>
              <w:right w:val="single" w:sz="4" w:space="0" w:color="C0C0C0"/>
            </w:tcBorders>
            <w:shd w:val="clear" w:color="auto" w:fill="C0C0C0"/>
            <w:vAlign w:val="center"/>
          </w:tcPr>
          <w:p w:rsidR="009353C6" w:rsidRPr="00380026" w:rsidRDefault="009353C6" w:rsidP="000E33D5">
            <w:pPr>
              <w:pStyle w:val="Zarkazkladnhotextu"/>
              <w:tabs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i/>
                <w:sz w:val="22"/>
                <w:lang w:val="sk-SK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auto"/>
            </w:tcBorders>
            <w:shd w:val="clear" w:color="auto" w:fill="C0C0C0"/>
            <w:vAlign w:val="center"/>
          </w:tcPr>
          <w:p w:rsidR="009353C6" w:rsidRPr="00380026" w:rsidRDefault="009353C6" w:rsidP="000E33D5">
            <w:pPr>
              <w:pStyle w:val="Zarkazkladnhotextu"/>
              <w:tabs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i/>
                <w:sz w:val="22"/>
                <w:lang w:val="sk-SK"/>
              </w:rPr>
            </w:pPr>
          </w:p>
        </w:tc>
      </w:tr>
      <w:tr w:rsidR="009353C6" w:rsidRPr="00380026" w:rsidTr="009353C6">
        <w:tc>
          <w:tcPr>
            <w:tcW w:w="2864" w:type="dxa"/>
            <w:tcBorders>
              <w:bottom w:val="nil"/>
              <w:right w:val="nil"/>
            </w:tcBorders>
          </w:tcPr>
          <w:p w:rsidR="009353C6" w:rsidRPr="00380026" w:rsidRDefault="009353C6" w:rsidP="000E33D5">
            <w:pPr>
              <w:pStyle w:val="Zarkazkladnhotextu"/>
              <w:tabs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sz w:val="22"/>
                <w:lang w:val="sk-SK"/>
              </w:rPr>
            </w:pPr>
            <w:r>
              <w:rPr>
                <w:rFonts w:asciiTheme="minorHAnsi" w:hAnsiTheme="minorHAnsi"/>
                <w:sz w:val="22"/>
                <w:lang w:val="sk-SK"/>
              </w:rPr>
              <w:t xml:space="preserve">Pavol </w:t>
            </w:r>
            <w:proofErr w:type="spellStart"/>
            <w:r>
              <w:rPr>
                <w:rFonts w:asciiTheme="minorHAnsi" w:hAnsiTheme="minorHAnsi"/>
                <w:sz w:val="22"/>
                <w:lang w:val="sk-SK"/>
              </w:rPr>
              <w:t>Longauer</w:t>
            </w:r>
            <w:proofErr w:type="spellEnd"/>
          </w:p>
        </w:tc>
        <w:tc>
          <w:tcPr>
            <w:tcW w:w="1276" w:type="dxa"/>
            <w:tcBorders>
              <w:left w:val="nil"/>
              <w:bottom w:val="nil"/>
              <w:right w:val="nil"/>
            </w:tcBorders>
          </w:tcPr>
          <w:p w:rsidR="009353C6" w:rsidRPr="00380026" w:rsidRDefault="009353C6" w:rsidP="000E33D5">
            <w:pPr>
              <w:pStyle w:val="Zarkazkladnhotextu"/>
              <w:tabs>
                <w:tab w:val="left" w:pos="6521"/>
              </w:tabs>
              <w:spacing w:before="0"/>
              <w:ind w:left="0" w:right="441"/>
              <w:jc w:val="right"/>
              <w:rPr>
                <w:rFonts w:asciiTheme="minorHAnsi" w:hAnsiTheme="minorHAnsi"/>
                <w:sz w:val="22"/>
                <w:lang w:val="sk-SK"/>
              </w:rPr>
            </w:pPr>
            <w:r>
              <w:rPr>
                <w:rFonts w:asciiTheme="minorHAnsi" w:hAnsiTheme="minorHAnsi"/>
                <w:sz w:val="22"/>
                <w:lang w:val="sk-SK"/>
              </w:rPr>
              <w:t>5000</w:t>
            </w:r>
          </w:p>
        </w:tc>
        <w:tc>
          <w:tcPr>
            <w:tcW w:w="1247" w:type="dxa"/>
            <w:tcBorders>
              <w:left w:val="nil"/>
              <w:bottom w:val="nil"/>
              <w:right w:val="nil"/>
            </w:tcBorders>
          </w:tcPr>
          <w:p w:rsidR="009353C6" w:rsidRPr="00380026" w:rsidRDefault="009353C6" w:rsidP="000E33D5">
            <w:pPr>
              <w:pStyle w:val="Zarkazkladnhotextu"/>
              <w:tabs>
                <w:tab w:val="left" w:pos="6521"/>
              </w:tabs>
              <w:spacing w:before="0"/>
              <w:ind w:left="0" w:right="851"/>
              <w:jc w:val="right"/>
              <w:rPr>
                <w:rFonts w:asciiTheme="minorHAnsi" w:hAnsiTheme="minorHAnsi"/>
                <w:sz w:val="22"/>
                <w:lang w:val="sk-SK"/>
              </w:rPr>
            </w:pPr>
            <w:r w:rsidRPr="00380026">
              <w:rPr>
                <w:rFonts w:asciiTheme="minorHAnsi" w:hAnsiTheme="minorHAnsi"/>
                <w:sz w:val="22"/>
                <w:lang w:val="sk-SK"/>
              </w:rPr>
              <w:t>1</w:t>
            </w:r>
          </w:p>
        </w:tc>
        <w:tc>
          <w:tcPr>
            <w:tcW w:w="1843" w:type="dxa"/>
            <w:gridSpan w:val="2"/>
            <w:tcBorders>
              <w:left w:val="nil"/>
              <w:bottom w:val="nil"/>
              <w:right w:val="nil"/>
            </w:tcBorders>
          </w:tcPr>
          <w:p w:rsidR="009353C6" w:rsidRPr="00380026" w:rsidRDefault="009353C6" w:rsidP="000E33D5">
            <w:pPr>
              <w:pStyle w:val="Zarkazkladnhotextu"/>
              <w:tabs>
                <w:tab w:val="left" w:pos="6521"/>
              </w:tabs>
              <w:spacing w:before="0"/>
              <w:ind w:left="0" w:right="851"/>
              <w:jc w:val="right"/>
              <w:rPr>
                <w:rFonts w:asciiTheme="minorHAnsi" w:hAnsiTheme="minorHAnsi"/>
                <w:sz w:val="22"/>
                <w:lang w:val="sk-SK"/>
              </w:rPr>
            </w:pPr>
            <w:r w:rsidRPr="00380026">
              <w:rPr>
                <w:rFonts w:asciiTheme="minorHAnsi" w:hAnsiTheme="minorHAnsi"/>
                <w:sz w:val="22"/>
                <w:lang w:val="sk-SK"/>
              </w:rPr>
              <w:t>100</w:t>
            </w:r>
          </w:p>
        </w:tc>
        <w:tc>
          <w:tcPr>
            <w:tcW w:w="2126" w:type="dxa"/>
            <w:gridSpan w:val="2"/>
            <w:tcBorders>
              <w:left w:val="nil"/>
              <w:bottom w:val="nil"/>
            </w:tcBorders>
          </w:tcPr>
          <w:p w:rsidR="009353C6" w:rsidRPr="00380026" w:rsidRDefault="009353C6" w:rsidP="000E33D5">
            <w:pPr>
              <w:pStyle w:val="Zarkazkladnhotextu"/>
              <w:tabs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sz w:val="22"/>
                <w:lang w:val="sk-SK"/>
              </w:rPr>
            </w:pPr>
            <w:r w:rsidRPr="00380026">
              <w:rPr>
                <w:rFonts w:asciiTheme="minorHAnsi" w:hAnsiTheme="minorHAnsi"/>
                <w:sz w:val="22"/>
                <w:lang w:val="sk-SK"/>
              </w:rPr>
              <w:t>100</w:t>
            </w:r>
          </w:p>
        </w:tc>
      </w:tr>
    </w:tbl>
    <w:p w:rsidR="009353C6" w:rsidRPr="00380026" w:rsidRDefault="009353C6" w:rsidP="009353C6">
      <w:pPr>
        <w:pStyle w:val="Kapitola"/>
        <w:rPr>
          <w:rFonts w:asciiTheme="minorHAnsi" w:hAnsiTheme="minorHAnsi"/>
        </w:rPr>
      </w:pPr>
    </w:p>
    <w:p w:rsidR="009353C6" w:rsidRPr="00380026" w:rsidRDefault="009353C6" w:rsidP="009353C6">
      <w:pPr>
        <w:pStyle w:val="Kapitola"/>
        <w:rPr>
          <w:rFonts w:asciiTheme="minorHAnsi" w:hAnsiTheme="minorHAnsi"/>
        </w:rPr>
      </w:pPr>
      <w:r w:rsidRPr="00380026">
        <w:rPr>
          <w:rFonts w:asciiTheme="minorHAnsi" w:hAnsiTheme="minorHAnsi"/>
        </w:rPr>
        <w:t>časť c: informÁCIE O KONSOLIDOVANOM CELKU</w:t>
      </w:r>
    </w:p>
    <w:p w:rsidR="009353C6" w:rsidRPr="00380026" w:rsidRDefault="009353C6" w:rsidP="009353C6">
      <w:pPr>
        <w:pStyle w:val="Zarkazkladnhotextu"/>
        <w:tabs>
          <w:tab w:val="left" w:pos="6521"/>
        </w:tabs>
        <w:spacing w:before="0"/>
        <w:ind w:left="0"/>
        <w:jc w:val="both"/>
        <w:rPr>
          <w:rFonts w:asciiTheme="minorHAnsi" w:hAnsiTheme="minorHAnsi"/>
          <w:sz w:val="22"/>
          <w:lang w:val="sk-SK"/>
        </w:rPr>
      </w:pPr>
    </w:p>
    <w:p w:rsidR="009353C6" w:rsidRPr="00380026" w:rsidRDefault="009353C6" w:rsidP="009353C6">
      <w:pPr>
        <w:pStyle w:val="Nadpis1"/>
        <w:numPr>
          <w:ilvl w:val="0"/>
          <w:numId w:val="5"/>
        </w:numPr>
        <w:rPr>
          <w:rFonts w:asciiTheme="minorHAnsi" w:hAnsiTheme="minorHAnsi"/>
        </w:rPr>
      </w:pPr>
      <w:r w:rsidRPr="00380026">
        <w:rPr>
          <w:rFonts w:asciiTheme="minorHAnsi" w:hAnsiTheme="minorHAnsi"/>
        </w:rPr>
        <w:t>Spoločnosť nie je súčasťou  konsolidovaného celku.</w:t>
      </w:r>
    </w:p>
    <w:p w:rsidR="009353C6" w:rsidRPr="00380026" w:rsidRDefault="009353C6" w:rsidP="009353C6">
      <w:pPr>
        <w:pStyle w:val="Zarkazkladnhotextu"/>
        <w:tabs>
          <w:tab w:val="left" w:pos="6521"/>
        </w:tabs>
        <w:spacing w:before="0"/>
        <w:ind w:left="0"/>
        <w:jc w:val="both"/>
        <w:rPr>
          <w:rFonts w:asciiTheme="minorHAnsi" w:hAnsiTheme="minorHAnsi"/>
          <w:b/>
          <w:sz w:val="22"/>
          <w:lang w:val="sk-SK"/>
        </w:rPr>
      </w:pPr>
    </w:p>
    <w:p w:rsidR="009353C6" w:rsidRPr="00380026" w:rsidRDefault="009353C6" w:rsidP="009353C6">
      <w:pPr>
        <w:pStyle w:val="Kapitola"/>
        <w:rPr>
          <w:rFonts w:asciiTheme="minorHAnsi" w:hAnsiTheme="minorHAnsi"/>
        </w:rPr>
      </w:pPr>
      <w:r w:rsidRPr="00380026">
        <w:rPr>
          <w:rFonts w:asciiTheme="minorHAnsi" w:hAnsiTheme="minorHAnsi"/>
        </w:rPr>
        <w:t>Časť D, E. INFORMÁCIE O ÚČTOVNÝCH METÓDACH A VŠEOBECNÝCH ÚČTOVNÝCH ZÁSADÁCH</w:t>
      </w:r>
    </w:p>
    <w:p w:rsidR="009353C6" w:rsidRPr="00380026" w:rsidRDefault="009353C6" w:rsidP="009353C6">
      <w:pPr>
        <w:jc w:val="both"/>
        <w:rPr>
          <w:snapToGrid w:val="0"/>
          <w:lang w:eastAsia="sk-SK"/>
        </w:rPr>
      </w:pPr>
    </w:p>
    <w:p w:rsidR="009353C6" w:rsidRPr="00380026" w:rsidRDefault="009353C6" w:rsidP="009353C6">
      <w:pPr>
        <w:numPr>
          <w:ilvl w:val="0"/>
          <w:numId w:val="1"/>
        </w:numPr>
        <w:spacing w:after="0" w:line="240" w:lineRule="auto"/>
        <w:jc w:val="both"/>
      </w:pPr>
      <w:r w:rsidRPr="00380026">
        <w:rPr>
          <w:snapToGrid w:val="0"/>
          <w:lang w:eastAsia="sk-SK"/>
        </w:rPr>
        <w:t xml:space="preserve">Spoločnosť uplatňuje účtovné princípy a postupy účtovania v súlade so zákonom o účtovníctve a s postupmi účtovania pre podnikateľov, ktoré platia v Slovenskej republike. Účtovníctvo sa vedie v peňažných jednotkách €. </w:t>
      </w:r>
      <w:r w:rsidRPr="00380026">
        <w:t xml:space="preserve">Účtovná závierka za rok 2013 bola spracovaná za predpokladu nepretržitého pokračovania činnosti. </w:t>
      </w:r>
    </w:p>
    <w:p w:rsidR="009353C6" w:rsidRPr="00380026" w:rsidRDefault="009353C6" w:rsidP="009353C6">
      <w:pPr>
        <w:ind w:left="360"/>
        <w:jc w:val="both"/>
      </w:pPr>
    </w:p>
    <w:p w:rsidR="009353C6" w:rsidRPr="00380026" w:rsidRDefault="009353C6" w:rsidP="009353C6">
      <w:pPr>
        <w:numPr>
          <w:ilvl w:val="0"/>
          <w:numId w:val="1"/>
        </w:numPr>
        <w:spacing w:after="0" w:line="240" w:lineRule="auto"/>
        <w:jc w:val="both"/>
      </w:pPr>
      <w:r w:rsidRPr="00380026"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:rsidR="009353C6" w:rsidRPr="00380026" w:rsidRDefault="009353C6" w:rsidP="009353C6">
      <w:pPr>
        <w:tabs>
          <w:tab w:val="num" w:pos="425"/>
        </w:tabs>
        <w:ind w:left="567" w:hanging="567"/>
        <w:jc w:val="both"/>
      </w:pPr>
    </w:p>
    <w:p w:rsidR="009353C6" w:rsidRPr="00380026" w:rsidRDefault="009353C6" w:rsidP="009353C6">
      <w:pPr>
        <w:numPr>
          <w:ilvl w:val="0"/>
          <w:numId w:val="1"/>
        </w:numPr>
        <w:spacing w:after="0" w:line="240" w:lineRule="auto"/>
        <w:jc w:val="both"/>
      </w:pPr>
      <w:r w:rsidRPr="00380026">
        <w:t>Pri oceňovaní majetku a záväzkov sa uplatňuje zásada opatrnosti, t. j. berú sa za základ všetky riziká, straty a zníženia hodnoty, ktoré sa týkajú majetku a záväzkov a sú známe ku dňu, ku ktorému sa zostavuje účtovná závierka.</w:t>
      </w:r>
    </w:p>
    <w:p w:rsidR="009353C6" w:rsidRPr="00380026" w:rsidRDefault="009353C6" w:rsidP="009353C6">
      <w:pPr>
        <w:tabs>
          <w:tab w:val="num" w:pos="425"/>
        </w:tabs>
        <w:ind w:left="567" w:hanging="567"/>
        <w:jc w:val="both"/>
      </w:pPr>
    </w:p>
    <w:p w:rsidR="009353C6" w:rsidRPr="00380026" w:rsidRDefault="009353C6" w:rsidP="009353C6">
      <w:pPr>
        <w:numPr>
          <w:ilvl w:val="0"/>
          <w:numId w:val="1"/>
        </w:numPr>
        <w:spacing w:after="0" w:line="240" w:lineRule="auto"/>
        <w:jc w:val="both"/>
      </w:pPr>
      <w:r w:rsidRPr="00380026">
        <w:t>Moment zaúčtovania výnosov. Výnosy sa účtujú pri splnení dodacích podmienok, nakoľko v tomto okamihu prechádzajú na odberateľa významné riziká a vlastnícke práva.</w:t>
      </w:r>
    </w:p>
    <w:p w:rsidR="009353C6" w:rsidRPr="00380026" w:rsidRDefault="009353C6" w:rsidP="009353C6">
      <w:pPr>
        <w:tabs>
          <w:tab w:val="num" w:pos="425"/>
        </w:tabs>
        <w:ind w:left="567" w:hanging="567"/>
        <w:jc w:val="both"/>
      </w:pPr>
    </w:p>
    <w:p w:rsidR="009353C6" w:rsidRPr="00380026" w:rsidRDefault="009353C6" w:rsidP="009353C6">
      <w:pPr>
        <w:numPr>
          <w:ilvl w:val="0"/>
          <w:numId w:val="1"/>
        </w:numPr>
        <w:spacing w:after="0" w:line="240" w:lineRule="auto"/>
        <w:jc w:val="both"/>
      </w:pPr>
      <w:r w:rsidRPr="00380026">
        <w:t>Dlhodobé a krátkodobé pohľadávky, záväzky, úvery a pôžičky.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:rsidR="009353C6" w:rsidRPr="00380026" w:rsidRDefault="009353C6" w:rsidP="009353C6">
      <w:pPr>
        <w:tabs>
          <w:tab w:val="num" w:pos="425"/>
        </w:tabs>
        <w:ind w:left="567" w:hanging="567"/>
        <w:jc w:val="both"/>
      </w:pPr>
    </w:p>
    <w:p w:rsidR="009353C6" w:rsidRPr="00380026" w:rsidRDefault="009353C6" w:rsidP="009353C6">
      <w:pPr>
        <w:numPr>
          <w:ilvl w:val="0"/>
          <w:numId w:val="1"/>
        </w:numPr>
        <w:spacing w:after="0" w:line="240" w:lineRule="auto"/>
        <w:jc w:val="both"/>
      </w:pPr>
      <w:r w:rsidRPr="00380026">
        <w:t>Použitie odhadov. Zostavenie účtovnej závierky si vyžaduje, aby vedenie podniku vypracovalo odhady a predpoklady, ktoré majú vplyv na vykazované sumy aktív a pasív, uvedenie možných budúcich aktív a pasív k dátumu účtovnej závierky, ako aj na vykazovanú výšku výnosov a nákladov počas roka. Skutočné výsledky sa môžu od takýchto odhadov líšiť.</w:t>
      </w:r>
    </w:p>
    <w:p w:rsidR="009353C6" w:rsidRPr="00380026" w:rsidRDefault="009353C6" w:rsidP="009353C6">
      <w:pPr>
        <w:jc w:val="both"/>
      </w:pPr>
    </w:p>
    <w:p w:rsidR="009353C6" w:rsidRPr="00380026" w:rsidRDefault="009353C6" w:rsidP="009353C6">
      <w:pPr>
        <w:numPr>
          <w:ilvl w:val="0"/>
          <w:numId w:val="1"/>
        </w:numPr>
        <w:spacing w:after="0" w:line="240" w:lineRule="auto"/>
        <w:jc w:val="both"/>
      </w:pPr>
      <w:r w:rsidRPr="00380026">
        <w:t>Spôsob ocenenia jednotlivých zložiek majetku a záväzkov – prvé ocenenie</w:t>
      </w:r>
    </w:p>
    <w:p w:rsidR="009353C6" w:rsidRPr="00380026" w:rsidRDefault="009353C6" w:rsidP="009353C6">
      <w:pPr>
        <w:pStyle w:val="Zarkazkladnhotextu3"/>
        <w:tabs>
          <w:tab w:val="num" w:pos="530"/>
        </w:tabs>
        <w:ind w:left="0" w:firstLine="0"/>
        <w:rPr>
          <w:rFonts w:asciiTheme="minorHAnsi" w:hAnsiTheme="minorHAnsi"/>
          <w:sz w:val="22"/>
          <w:lang w:val="sk-SK"/>
        </w:rPr>
      </w:pPr>
    </w:p>
    <w:p w:rsidR="009353C6" w:rsidRPr="00380026" w:rsidRDefault="009353C6" w:rsidP="009353C6">
      <w:pPr>
        <w:numPr>
          <w:ilvl w:val="0"/>
          <w:numId w:val="2"/>
        </w:numPr>
        <w:spacing w:after="0" w:line="240" w:lineRule="auto"/>
        <w:jc w:val="both"/>
      </w:pPr>
      <w:r w:rsidRPr="00380026">
        <w:t xml:space="preserve">krátkodobý finančný majetok – obstarávacou cenou; obstarávacia cena je cena, za ktorú sa majetok obstaral, </w:t>
      </w:r>
    </w:p>
    <w:p w:rsidR="009353C6" w:rsidRPr="00380026" w:rsidRDefault="009353C6" w:rsidP="009353C6">
      <w:pPr>
        <w:ind w:left="142"/>
        <w:jc w:val="both"/>
      </w:pPr>
    </w:p>
    <w:p w:rsidR="009353C6" w:rsidRPr="00380026" w:rsidRDefault="009353C6" w:rsidP="009353C6">
      <w:pPr>
        <w:numPr>
          <w:ilvl w:val="0"/>
          <w:numId w:val="2"/>
        </w:numPr>
        <w:spacing w:after="0" w:line="240" w:lineRule="auto"/>
        <w:jc w:val="both"/>
      </w:pPr>
      <w:r w:rsidRPr="00380026">
        <w:t>časové rozlíšenie na strane aktív súvahy – očakávanou menovitou hodnotou,</w:t>
      </w:r>
    </w:p>
    <w:p w:rsidR="009353C6" w:rsidRPr="00380026" w:rsidRDefault="009353C6" w:rsidP="009353C6">
      <w:pPr>
        <w:pStyle w:val="Zarkazkladnhotextu3"/>
        <w:ind w:left="0" w:firstLine="0"/>
        <w:rPr>
          <w:rFonts w:asciiTheme="minorHAnsi" w:hAnsiTheme="minorHAnsi"/>
          <w:sz w:val="22"/>
          <w:lang w:val="sk-SK"/>
        </w:rPr>
      </w:pPr>
    </w:p>
    <w:p w:rsidR="009353C6" w:rsidRPr="00380026" w:rsidRDefault="009353C6" w:rsidP="009353C6">
      <w:pPr>
        <w:numPr>
          <w:ilvl w:val="0"/>
          <w:numId w:val="2"/>
        </w:numPr>
        <w:spacing w:after="0" w:line="240" w:lineRule="auto"/>
        <w:jc w:val="both"/>
        <w:rPr>
          <w:snapToGrid w:val="0"/>
          <w:lang w:eastAsia="sk-SK"/>
        </w:rPr>
      </w:pPr>
      <w:r w:rsidRPr="00380026">
        <w:t>záväzky:  P</w:t>
      </w:r>
      <w:r w:rsidRPr="00380026">
        <w:rPr>
          <w:snapToGrid w:val="0"/>
          <w:lang w:eastAsia="sk-SK"/>
        </w:rPr>
        <w:t>ri ich vzniku – menovitou hodnotou, pri prevzatí – obstarávacou cenou,</w:t>
      </w:r>
    </w:p>
    <w:p w:rsidR="009353C6" w:rsidRPr="00380026" w:rsidRDefault="009353C6" w:rsidP="009353C6">
      <w:pPr>
        <w:pStyle w:val="Pta"/>
        <w:tabs>
          <w:tab w:val="clear" w:pos="4536"/>
          <w:tab w:val="clear" w:pos="9072"/>
          <w:tab w:val="num" w:pos="709"/>
        </w:tabs>
        <w:jc w:val="both"/>
        <w:rPr>
          <w:rFonts w:asciiTheme="minorHAnsi" w:hAnsiTheme="minorHAnsi"/>
          <w:snapToGrid w:val="0"/>
          <w:sz w:val="22"/>
          <w:lang w:eastAsia="sk-SK"/>
        </w:rPr>
      </w:pPr>
    </w:p>
    <w:p w:rsidR="009353C6" w:rsidRPr="00380026" w:rsidRDefault="009353C6" w:rsidP="009353C6">
      <w:pPr>
        <w:numPr>
          <w:ilvl w:val="0"/>
          <w:numId w:val="2"/>
        </w:numPr>
        <w:spacing w:after="0" w:line="240" w:lineRule="auto"/>
        <w:jc w:val="both"/>
      </w:pPr>
      <w:r w:rsidRPr="00380026">
        <w:t>rezervy – v očakávanej výške záväzku,</w:t>
      </w:r>
    </w:p>
    <w:p w:rsidR="009353C6" w:rsidRPr="00380026" w:rsidRDefault="009353C6" w:rsidP="009353C6">
      <w:pPr>
        <w:pStyle w:val="Zarkazkladnhotextu3"/>
        <w:ind w:left="284" w:firstLine="0"/>
        <w:rPr>
          <w:rFonts w:asciiTheme="minorHAnsi" w:hAnsiTheme="minorHAnsi"/>
          <w:sz w:val="22"/>
          <w:lang w:val="sk-SK"/>
        </w:rPr>
      </w:pPr>
    </w:p>
    <w:p w:rsidR="009353C6" w:rsidRPr="00380026" w:rsidRDefault="009353C6" w:rsidP="009353C6">
      <w:pPr>
        <w:numPr>
          <w:ilvl w:val="0"/>
          <w:numId w:val="2"/>
        </w:numPr>
        <w:spacing w:after="0" w:line="240" w:lineRule="auto"/>
        <w:jc w:val="both"/>
        <w:rPr>
          <w:snapToGrid w:val="0"/>
          <w:lang w:eastAsia="sk-SK"/>
        </w:rPr>
      </w:pPr>
      <w:r w:rsidRPr="00380026">
        <w:t xml:space="preserve">dlhopisy, pôžičky, úvery: </w:t>
      </w:r>
      <w:r w:rsidRPr="00380026">
        <w:rPr>
          <w:snapToGrid w:val="0"/>
          <w:lang w:eastAsia="sk-SK"/>
        </w:rPr>
        <w:t>pri ich vzniku – menovitou hodnotou, pri prevzatí – obstarávacou cenou,</w:t>
      </w:r>
    </w:p>
    <w:p w:rsidR="009353C6" w:rsidRPr="00380026" w:rsidRDefault="009353C6" w:rsidP="009353C6">
      <w:pPr>
        <w:pStyle w:val="Zarkazkladnhotextu3"/>
        <w:ind w:firstLine="0"/>
        <w:rPr>
          <w:rFonts w:asciiTheme="minorHAnsi" w:hAnsiTheme="minorHAnsi"/>
          <w:sz w:val="22"/>
          <w:lang w:val="sk-SK"/>
        </w:rPr>
      </w:pPr>
      <w:r w:rsidRPr="00380026">
        <w:rPr>
          <w:rFonts w:asciiTheme="minorHAnsi" w:hAnsiTheme="minorHAnsi"/>
          <w:sz w:val="22"/>
          <w:lang w:val="sk-SK"/>
        </w:rPr>
        <w:lastRenderedPageBreak/>
        <w:t>Úroky z dlhopisov, pôžičiek a úverov sa účtujú do obdobia, s ktorým časovo a vecne súvisia.</w:t>
      </w:r>
    </w:p>
    <w:p w:rsidR="009353C6" w:rsidRPr="00380026" w:rsidRDefault="009353C6" w:rsidP="009353C6">
      <w:pPr>
        <w:jc w:val="both"/>
      </w:pPr>
    </w:p>
    <w:p w:rsidR="009353C6" w:rsidRPr="00380026" w:rsidRDefault="009353C6" w:rsidP="009353C6">
      <w:pPr>
        <w:numPr>
          <w:ilvl w:val="0"/>
          <w:numId w:val="2"/>
        </w:numPr>
        <w:spacing w:after="0" w:line="240" w:lineRule="auto"/>
        <w:jc w:val="both"/>
      </w:pPr>
      <w:r w:rsidRPr="00380026">
        <w:t>časové rozlíšenie na strane pasív súvahy – očakávanou menovitou hodnotou,</w:t>
      </w:r>
    </w:p>
    <w:p w:rsidR="009353C6" w:rsidRPr="00380026" w:rsidRDefault="009353C6" w:rsidP="009353C6">
      <w:pPr>
        <w:pStyle w:val="Zarkazkladnhotextu3"/>
        <w:ind w:left="0" w:firstLine="0"/>
        <w:rPr>
          <w:rFonts w:asciiTheme="minorHAnsi" w:hAnsiTheme="minorHAnsi"/>
          <w:sz w:val="22"/>
          <w:lang w:val="sk-SK"/>
        </w:rPr>
      </w:pPr>
    </w:p>
    <w:p w:rsidR="009353C6" w:rsidRPr="00380026" w:rsidRDefault="009353C6" w:rsidP="009353C6">
      <w:pPr>
        <w:numPr>
          <w:ilvl w:val="0"/>
          <w:numId w:val="2"/>
        </w:numPr>
        <w:spacing w:after="0" w:line="240" w:lineRule="auto"/>
        <w:jc w:val="both"/>
      </w:pPr>
      <w:r w:rsidRPr="00380026">
        <w:t>daň z príjmov splatná – podľa slovenského zákona o daniach z príjmov sa splatné dane z príjmov určujú z účtovného zisku pri sadzbe 23 %, po úpravách o niektoré položky na daňové účely,</w:t>
      </w:r>
    </w:p>
    <w:p w:rsidR="009353C6" w:rsidRPr="00380026" w:rsidRDefault="009353C6" w:rsidP="009353C6">
      <w:pPr>
        <w:ind w:left="426" w:hanging="426"/>
        <w:jc w:val="both"/>
      </w:pPr>
    </w:p>
    <w:p w:rsidR="009353C6" w:rsidRPr="00380026" w:rsidRDefault="009353C6" w:rsidP="009353C6">
      <w:pPr>
        <w:numPr>
          <w:ilvl w:val="0"/>
          <w:numId w:val="2"/>
        </w:numPr>
        <w:spacing w:after="0" w:line="240" w:lineRule="auto"/>
        <w:jc w:val="both"/>
      </w:pPr>
      <w:r w:rsidRPr="00380026">
        <w:t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období; pri určení výšky odloženej dane z príjmov sa použila sadzba dane z príjmov platná v nasledujúcom účtovnom období, t. j. 23 %,</w:t>
      </w:r>
    </w:p>
    <w:p w:rsidR="009353C6" w:rsidRPr="00380026" w:rsidRDefault="009353C6" w:rsidP="009353C6">
      <w:pPr>
        <w:jc w:val="both"/>
      </w:pPr>
    </w:p>
    <w:p w:rsidR="009353C6" w:rsidRPr="00380026" w:rsidRDefault="009353C6" w:rsidP="009353C6">
      <w:pPr>
        <w:ind w:left="1560"/>
        <w:jc w:val="both"/>
        <w:rPr>
          <w:highlight w:val="lightGray"/>
        </w:rPr>
      </w:pPr>
      <w:bookmarkStart w:id="0" w:name="_GoBack"/>
      <w:bookmarkEnd w:id="0"/>
    </w:p>
    <w:p w:rsidR="009353C6" w:rsidRPr="00380026" w:rsidRDefault="009353C6" w:rsidP="009353C6">
      <w:r>
        <w:t xml:space="preserve">Pavol </w:t>
      </w:r>
      <w:proofErr w:type="spellStart"/>
      <w:r>
        <w:t>Longauer</w:t>
      </w:r>
      <w:proofErr w:type="spellEnd"/>
      <w:r>
        <w:t xml:space="preserve"> , konateľ</w:t>
      </w:r>
    </w:p>
    <w:p w:rsidR="009353C6" w:rsidRDefault="009353C6"/>
    <w:p w:rsidR="009353C6" w:rsidRDefault="009353C6"/>
    <w:p w:rsidR="009353C6" w:rsidRDefault="009353C6"/>
    <w:sectPr w:rsidR="009353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A64A26"/>
    <w:multiLevelType w:val="multilevel"/>
    <w:tmpl w:val="EE3AD42E"/>
    <w:lvl w:ilvl="0">
      <w:start w:val="1"/>
      <w:numFmt w:val="decimal"/>
      <w:pStyle w:val="Nadpis1"/>
      <w:lvlText w:val="%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76"/>
        </w:tabs>
        <w:ind w:left="576" w:hanging="576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decimal"/>
      <w:lvlRestart w:val="1"/>
      <w:lvlText w:val="%1.%2.%3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 w:val="0"/>
        <w:i w:val="0"/>
        <w:sz w:val="22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">
    <w:nsid w:val="0D7862A4"/>
    <w:multiLevelType w:val="multilevel"/>
    <w:tmpl w:val="248EC274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Restart w:val="0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decimal"/>
      <w:lvlRestart w:val="1"/>
      <w:lvlText w:val="%1.%2.%3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 w:val="0"/>
        <w:i w:val="0"/>
        <w:sz w:val="22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">
    <w:nsid w:val="21933F5E"/>
    <w:multiLevelType w:val="multilevel"/>
    <w:tmpl w:val="98B865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Book Antiqua" w:hAnsi="Book Antiqua" w:hint="default"/>
        <w:sz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>
    <w:nsid w:val="21CE0368"/>
    <w:multiLevelType w:val="hybridMultilevel"/>
    <w:tmpl w:val="BE788404"/>
    <w:lvl w:ilvl="0" w:tplc="FFFFFFFF">
      <w:start w:val="1"/>
      <w:numFmt w:val="lowerLetter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53C6"/>
    <w:rsid w:val="007834B2"/>
    <w:rsid w:val="009353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5BB30C3-19BF-4645-A4ED-650BF27BB3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9353C6"/>
    <w:pPr>
      <w:keepNext/>
      <w:numPr>
        <w:numId w:val="4"/>
      </w:numPr>
      <w:tabs>
        <w:tab w:val="left" w:pos="567"/>
      </w:tabs>
      <w:spacing w:after="0" w:line="240" w:lineRule="auto"/>
      <w:jc w:val="both"/>
      <w:outlineLvl w:val="0"/>
    </w:pPr>
    <w:rPr>
      <w:rFonts w:ascii="Times New Roman" w:eastAsia="Times New Roman" w:hAnsi="Times New Roman" w:cs="Times New Roman"/>
      <w:b/>
      <w:snapToGrid w:val="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l">
    <w:name w:val="tl"/>
    <w:basedOn w:val="Predvolenpsmoodseku"/>
    <w:rsid w:val="009353C6"/>
  </w:style>
  <w:style w:type="character" w:customStyle="1" w:styleId="apple-converted-space">
    <w:name w:val="apple-converted-space"/>
    <w:basedOn w:val="Predvolenpsmoodseku"/>
    <w:rsid w:val="009353C6"/>
  </w:style>
  <w:style w:type="character" w:customStyle="1" w:styleId="ra">
    <w:name w:val="ra"/>
    <w:basedOn w:val="Predvolenpsmoodseku"/>
    <w:rsid w:val="009353C6"/>
  </w:style>
  <w:style w:type="character" w:customStyle="1" w:styleId="ro">
    <w:name w:val="ro"/>
    <w:basedOn w:val="Predvolenpsmoodseku"/>
    <w:rsid w:val="009353C6"/>
  </w:style>
  <w:style w:type="character" w:customStyle="1" w:styleId="Nadpis1Char">
    <w:name w:val="Nadpis 1 Char"/>
    <w:basedOn w:val="Predvolenpsmoodseku"/>
    <w:link w:val="Nadpis1"/>
    <w:rsid w:val="009353C6"/>
    <w:rPr>
      <w:rFonts w:ascii="Times New Roman" w:eastAsia="Times New Roman" w:hAnsi="Times New Roman" w:cs="Times New Roman"/>
      <w:b/>
      <w:snapToGrid w:val="0"/>
      <w:szCs w:val="20"/>
      <w:lang w:eastAsia="sk-SK"/>
    </w:rPr>
  </w:style>
  <w:style w:type="paragraph" w:customStyle="1" w:styleId="Kapitola">
    <w:name w:val="Kapitola"/>
    <w:basedOn w:val="Normlny"/>
    <w:rsid w:val="009353C6"/>
    <w:pPr>
      <w:tabs>
        <w:tab w:val="left" w:pos="425"/>
        <w:tab w:val="left" w:pos="567"/>
      </w:tabs>
      <w:spacing w:after="0" w:line="240" w:lineRule="auto"/>
      <w:jc w:val="both"/>
    </w:pPr>
    <w:rPr>
      <w:rFonts w:ascii="Times New Roman" w:eastAsia="Times New Roman" w:hAnsi="Times New Roman" w:cs="Times New Roman"/>
      <w:b/>
      <w:caps/>
      <w:snapToGrid w:val="0"/>
      <w:szCs w:val="20"/>
      <w:u w:val="single"/>
      <w:lang w:eastAsia="sk-SK"/>
    </w:rPr>
  </w:style>
  <w:style w:type="paragraph" w:styleId="Zarkazkladnhotextu">
    <w:name w:val="Body Text Indent"/>
    <w:basedOn w:val="Normlny"/>
    <w:link w:val="ZarkazkladnhotextuChar"/>
    <w:semiHidden/>
    <w:rsid w:val="009353C6"/>
    <w:pPr>
      <w:spacing w:before="120" w:after="0" w:line="240" w:lineRule="auto"/>
      <w:ind w:left="57"/>
    </w:pPr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9353C6"/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paragraph" w:styleId="Zarkazkladnhotextu3">
    <w:name w:val="Body Text Indent 3"/>
    <w:basedOn w:val="Normlny"/>
    <w:link w:val="Zarkazkladnhotextu3Char"/>
    <w:semiHidden/>
    <w:rsid w:val="009353C6"/>
    <w:pPr>
      <w:spacing w:after="0" w:line="240" w:lineRule="auto"/>
      <w:ind w:left="567" w:hanging="567"/>
      <w:jc w:val="both"/>
    </w:pPr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9353C6"/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paragraph" w:styleId="Pta">
    <w:name w:val="footer"/>
    <w:basedOn w:val="Normlny"/>
    <w:link w:val="PtaChar"/>
    <w:semiHidden/>
    <w:rsid w:val="009353C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semiHidden/>
    <w:rsid w:val="009353C6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6305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Longauer&amp;MENO=Pavol&amp;SID=0&amp;T=f0&amp;R=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orsr.sk/hladaj_osoba.asp?PR=Longauerov%E1&amp;MENO=Miroslava&amp;SID=0&amp;T=f0&amp;R=1" TargetMode="External"/><Relationship Id="rId5" Type="http://schemas.openxmlformats.org/officeDocument/2006/relationships/hyperlink" Target="http://www.orsr.sk/hladaj_osoba.asp?PR=Longauer&amp;MENO=Pavol&amp;SID=0&amp;T=f0&amp;R=1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740</Words>
  <Characters>4223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Mira Longauerová</dc:creator>
  <cp:keywords/>
  <dc:description/>
  <cp:lastModifiedBy>Mira Longauerová</cp:lastModifiedBy>
  <cp:revision>1</cp:revision>
  <dcterms:created xsi:type="dcterms:W3CDTF">2014-03-30T10:07:00Z</dcterms:created>
  <dcterms:modified xsi:type="dcterms:W3CDTF">2014-03-30T10:13:00Z</dcterms:modified>
</cp:coreProperties>
</file>