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r>
        <w:rPr>
          <w:rFonts w:ascii="Arial" w:cs="Arial" w:hAnsi="Arial"/>
          <w:sz w:val="22"/>
          <w:szCs w:val="22"/>
        </w:rPr>
      </w:r>
    </w:p>
    <w:tbl>
      <w:tblPr>
        <w:jc w:val="left"/>
        <w:tblInd w:type="dxa" w:w="1"/>
        <w:tblBorders/>
      </w:tblPr>
      <w:tblGrid>
        <w:gridCol w:w="4589"/>
      </w:tblGrid>
      <w:tr>
        <w:trPr>
          <w:trHeight w:hRule="atLeast" w:val="80"/>
          <w:cantSplit w:val="false"/>
        </w:trPr>
        <w:tc>
          <w:tcPr>
            <w:tcW w:type="dxa" w:w="4589"/>
            <w:gridSpan w:val="2"/>
            <w:tcBorders/>
            <w:shd w:fill="auto" w:val="clear"/>
            <w:tcMar>
              <w:top w:type="dxa" w:w="0"/>
              <w:left w:type="dxa" w:w="108"/>
              <w:bottom w:type="dxa" w:w="0"/>
              <w:right w:type="dxa" w:w="108"/>
            </w:tcMar>
            <w:vAlign w:val="bottom"/>
          </w:tcPr>
          <w:p>
            <w:pPr>
              <w:pStyle w:val="style0"/>
              <w:jc w:val="both"/>
            </w:pPr>
            <w:r>
              <w:rPr>
                <w:rFonts w:ascii="Arial" w:cs="Arial" w:hAnsi="Arial"/>
                <w:b/>
                <w:sz w:val="22"/>
                <w:szCs w:val="22"/>
              </w:rPr>
              <w:t>A. ZÁKLADNÉ INFORMÁCIE O ÚČTOVNEJ JEDNOTKE</w:t>
            </w:r>
          </w:p>
          <w:p>
            <w:pPr>
              <w:pStyle w:val="style0"/>
            </w:pPr>
            <w:r>
              <w:rPr/>
              <w:t xml:space="preserve"> </w:t>
            </w:r>
          </w:p>
          <w:p>
            <w:pPr>
              <w:pStyle w:val="style0"/>
            </w:pPr>
            <w:r>
              <w:rPr>
                <w:rFonts w:ascii="Arial" w:cs="Arial" w:hAnsi="Arial"/>
                <w:b/>
                <w:sz w:val="22"/>
                <w:szCs w:val="22"/>
              </w:rPr>
              <w:t>1.  Založenie spoločnosti</w:t>
            </w:r>
          </w:p>
          <w:p>
            <w:pPr>
              <w:pStyle w:val="style0"/>
            </w:pPr>
            <w:r>
              <w:rPr>
                <w:rFonts w:ascii="Arial" w:cs="Arial" w:hAnsi="Arial"/>
                <w:b/>
                <w:sz w:val="22"/>
                <w:szCs w:val="22"/>
              </w:rPr>
            </w:r>
          </w:p>
          <w:p>
            <w:pPr>
              <w:pStyle w:val="style0"/>
              <w:jc w:val="both"/>
            </w:pPr>
            <w:r>
              <w:rPr>
                <w:rFonts w:ascii="Arial" w:cs="Arial" w:hAnsi="Arial"/>
                <w:bCs/>
                <w:sz w:val="22"/>
                <w:szCs w:val="22"/>
              </w:rPr>
              <w:t>Obchodná spoločnosť Severoslovenské vodárne a kanalizácie, a. s. ( ďalej len Spoločnosť) vznikla ako nástupnícka spoločnosť obchodnej spoločnosti Severoslovenská vodárenská spoločnosť, a.s. so sídlom Bôrická cesta 107 Žilina 010 01, IČO: 36411256 v dôsledku rozdelenia.</w:t>
            </w:r>
          </w:p>
        </w:tc>
      </w:tr>
      <w:tr>
        <w:trPr>
          <w:trHeight w:hRule="atLeast" w:val="80"/>
          <w:cantSplit w:val="false"/>
        </w:trPr>
        <w:tc>
          <w:tcPr>
            <w:tcW w:type="dxa" w:w="2039"/>
            <w:tcBorders>
              <w:bottom w:color="00000A" w:space="0" w:sz="4" w:val="single"/>
            </w:tcBorders>
            <w:shd w:fill="auto" w:val="clear"/>
            <w:tcMar>
              <w:top w:type="dxa" w:w="0"/>
              <w:left w:type="dxa" w:w="108"/>
              <w:bottom w:type="dxa" w:w="0"/>
              <w:right w:type="dxa" w:w="108"/>
            </w:tcMar>
            <w:vAlign w:val="bottom"/>
          </w:tcPr>
          <w:p>
            <w:pPr>
              <w:pStyle w:val="style0"/>
              <w:jc w:val="both"/>
            </w:pPr>
            <w:r>
              <w:rPr>
                <w:rFonts w:ascii="Arial" w:cs="Arial" w:hAnsi="Arial"/>
                <w:sz w:val="22"/>
                <w:szCs w:val="22"/>
              </w:rPr>
            </w:r>
          </w:p>
        </w:tc>
        <w:tc>
          <w:tcPr>
            <w:tcW w:type="dxa" w:w="7139"/>
            <w:tcBorders>
              <w:bottom w:color="00000A" w:space="0" w:sz="4" w:val="single"/>
            </w:tcBorders>
            <w:shd w:fill="auto" w:val="clear"/>
            <w:tcMar>
              <w:top w:type="dxa" w:w="0"/>
              <w:left w:type="dxa" w:w="108"/>
              <w:bottom w:type="dxa" w:w="0"/>
              <w:right w:type="dxa" w:w="108"/>
            </w:tcMar>
            <w:vAlign w:val="bottom"/>
          </w:tcPr>
          <w:p>
            <w:pPr>
              <w:pStyle w:val="style0"/>
              <w:jc w:val="both"/>
            </w:pPr>
            <w:r>
              <w:rPr>
                <w:rFonts w:ascii="Arial" w:cs="Arial" w:hAnsi="Arial"/>
                <w:sz w:val="22"/>
                <w:szCs w:val="22"/>
              </w:rPr>
            </w:r>
          </w:p>
        </w:tc>
      </w:tr>
      <w:tr>
        <w:trPr>
          <w:trHeight w:hRule="atLeast" w:val="390"/>
          <w:cantSplit w:val="false"/>
        </w:trPr>
        <w:tc>
          <w:tcPr>
            <w:tcW w:type="dxa" w:w="2039"/>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bottom"/>
          </w:tcPr>
          <w:p>
            <w:pPr>
              <w:pStyle w:val="style0"/>
              <w:jc w:val="both"/>
            </w:pPr>
            <w:r>
              <w:rPr>
                <w:rFonts w:ascii="Arial" w:cs="Arial" w:hAnsi="Arial"/>
                <w:sz w:val="22"/>
                <w:szCs w:val="22"/>
              </w:rPr>
              <w:t>Obchodné meno:</w:t>
            </w:r>
          </w:p>
        </w:tc>
        <w:tc>
          <w:tcPr>
            <w:tcW w:type="dxa" w:w="7139"/>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bottom"/>
          </w:tcPr>
          <w:p>
            <w:pPr>
              <w:pStyle w:val="style0"/>
              <w:jc w:val="both"/>
            </w:pPr>
            <w:r>
              <w:rPr>
                <w:rFonts w:ascii="Arial" w:cs="Arial" w:hAnsi="Arial"/>
                <w:sz w:val="22"/>
                <w:szCs w:val="22"/>
              </w:rPr>
              <w:t xml:space="preserve">Severoslovenské vodárne a kanalizácie, a .s.  </w:t>
            </w:r>
          </w:p>
        </w:tc>
      </w:tr>
      <w:tr>
        <w:trPr>
          <w:trHeight w:hRule="atLeast" w:val="390"/>
          <w:cantSplit w:val="false"/>
        </w:trPr>
        <w:tc>
          <w:tcPr>
            <w:tcW w:type="dxa" w:w="2039"/>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bottom"/>
          </w:tcPr>
          <w:p>
            <w:pPr>
              <w:pStyle w:val="style0"/>
              <w:jc w:val="both"/>
            </w:pPr>
            <w:r>
              <w:rPr>
                <w:rFonts w:ascii="Arial" w:cs="Arial" w:hAnsi="Arial"/>
                <w:sz w:val="22"/>
                <w:szCs w:val="22"/>
              </w:rPr>
              <w:t>Sídlo:</w:t>
            </w:r>
          </w:p>
        </w:tc>
        <w:tc>
          <w:tcPr>
            <w:tcW w:type="dxa" w:w="7139"/>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bottom"/>
          </w:tcPr>
          <w:p>
            <w:pPr>
              <w:pStyle w:val="style0"/>
              <w:jc w:val="both"/>
            </w:pPr>
            <w:r>
              <w:rPr>
                <w:rFonts w:ascii="Arial" w:cs="Arial" w:hAnsi="Arial"/>
                <w:sz w:val="22"/>
                <w:szCs w:val="22"/>
              </w:rPr>
              <w:t>Bôrická cesta 1960,  010 57  Žilina</w:t>
            </w:r>
          </w:p>
        </w:tc>
      </w:tr>
      <w:tr>
        <w:trPr>
          <w:trHeight w:hRule="atLeast" w:val="390"/>
          <w:cantSplit w:val="false"/>
        </w:trPr>
        <w:tc>
          <w:tcPr>
            <w:tcW w:type="dxa" w:w="2039"/>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bottom"/>
          </w:tcPr>
          <w:p>
            <w:pPr>
              <w:pStyle w:val="style0"/>
              <w:jc w:val="both"/>
            </w:pPr>
            <w:r>
              <w:rPr>
                <w:rFonts w:ascii="Arial" w:cs="Arial" w:hAnsi="Arial"/>
                <w:sz w:val="22"/>
                <w:szCs w:val="22"/>
              </w:rPr>
              <w:t>Dátum založenia:</w:t>
            </w:r>
          </w:p>
        </w:tc>
        <w:tc>
          <w:tcPr>
            <w:tcW w:type="dxa" w:w="7139"/>
            <w:tcBorders>
              <w:top w:color="00000A" w:space="0" w:sz="4" w:val="single"/>
              <w:left w:color="00000A" w:space="0" w:sz="4" w:val="single"/>
              <w:bottom w:color="00000A" w:space="0" w:sz="4" w:val="single"/>
              <w:right w:color="00000A" w:space="0" w:sz="4" w:val="single"/>
            </w:tcBorders>
            <w:shd w:fill="auto" w:val="clear"/>
            <w:tcMar>
              <w:top w:type="dxa" w:w="0"/>
              <w:left w:type="dxa" w:w="108"/>
              <w:bottom w:type="dxa" w:w="0"/>
              <w:right w:type="dxa" w:w="108"/>
            </w:tcMar>
            <w:vAlign w:val="bottom"/>
          </w:tcPr>
          <w:p>
            <w:pPr>
              <w:pStyle w:val="style0"/>
              <w:jc w:val="both"/>
            </w:pPr>
            <w:r>
              <w:rPr>
                <w:rFonts w:ascii="Arial" w:cs="Arial" w:hAnsi="Arial"/>
                <w:sz w:val="22"/>
                <w:szCs w:val="22"/>
              </w:rPr>
              <w:t>01.06.2006</w:t>
            </w:r>
          </w:p>
        </w:tc>
      </w:tr>
      <w:tr>
        <w:trPr>
          <w:trHeight w:hRule="atLeast" w:val="390"/>
          <w:cantSplit w:val="false"/>
        </w:trPr>
        <w:tc>
          <w:tcPr>
            <w:tcW w:type="dxa" w:w="2039"/>
            <w:tcBorders>
              <w:top w:color="00000A" w:space="0" w:sz="4" w:val="single"/>
              <w:left w:color="00000A" w:space="0" w:sz="8" w:val="single"/>
              <w:bottom w:color="00000A" w:space="0" w:sz="4" w:val="single"/>
              <w:right w:color="00000A" w:space="0" w:sz="8" w:val="single"/>
            </w:tcBorders>
            <w:shd w:fill="auto" w:val="clear"/>
            <w:tcMar>
              <w:top w:type="dxa" w:w="0"/>
              <w:left w:type="dxa" w:w="108"/>
              <w:bottom w:type="dxa" w:w="0"/>
              <w:right w:type="dxa" w:w="108"/>
            </w:tcMar>
            <w:vAlign w:val="bottom"/>
          </w:tcPr>
          <w:p>
            <w:pPr>
              <w:pStyle w:val="style0"/>
              <w:jc w:val="both"/>
            </w:pPr>
            <w:r>
              <w:rPr>
                <w:rFonts w:ascii="Arial" w:cs="Arial" w:hAnsi="Arial"/>
                <w:sz w:val="22"/>
                <w:szCs w:val="22"/>
              </w:rPr>
              <w:t>Dátum vzniku:</w:t>
            </w:r>
          </w:p>
        </w:tc>
        <w:tc>
          <w:tcPr>
            <w:tcW w:type="dxa" w:w="7139"/>
            <w:tcBorders>
              <w:top w:color="00000A" w:space="0" w:sz="4" w:val="single"/>
              <w:bottom w:color="00000A" w:space="0" w:sz="4" w:val="single"/>
              <w:right w:color="00000A" w:space="0" w:sz="8" w:val="single"/>
            </w:tcBorders>
            <w:shd w:fill="auto" w:val="clear"/>
            <w:tcMar>
              <w:top w:type="dxa" w:w="0"/>
              <w:left w:type="dxa" w:w="108"/>
              <w:bottom w:type="dxa" w:w="0"/>
              <w:right w:type="dxa" w:w="108"/>
            </w:tcMar>
            <w:vAlign w:val="bottom"/>
          </w:tcPr>
          <w:p>
            <w:pPr>
              <w:pStyle w:val="style0"/>
              <w:jc w:val="both"/>
            </w:pPr>
            <w:r>
              <w:rPr>
                <w:rFonts w:ascii="Arial" w:cs="Arial" w:hAnsi="Arial"/>
                <w:sz w:val="22"/>
                <w:szCs w:val="22"/>
              </w:rPr>
              <w:t>07.09.2006, zápisom do OR OS v Žiline, odd. Sa, vložka číslo 10546/L</w:t>
            </w:r>
          </w:p>
        </w:tc>
      </w:tr>
    </w:tbl>
    <w:p>
      <w:pPr>
        <w:pStyle w:val="style0"/>
        <w:jc w:val="both"/>
      </w:pPr>
      <w:r>
        <w:rPr>
          <w:rFonts w:ascii="Arial" w:cs="Arial" w:hAnsi="Arial"/>
          <w:bCs/>
          <w:sz w:val="22"/>
          <w:szCs w:val="22"/>
        </w:rPr>
      </w:r>
    </w:p>
    <w:p>
      <w:pPr>
        <w:pStyle w:val="style0"/>
        <w:jc w:val="both"/>
      </w:pPr>
      <w:r>
        <w:rPr>
          <w:rFonts w:ascii="Arial" w:cs="Arial" w:hAnsi="Arial"/>
          <w:b/>
          <w:sz w:val="22"/>
          <w:szCs w:val="22"/>
        </w:rPr>
        <w:t>2. Opis hospodárskej činnosti účtovnej jednotky:</w:t>
      </w:r>
    </w:p>
    <w:p>
      <w:pPr>
        <w:pStyle w:val="style0"/>
        <w:spacing w:after="120" w:before="0"/>
        <w:jc w:val="both"/>
      </w:pPr>
      <w:r>
        <w:rPr>
          <w:rFonts w:ascii="Arial" w:cs="Arial" w:hAnsi="Arial"/>
          <w:sz w:val="22"/>
          <w:szCs w:val="22"/>
        </w:rPr>
      </w:r>
    </w:p>
    <w:p>
      <w:pPr>
        <w:pStyle w:val="style0"/>
        <w:spacing w:after="120" w:before="0"/>
        <w:jc w:val="both"/>
      </w:pPr>
      <w:r>
        <w:rPr>
          <w:rFonts w:ascii="Arial" w:cs="Arial" w:hAnsi="Arial"/>
          <w:sz w:val="22"/>
          <w:szCs w:val="22"/>
        </w:rPr>
        <w:t>1. prenájom strojov, prístrojov a zariadení</w:t>
      </w:r>
    </w:p>
    <w:p>
      <w:pPr>
        <w:pStyle w:val="style0"/>
        <w:spacing w:after="120" w:before="0"/>
        <w:jc w:val="both"/>
      </w:pPr>
      <w:r>
        <w:rPr>
          <w:rFonts w:ascii="Arial" w:cs="Arial" w:hAnsi="Arial"/>
          <w:sz w:val="22"/>
          <w:szCs w:val="22"/>
        </w:rPr>
        <w:t>2. prenájom nehnuteľností s poskytovaním iných, než základných služieb</w:t>
      </w:r>
    </w:p>
    <w:p>
      <w:pPr>
        <w:pStyle w:val="style0"/>
        <w:spacing w:after="120" w:before="0"/>
        <w:jc w:val="both"/>
      </w:pPr>
      <w:r>
        <w:rPr>
          <w:rFonts w:ascii="Arial" w:cs="Arial" w:hAnsi="Arial"/>
          <w:sz w:val="22"/>
          <w:szCs w:val="22"/>
        </w:rPr>
        <w:t xml:space="preserve">3. ubytovacie služby v ubytovacích zariadeniach, bez poskytovania pohostinských činností   </w:t>
      </w:r>
    </w:p>
    <w:p>
      <w:pPr>
        <w:pStyle w:val="style0"/>
        <w:spacing w:after="120" w:before="0"/>
        <w:jc w:val="both"/>
      </w:pPr>
      <w:r>
        <w:rPr>
          <w:rFonts w:ascii="Arial" w:cs="Arial" w:hAnsi="Arial"/>
          <w:sz w:val="22"/>
          <w:szCs w:val="22"/>
        </w:rPr>
        <w:t xml:space="preserve">    </w:t>
      </w:r>
      <w:r>
        <w:rPr>
          <w:rFonts w:ascii="Arial" w:cs="Arial" w:hAnsi="Arial"/>
          <w:sz w:val="22"/>
          <w:szCs w:val="22"/>
        </w:rPr>
        <w:t>v týchto zariadeniach</w:t>
      </w:r>
    </w:p>
    <w:p>
      <w:pPr>
        <w:pStyle w:val="style0"/>
        <w:spacing w:after="120" w:before="0"/>
        <w:jc w:val="both"/>
      </w:pPr>
      <w:r>
        <w:rPr>
          <w:rFonts w:ascii="Arial" w:cs="Arial" w:hAnsi="Arial"/>
          <w:sz w:val="22"/>
          <w:szCs w:val="22"/>
        </w:rPr>
        <w:t>4. prevádzkovanie verejného vodovodu pre kategóriu V-1</w:t>
      </w:r>
    </w:p>
    <w:p>
      <w:pPr>
        <w:pStyle w:val="style0"/>
        <w:spacing w:after="120" w:before="0"/>
        <w:jc w:val="both"/>
      </w:pPr>
      <w:r>
        <w:rPr>
          <w:rFonts w:ascii="Arial" w:cs="Arial" w:hAnsi="Arial"/>
          <w:sz w:val="22"/>
          <w:szCs w:val="22"/>
        </w:rPr>
        <w:t>5. prevádzkovanie verejnej kanalizácie pre kategóriu K-1</w:t>
      </w:r>
    </w:p>
    <w:p>
      <w:pPr>
        <w:pStyle w:val="style0"/>
        <w:spacing w:after="120" w:before="0"/>
        <w:jc w:val="both"/>
      </w:pPr>
      <w:r>
        <w:rPr>
          <w:rFonts w:ascii="Arial" w:cs="Arial" w:hAnsi="Arial"/>
          <w:sz w:val="22"/>
          <w:szCs w:val="22"/>
        </w:rPr>
        <w:t>6. inžinierske činnosti a súvisiace technické poradenstvo</w:t>
      </w:r>
    </w:p>
    <w:p>
      <w:pPr>
        <w:pStyle w:val="style0"/>
        <w:spacing w:after="120" w:before="0"/>
        <w:jc w:val="both"/>
      </w:pPr>
      <w:r>
        <w:rPr>
          <w:rFonts w:ascii="Arial" w:cs="Arial" w:hAnsi="Arial"/>
          <w:sz w:val="22"/>
          <w:szCs w:val="22"/>
        </w:rPr>
        <w:t>7. montáž vodomerov na teplú a studenú úžitkovú vodu</w:t>
      </w:r>
    </w:p>
    <w:p>
      <w:pPr>
        <w:pStyle w:val="style0"/>
        <w:spacing w:after="120" w:before="0"/>
        <w:jc w:val="both"/>
      </w:pPr>
      <w:r>
        <w:rPr>
          <w:rFonts w:ascii="Arial" w:cs="Arial" w:hAnsi="Arial"/>
          <w:sz w:val="22"/>
          <w:szCs w:val="22"/>
        </w:rPr>
        <w:t>8. veľkoobchod v rozsahu voľných živností</w:t>
      </w:r>
    </w:p>
    <w:p>
      <w:pPr>
        <w:pStyle w:val="style0"/>
        <w:spacing w:after="120" w:before="0"/>
        <w:jc w:val="both"/>
      </w:pPr>
      <w:r>
        <w:rPr>
          <w:rFonts w:ascii="Arial" w:cs="Arial" w:hAnsi="Arial"/>
          <w:sz w:val="22"/>
          <w:szCs w:val="22"/>
        </w:rPr>
        <w:t>9. maloobchod v rozsahu voľných živností</w:t>
      </w:r>
    </w:p>
    <w:p>
      <w:pPr>
        <w:pStyle w:val="style0"/>
        <w:spacing w:after="120" w:before="0"/>
        <w:jc w:val="both"/>
      </w:pPr>
      <w:r>
        <w:rPr>
          <w:rFonts w:ascii="Arial" w:cs="Arial" w:hAnsi="Arial"/>
          <w:sz w:val="22"/>
          <w:szCs w:val="22"/>
        </w:rPr>
        <w:t>10. technické testovanie, meranie a analýzy</w:t>
      </w:r>
    </w:p>
    <w:p>
      <w:pPr>
        <w:pStyle w:val="style0"/>
        <w:spacing w:after="120" w:before="0"/>
        <w:jc w:val="both"/>
      </w:pPr>
      <w:r>
        <w:rPr>
          <w:rFonts w:ascii="Arial" w:cs="Arial" w:hAnsi="Arial"/>
          <w:sz w:val="22"/>
          <w:szCs w:val="22"/>
        </w:rPr>
        <w:t>11.vytyčovanie vodovodnej a kanalizačnej siete</w:t>
      </w:r>
    </w:p>
    <w:p>
      <w:pPr>
        <w:pStyle w:val="style0"/>
        <w:spacing w:after="120" w:before="0"/>
        <w:jc w:val="both"/>
      </w:pPr>
      <w:r>
        <w:rPr>
          <w:rFonts w:ascii="Arial" w:cs="Arial" w:hAnsi="Arial"/>
          <w:sz w:val="22"/>
          <w:szCs w:val="22"/>
        </w:rPr>
        <w:t>12.vykonávanie prehliadok kanalizácií prístrojovou technikou</w:t>
      </w:r>
    </w:p>
    <w:p>
      <w:pPr>
        <w:pStyle w:val="style0"/>
        <w:spacing w:after="120" w:before="0"/>
        <w:jc w:val="both"/>
      </w:pPr>
      <w:r>
        <w:rPr>
          <w:rFonts w:ascii="Arial" w:cs="Arial" w:hAnsi="Arial"/>
          <w:sz w:val="22"/>
          <w:szCs w:val="22"/>
        </w:rPr>
        <w:t>13. vykonávanie technických prehliadok potrubí</w:t>
      </w:r>
    </w:p>
    <w:p>
      <w:pPr>
        <w:pStyle w:val="style0"/>
        <w:spacing w:after="120" w:before="0"/>
        <w:jc w:val="both"/>
      </w:pPr>
      <w:r>
        <w:rPr>
          <w:rFonts w:ascii="Arial" w:cs="Arial" w:hAnsi="Arial"/>
          <w:sz w:val="22"/>
          <w:szCs w:val="22"/>
        </w:rPr>
        <w:t>14. vyhľadávanie skrytých únikov vôd korelačnou a elektroakustickou technikou</w:t>
      </w:r>
    </w:p>
    <w:p>
      <w:pPr>
        <w:pStyle w:val="style0"/>
        <w:spacing w:after="120" w:before="0"/>
        <w:jc w:val="both"/>
      </w:pPr>
      <w:r>
        <w:rPr>
          <w:rFonts w:ascii="Arial" w:cs="Arial" w:hAnsi="Arial"/>
          <w:sz w:val="22"/>
          <w:szCs w:val="22"/>
        </w:rPr>
        <w:t>15. výroba priemyselných hnojív</w:t>
      </w:r>
    </w:p>
    <w:p>
      <w:pPr>
        <w:pStyle w:val="style0"/>
        <w:spacing w:after="120" w:before="0"/>
        <w:jc w:val="both"/>
      </w:pPr>
      <w:r>
        <w:rPr>
          <w:rFonts w:ascii="Arial" w:cs="Arial" w:hAnsi="Arial"/>
          <w:sz w:val="22"/>
          <w:szCs w:val="22"/>
        </w:rPr>
        <w:t>16. podnikanie v oblasti nakladania s odpadmi</w:t>
      </w:r>
    </w:p>
    <w:p>
      <w:pPr>
        <w:pStyle w:val="style0"/>
        <w:spacing w:after="120" w:before="0"/>
        <w:jc w:val="both"/>
      </w:pPr>
      <w:r>
        <w:rPr>
          <w:rFonts w:ascii="Arial" w:cs="Arial" w:hAnsi="Arial"/>
          <w:sz w:val="22"/>
          <w:szCs w:val="22"/>
        </w:rPr>
        <w:t>17. čistenie vodovodných a kanalizačných potrubí</w:t>
      </w:r>
    </w:p>
    <w:p>
      <w:pPr>
        <w:pStyle w:val="style0"/>
        <w:spacing w:after="120" w:before="0"/>
        <w:jc w:val="both"/>
      </w:pPr>
      <w:r>
        <w:rPr>
          <w:rFonts w:ascii="Arial" w:cs="Arial" w:hAnsi="Arial"/>
          <w:sz w:val="22"/>
          <w:szCs w:val="22"/>
        </w:rPr>
        <w:t>18. meranie množstva pitných, úžitkových a odpadových vôd</w:t>
      </w:r>
    </w:p>
    <w:p>
      <w:pPr>
        <w:pStyle w:val="style0"/>
        <w:spacing w:after="120" w:before="0"/>
        <w:jc w:val="both"/>
      </w:pPr>
      <w:r>
        <w:rPr>
          <w:rFonts w:ascii="Arial" w:cs="Arial" w:hAnsi="Arial"/>
          <w:sz w:val="22"/>
          <w:szCs w:val="22"/>
        </w:rPr>
        <w:t>19. výkon činnosti stavbyvedúceho</w:t>
      </w:r>
    </w:p>
    <w:p>
      <w:pPr>
        <w:pStyle w:val="style0"/>
        <w:spacing w:after="120" w:before="0"/>
        <w:jc w:val="both"/>
      </w:pPr>
      <w:r>
        <w:rPr>
          <w:rFonts w:ascii="Arial" w:cs="Arial" w:hAnsi="Arial"/>
          <w:sz w:val="22"/>
          <w:szCs w:val="22"/>
        </w:rPr>
        <w:t>20. uskutočňovanie stavieb a ich zmien</w:t>
      </w:r>
    </w:p>
    <w:p>
      <w:pPr>
        <w:pStyle w:val="style0"/>
        <w:spacing w:after="120" w:before="0"/>
        <w:jc w:val="both"/>
      </w:pPr>
      <w:r>
        <w:rPr>
          <w:rFonts w:ascii="Arial" w:cs="Arial" w:hAnsi="Arial"/>
          <w:sz w:val="22"/>
          <w:szCs w:val="22"/>
        </w:rPr>
        <w:t>21. výkon činnosti stavebného dozoru</w:t>
      </w:r>
    </w:p>
    <w:p>
      <w:pPr>
        <w:pStyle w:val="style0"/>
        <w:spacing w:after="120" w:before="0"/>
        <w:jc w:val="both"/>
      </w:pPr>
      <w:r>
        <w:rPr>
          <w:rFonts w:ascii="Arial" w:cs="Arial" w:hAnsi="Arial"/>
          <w:sz w:val="22"/>
          <w:szCs w:val="22"/>
        </w:rPr>
        <w:t>22. podnikanie v oblasti nakladania s nebezpečným odpadom</w:t>
      </w:r>
    </w:p>
    <w:p>
      <w:pPr>
        <w:pStyle w:val="style0"/>
        <w:spacing w:after="120" w:before="0"/>
        <w:jc w:val="both"/>
      </w:pPr>
      <w:r>
        <w:rPr>
          <w:rFonts w:ascii="Arial" w:cs="Arial" w:hAnsi="Arial"/>
          <w:sz w:val="22"/>
          <w:szCs w:val="22"/>
        </w:rPr>
        <w:t>23. vnútroštátna nákladná cestná doprava</w:t>
      </w:r>
    </w:p>
    <w:p>
      <w:pPr>
        <w:pStyle w:val="style0"/>
        <w:spacing w:after="120" w:before="0"/>
        <w:jc w:val="both"/>
      </w:pPr>
      <w:r>
        <w:rPr>
          <w:rFonts w:ascii="Arial" w:cs="Arial" w:hAnsi="Arial"/>
          <w:sz w:val="22"/>
          <w:szCs w:val="22"/>
        </w:rPr>
        <w:t>24 protikorózna ochrana</w:t>
      </w:r>
    </w:p>
    <w:p>
      <w:pPr>
        <w:pStyle w:val="style0"/>
        <w:spacing w:after="120" w:before="0"/>
        <w:jc w:val="both"/>
      </w:pPr>
      <w:r>
        <w:rPr>
          <w:rFonts w:ascii="Arial" w:cs="Arial" w:hAnsi="Arial"/>
          <w:sz w:val="22"/>
          <w:szCs w:val="22"/>
        </w:rPr>
        <w:t>25. dodávka elektriny</w:t>
      </w:r>
    </w:p>
    <w:p>
      <w:pPr>
        <w:pStyle w:val="style0"/>
        <w:spacing w:after="120" w:before="0"/>
        <w:jc w:val="both"/>
      </w:pPr>
      <w:r>
        <w:rPr>
          <w:rFonts w:ascii="Arial" w:cs="Arial" w:hAnsi="Arial"/>
          <w:sz w:val="22"/>
          <w:szCs w:val="22"/>
        </w:rPr>
        <w:t>Rozhodujúcou činnosťou Spoločnosti je výroba a rozvod pitnej vody a odkanalizovanie a čistenie odpadových vôd. Z tejto činnosti dosiahla Spoločnosť  73,59   % všetkých výnosov.</w:t>
      </w:r>
    </w:p>
    <w:p>
      <w:pPr>
        <w:pStyle w:val="style0"/>
        <w:spacing w:after="120" w:before="0"/>
        <w:jc w:val="both"/>
      </w:pPr>
      <w:r>
        <w:rPr>
          <w:rFonts w:ascii="Arial" w:cs="Arial" w:hAnsi="Arial"/>
          <w:b/>
          <w:sz w:val="22"/>
          <w:szCs w:val="22"/>
        </w:rPr>
        <w:t>3.  Informácie o počte zamestnancov</w:t>
      </w:r>
    </w:p>
    <w:p>
      <w:pPr>
        <w:pStyle w:val="style0"/>
        <w:spacing w:after="120" w:before="0"/>
        <w:jc w:val="both"/>
      </w:pPr>
      <w:r>
        <w:rPr>
          <w:rFonts w:ascii="Arial" w:cs="Arial" w:hAnsi="Arial"/>
          <w:sz w:val="22"/>
          <w:szCs w:val="22"/>
        </w:rPr>
        <w:t>Údaje o počte zamestnancov za bežné účtovné obdobie a bezprostredne predchádzajúce účtovné obdobie sú uvedené v nasledujúcom prehľade:</w:t>
      </w:r>
    </w:p>
    <w:tbl>
      <w:tblPr>
        <w:jc w:val="left"/>
        <w:tblInd w:type="dxa" w:w="-10"/>
        <w:tblBorders/>
      </w:tblPr>
      <w:tblGrid>
        <w:gridCol w:w="2820"/>
      </w:tblGrid>
      <w:tr>
        <w:trPr>
          <w:trHeight w:hRule="atLeast" w:val="330"/>
          <w:cantSplit w:val="false"/>
        </w:trPr>
        <w:tc>
          <w:tcPr>
            <w:tcW w:type="dxa" w:w="2820"/>
            <w:gridSpan w:val="3"/>
            <w:tcBorders/>
            <w:shd w:fill="FFFFFF" w:val="clear"/>
            <w:tcMar>
              <w:top w:type="dxa" w:w="0"/>
              <w:left w:type="dxa" w:w="0"/>
              <w:bottom w:type="dxa" w:w="0"/>
              <w:right w:type="dxa" w:w="0"/>
            </w:tcMar>
            <w:vAlign w:val="bottom"/>
          </w:tcPr>
          <w:p>
            <w:pPr>
              <w:pStyle w:val="style0"/>
            </w:pPr>
            <w:r>
              <w:rPr>
                <w:rFonts w:ascii="Arial Narrow" w:cs="Calibri" w:hAnsi="Arial Narrow"/>
                <w:b/>
                <w:bCs/>
                <w:sz w:val="22"/>
                <w:szCs w:val="22"/>
              </w:rPr>
            </w:r>
          </w:p>
        </w:tc>
      </w:tr>
      <w:tr>
        <w:trPr>
          <w:trHeight w:hRule="atLeast" w:val="315"/>
          <w:cantSplit w:val="false"/>
        </w:trPr>
        <w:tc>
          <w:tcPr>
            <w:tcW w:type="dxa" w:w="3339"/>
            <w:tcBorders/>
            <w:shd w:fill="FFFFFF" w:val="clear"/>
            <w:tcMar>
              <w:top w:type="dxa" w:w="0"/>
              <w:left w:type="dxa" w:w="0"/>
              <w:bottom w:type="dxa" w:w="0"/>
              <w:right w:type="dxa" w:w="0"/>
            </w:tcMar>
            <w:vAlign w:val="bottom"/>
          </w:tcPr>
          <w:p>
            <w:pPr>
              <w:pStyle w:val="style0"/>
            </w:pPr>
            <w:r>
              <w:rPr>
                <w:rFonts w:ascii="Arial Narrow" w:cs="Calibri" w:hAnsi="Arial Narrow"/>
                <w:b/>
                <w:bCs/>
                <w:sz w:val="22"/>
                <w:szCs w:val="22"/>
              </w:rPr>
            </w:r>
          </w:p>
        </w:tc>
        <w:tc>
          <w:tcPr>
            <w:tcW w:type="dxa" w:w="2379"/>
            <w:tcBorders/>
            <w:shd w:fill="FFFFFF" w:val="clear"/>
            <w:tcMar>
              <w:top w:type="dxa" w:w="0"/>
              <w:left w:type="dxa" w:w="0"/>
              <w:bottom w:type="dxa" w:w="0"/>
              <w:right w:type="dxa" w:w="0"/>
            </w:tcMar>
            <w:vAlign w:val="bottom"/>
          </w:tcPr>
          <w:p>
            <w:pPr>
              <w:pStyle w:val="style0"/>
            </w:pPr>
            <w:r>
              <w:rPr>
                <w:sz w:val="20"/>
                <w:szCs w:val="20"/>
              </w:rPr>
            </w:r>
          </w:p>
        </w:tc>
        <w:tc>
          <w:tcPr>
            <w:tcW w:type="dxa" w:w="2742"/>
            <w:tcBorders/>
            <w:shd w:fill="FFFFFF" w:val="clear"/>
            <w:tcMar>
              <w:top w:type="dxa" w:w="0"/>
              <w:left w:type="dxa" w:w="0"/>
              <w:bottom w:type="dxa" w:w="0"/>
              <w:right w:type="dxa" w:w="0"/>
            </w:tcMar>
            <w:vAlign w:val="bottom"/>
          </w:tcPr>
          <w:p>
            <w:pPr>
              <w:pStyle w:val="style0"/>
            </w:pPr>
            <w:r>
              <w:rPr>
                <w:sz w:val="20"/>
                <w:szCs w:val="20"/>
              </w:rPr>
            </w:r>
          </w:p>
        </w:tc>
      </w:tr>
      <w:tr>
        <w:trPr>
          <w:trHeight w:hRule="atLeast" w:val="555"/>
          <w:cantSplit w:val="false"/>
        </w:trPr>
        <w:tc>
          <w:tcPr>
            <w:tcW w:type="dxa" w:w="3339"/>
            <w:tcBorders>
              <w:top w:color="00000A" w:space="0" w:sz="8" w:val="single"/>
              <w:left w:color="00000A" w:space="0" w:sz="8" w:val="single"/>
              <w:right w:color="00000A" w:space="0" w:sz="8" w:val="single"/>
            </w:tcBorders>
            <w:shd w:fill="FFFFFF" w:val="clear"/>
            <w:tcMar>
              <w:top w:type="dxa" w:w="0"/>
              <w:left w:type="dxa" w:w="0"/>
              <w:bottom w:type="dxa" w:w="0"/>
              <w:right w:type="dxa" w:w="0"/>
            </w:tcMar>
            <w:vAlign w:val="center"/>
          </w:tcPr>
          <w:p>
            <w:pPr>
              <w:pStyle w:val="style0"/>
              <w:jc w:val="center"/>
            </w:pPr>
            <w:r>
              <w:rPr>
                <w:rFonts w:ascii="Arial Narrow" w:cs="Calibri" w:hAnsi="Arial Narrow"/>
                <w:b/>
                <w:bCs/>
                <w:sz w:val="21"/>
                <w:szCs w:val="21"/>
              </w:rPr>
              <w:t>Názov položky</w:t>
            </w:r>
          </w:p>
        </w:tc>
        <w:tc>
          <w:tcPr>
            <w:tcW w:type="dxa" w:w="2379"/>
            <w:tcBorders>
              <w:top w:color="00000A" w:space="0" w:sz="8" w:val="single"/>
              <w:right w:color="00000A" w:space="0" w:sz="8" w:val="single"/>
            </w:tcBorders>
            <w:shd w:fill="FFFFFF" w:val="clear"/>
            <w:tcMar>
              <w:top w:type="dxa" w:w="0"/>
              <w:left w:type="dxa" w:w="0"/>
              <w:bottom w:type="dxa" w:w="0"/>
              <w:right w:type="dxa" w:w="0"/>
            </w:tcMar>
            <w:vAlign w:val="center"/>
          </w:tcPr>
          <w:p>
            <w:pPr>
              <w:pStyle w:val="style0"/>
              <w:jc w:val="center"/>
            </w:pPr>
            <w:r>
              <w:rPr>
                <w:rFonts w:ascii="Arial Narrow" w:cs="Calibri" w:hAnsi="Arial Narrow"/>
                <w:b/>
                <w:bCs/>
                <w:sz w:val="21"/>
                <w:szCs w:val="21"/>
              </w:rPr>
              <w:t>Bežné účtovné obdobie</w:t>
            </w:r>
          </w:p>
        </w:tc>
        <w:tc>
          <w:tcPr>
            <w:tcW w:type="dxa" w:w="2742"/>
            <w:tcBorders>
              <w:top w:color="00000A" w:space="0" w:sz="8" w:val="single"/>
              <w:right w:color="00000A" w:space="0" w:sz="8" w:val="single"/>
            </w:tcBorders>
            <w:shd w:fill="FFFFFF" w:val="clear"/>
            <w:tcMar>
              <w:top w:type="dxa" w:w="0"/>
              <w:left w:type="dxa" w:w="0"/>
              <w:bottom w:type="dxa" w:w="0"/>
              <w:right w:type="dxa" w:w="0"/>
            </w:tcMar>
            <w:vAlign w:val="center"/>
          </w:tcPr>
          <w:p>
            <w:pPr>
              <w:pStyle w:val="style0"/>
              <w:jc w:val="center"/>
            </w:pPr>
            <w:r>
              <w:rPr>
                <w:rFonts w:ascii="Arial Narrow" w:cs="Calibri" w:hAnsi="Arial Narrow"/>
                <w:b/>
                <w:bCs/>
                <w:sz w:val="21"/>
                <w:szCs w:val="21"/>
              </w:rPr>
              <w:t>Bezprostredne predchádzajúce účtovné obdobie</w:t>
            </w:r>
          </w:p>
        </w:tc>
      </w:tr>
      <w:tr>
        <w:trPr>
          <w:trHeight w:hRule="atLeast" w:val="570"/>
          <w:cantSplit w:val="false"/>
        </w:trPr>
        <w:tc>
          <w:tcPr>
            <w:tcW w:type="dxa" w:w="3339"/>
            <w:tcBorders>
              <w:top w:color="00000A" w:space="0" w:sz="12" w:val="single"/>
              <w:left w:color="00000A" w:space="0" w:sz="8" w:val="single"/>
              <w:bottom w:color="00000A" w:space="0" w:sz="4" w:val="single"/>
              <w:right w:color="00000A" w:space="0" w:sz="8" w:val="single"/>
            </w:tcBorders>
            <w:shd w:fill="FFFFFF" w:val="clear"/>
            <w:tcMar>
              <w:top w:type="dxa" w:w="0"/>
              <w:left w:type="dxa" w:w="0"/>
              <w:bottom w:type="dxa" w:w="0"/>
              <w:right w:type="dxa" w:w="0"/>
            </w:tcMar>
            <w:vAlign w:val="bottom"/>
          </w:tcPr>
          <w:p>
            <w:pPr>
              <w:pStyle w:val="style0"/>
            </w:pPr>
            <w:r>
              <w:rPr>
                <w:rFonts w:ascii="Arial Narrow" w:cs="Calibri" w:hAnsi="Arial Narrow"/>
                <w:sz w:val="21"/>
                <w:szCs w:val="21"/>
              </w:rPr>
              <w:t>Priemerný prepočítaný počet zamestnancov</w:t>
            </w:r>
          </w:p>
        </w:tc>
        <w:tc>
          <w:tcPr>
            <w:tcW w:type="dxa" w:w="2379"/>
            <w:tcBorders>
              <w:top w:color="00000A" w:space="0" w:sz="12" w:val="single"/>
              <w:bottom w:color="00000A" w:space="0" w:sz="4" w:val="single"/>
              <w:right w:color="00000A" w:space="0" w:sz="8" w:val="single"/>
            </w:tcBorders>
            <w:shd w:fill="FFFFFF" w:val="clear"/>
            <w:tcMar>
              <w:top w:type="dxa" w:w="0"/>
              <w:left w:type="dxa" w:w="0"/>
              <w:bottom w:type="dxa" w:w="0"/>
              <w:right w:type="dxa" w:w="0"/>
            </w:tcMar>
            <w:vAlign w:val="bottom"/>
          </w:tcPr>
          <w:p>
            <w:pPr>
              <w:pStyle w:val="style0"/>
              <w:jc w:val="center"/>
            </w:pPr>
            <w:r>
              <w:rPr>
                <w:rFonts w:ascii="Arial Narrow" w:cs="Calibri" w:hAnsi="Arial Narrow"/>
                <w:sz w:val="21"/>
                <w:szCs w:val="21"/>
              </w:rPr>
              <w:t>411</w:t>
            </w:r>
          </w:p>
        </w:tc>
        <w:tc>
          <w:tcPr>
            <w:tcW w:type="dxa" w:w="2742"/>
            <w:tcBorders>
              <w:top w:color="00000A" w:space="0" w:sz="12" w:val="single"/>
              <w:bottom w:color="00000A" w:space="0" w:sz="4" w:val="single"/>
              <w:right w:color="00000A" w:space="0" w:sz="8" w:val="single"/>
            </w:tcBorders>
            <w:shd w:fill="FFFFFF" w:val="clear"/>
            <w:tcMar>
              <w:top w:type="dxa" w:w="0"/>
              <w:left w:type="dxa" w:w="0"/>
              <w:bottom w:type="dxa" w:w="0"/>
              <w:right w:type="dxa" w:w="0"/>
            </w:tcMar>
            <w:vAlign w:val="bottom"/>
          </w:tcPr>
          <w:p>
            <w:pPr>
              <w:pStyle w:val="style0"/>
              <w:jc w:val="center"/>
            </w:pPr>
            <w:r>
              <w:rPr>
                <w:rFonts w:ascii="Arial Narrow" w:cs="Calibri" w:hAnsi="Arial Narrow"/>
                <w:sz w:val="21"/>
                <w:szCs w:val="21"/>
              </w:rPr>
              <w:t>413</w:t>
            </w:r>
          </w:p>
        </w:tc>
      </w:tr>
      <w:tr>
        <w:trPr>
          <w:trHeight w:hRule="atLeast" w:val="555"/>
          <w:cantSplit w:val="false"/>
        </w:trPr>
        <w:tc>
          <w:tcPr>
            <w:tcW w:type="dxa" w:w="3339"/>
            <w:tcBorders>
              <w:left w:color="00000A" w:space="0" w:sz="8" w:val="single"/>
              <w:bottom w:color="00000A" w:space="0" w:sz="4" w:val="single"/>
              <w:right w:color="00000A" w:space="0" w:sz="8" w:val="single"/>
            </w:tcBorders>
            <w:shd w:fill="FFFFFF" w:val="clear"/>
            <w:tcMar>
              <w:top w:type="dxa" w:w="0"/>
              <w:left w:type="dxa" w:w="0"/>
              <w:bottom w:type="dxa" w:w="0"/>
              <w:right w:type="dxa" w:w="0"/>
            </w:tcMar>
            <w:vAlign w:val="bottom"/>
          </w:tcPr>
          <w:p>
            <w:pPr>
              <w:pStyle w:val="style0"/>
            </w:pPr>
            <w:r>
              <w:rPr>
                <w:rFonts w:ascii="Arial Narrow" w:cs="Calibri" w:hAnsi="Arial Narrow"/>
                <w:sz w:val="21"/>
                <w:szCs w:val="21"/>
              </w:rPr>
              <w:t>Stav zamestnancov ku dňu, ku ktorému sa zostavuje účtovná závierka, z toho:</w:t>
            </w:r>
          </w:p>
        </w:tc>
        <w:tc>
          <w:tcPr>
            <w:tcW w:type="dxa" w:w="2379"/>
            <w:tcBorders>
              <w:bottom w:color="00000A" w:space="0" w:sz="4" w:val="single"/>
              <w:right w:color="00000A" w:space="0" w:sz="8" w:val="single"/>
            </w:tcBorders>
            <w:shd w:fill="FFFFFF" w:val="clear"/>
            <w:tcMar>
              <w:top w:type="dxa" w:w="0"/>
              <w:left w:type="dxa" w:w="0"/>
              <w:bottom w:type="dxa" w:w="0"/>
              <w:right w:type="dxa" w:w="0"/>
            </w:tcMar>
            <w:vAlign w:val="bottom"/>
          </w:tcPr>
          <w:p>
            <w:pPr>
              <w:pStyle w:val="style0"/>
              <w:jc w:val="center"/>
            </w:pPr>
            <w:r>
              <w:rPr>
                <w:rFonts w:ascii="Arial Narrow" w:cs="Calibri" w:hAnsi="Arial Narrow"/>
                <w:sz w:val="21"/>
                <w:szCs w:val="21"/>
              </w:rPr>
              <w:t>410</w:t>
            </w:r>
          </w:p>
        </w:tc>
        <w:tc>
          <w:tcPr>
            <w:tcW w:type="dxa" w:w="2742"/>
            <w:tcBorders>
              <w:bottom w:color="00000A" w:space="0" w:sz="4" w:val="single"/>
              <w:right w:color="00000A" w:space="0" w:sz="8" w:val="single"/>
            </w:tcBorders>
            <w:shd w:fill="FFFFFF" w:val="clear"/>
            <w:tcMar>
              <w:top w:type="dxa" w:w="0"/>
              <w:left w:type="dxa" w:w="0"/>
              <w:bottom w:type="dxa" w:w="0"/>
              <w:right w:type="dxa" w:w="0"/>
            </w:tcMar>
            <w:vAlign w:val="bottom"/>
          </w:tcPr>
          <w:p>
            <w:pPr>
              <w:pStyle w:val="style0"/>
              <w:jc w:val="center"/>
            </w:pPr>
            <w:r>
              <w:rPr>
                <w:rFonts w:ascii="Arial Narrow" w:cs="Calibri" w:hAnsi="Arial Narrow"/>
                <w:sz w:val="21"/>
                <w:szCs w:val="21"/>
              </w:rPr>
              <w:t>414</w:t>
            </w:r>
          </w:p>
        </w:tc>
      </w:tr>
      <w:tr>
        <w:trPr>
          <w:trHeight w:hRule="atLeast" w:val="390"/>
          <w:cantSplit w:val="false"/>
        </w:trPr>
        <w:tc>
          <w:tcPr>
            <w:tcW w:type="dxa" w:w="3339"/>
            <w:tcBorders>
              <w:left w:color="00000A" w:space="0" w:sz="8" w:val="single"/>
              <w:bottom w:color="00000A" w:space="0" w:sz="8" w:val="single"/>
              <w:right w:color="00000A" w:space="0" w:sz="8" w:val="single"/>
            </w:tcBorders>
            <w:shd w:fill="FFFFFF" w:val="clear"/>
            <w:tcMar>
              <w:top w:type="dxa" w:w="0"/>
              <w:left w:type="dxa" w:w="0"/>
              <w:bottom w:type="dxa" w:w="0"/>
              <w:right w:type="dxa" w:w="0"/>
            </w:tcMar>
            <w:vAlign w:val="bottom"/>
          </w:tcPr>
          <w:p>
            <w:pPr>
              <w:pStyle w:val="style0"/>
            </w:pPr>
            <w:r>
              <w:rPr>
                <w:rFonts w:ascii="Arial Narrow" w:cs="Calibri" w:hAnsi="Arial Narrow"/>
                <w:sz w:val="21"/>
                <w:szCs w:val="21"/>
              </w:rPr>
              <w:t>počet vedúcich zamestnancov</w:t>
            </w:r>
          </w:p>
        </w:tc>
        <w:tc>
          <w:tcPr>
            <w:tcW w:type="dxa" w:w="2379"/>
            <w:tcBorders>
              <w:bottom w:color="00000A" w:space="0" w:sz="8" w:val="single"/>
              <w:right w:color="00000A" w:space="0" w:sz="8" w:val="single"/>
            </w:tcBorders>
            <w:shd w:fill="FFFFFF" w:val="clear"/>
            <w:tcMar>
              <w:top w:type="dxa" w:w="0"/>
              <w:left w:type="dxa" w:w="0"/>
              <w:bottom w:type="dxa" w:w="0"/>
              <w:right w:type="dxa" w:w="0"/>
            </w:tcMar>
            <w:vAlign w:val="bottom"/>
          </w:tcPr>
          <w:p>
            <w:pPr>
              <w:pStyle w:val="style0"/>
              <w:jc w:val="center"/>
            </w:pPr>
            <w:r>
              <w:rPr>
                <w:rFonts w:ascii="Arial Narrow" w:cs="Calibri" w:hAnsi="Arial Narrow"/>
                <w:sz w:val="21"/>
                <w:szCs w:val="21"/>
              </w:rPr>
              <w:t>16</w:t>
            </w:r>
          </w:p>
        </w:tc>
        <w:tc>
          <w:tcPr>
            <w:tcW w:type="dxa" w:w="2742"/>
            <w:tcBorders>
              <w:bottom w:color="00000A" w:space="0" w:sz="8" w:val="single"/>
              <w:right w:color="00000A" w:space="0" w:sz="8" w:val="single"/>
            </w:tcBorders>
            <w:shd w:fill="FFFFFF" w:val="clear"/>
            <w:tcMar>
              <w:top w:type="dxa" w:w="0"/>
              <w:left w:type="dxa" w:w="0"/>
              <w:bottom w:type="dxa" w:w="0"/>
              <w:right w:type="dxa" w:w="0"/>
            </w:tcMar>
            <w:vAlign w:val="bottom"/>
          </w:tcPr>
          <w:p>
            <w:pPr>
              <w:pStyle w:val="style0"/>
              <w:jc w:val="center"/>
            </w:pPr>
            <w:r>
              <w:rPr>
                <w:rFonts w:ascii="Arial Narrow" w:cs="Calibri" w:hAnsi="Arial Narrow"/>
                <w:sz w:val="21"/>
                <w:szCs w:val="21"/>
              </w:rPr>
              <w:t>16</w:t>
            </w:r>
          </w:p>
        </w:tc>
      </w:tr>
    </w:tbl>
    <w:p>
      <w:pPr>
        <w:pStyle w:val="style0"/>
        <w:spacing w:after="120" w:before="0"/>
        <w:jc w:val="both"/>
      </w:pPr>
      <w:r>
        <w:rPr>
          <w:rFonts w:ascii="Arial" w:cs="Arial" w:hAnsi="Arial"/>
          <w:sz w:val="22"/>
          <w:szCs w:val="22"/>
        </w:rPr>
        <w:t xml:space="preserve"> </w:t>
      </w:r>
    </w:p>
    <w:p>
      <w:pPr>
        <w:pStyle w:val="style0"/>
        <w:ind w:hanging="0" w:left="0" w:right="-468"/>
        <w:jc w:val="both"/>
      </w:pPr>
      <w:r>
        <w:rPr>
          <w:rFonts w:ascii="Arial" w:cs="Arial" w:hAnsi="Arial"/>
          <w:b/>
          <w:sz w:val="22"/>
          <w:szCs w:val="22"/>
        </w:rPr>
        <w:t>4. Údaje o neobmedzenom ručení</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sz w:val="22"/>
          <w:szCs w:val="22"/>
        </w:rPr>
        <w:t>Spoločnosť nie je neobmedzene ručiacim spoločníkom v iných spoločnostiach podľa §56 ods.5 Obchodného zákonníka.</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b/>
          <w:sz w:val="22"/>
          <w:szCs w:val="22"/>
        </w:rPr>
        <w:t>5. Právny dôvod na zostavenie účtovnej závierky</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sz w:val="22"/>
          <w:szCs w:val="22"/>
        </w:rPr>
        <w:t xml:space="preserve">Účtovná závierka k 31.decembru 2013 je zostavená ako riadna účtovná závierka podľa §17 ods.6 Zákona NRSR č. 431/2002Z.z. o účtovníctve, za účtovné obdobie od 1.januára 2013 do 31.decembra 2013. Poznámky k účtovnej závierke sú zostavené podľa opatrenia MF SR č. 4455/2003-92 v znení neskorších zmien a doplnkov v celých eurách. </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b/>
          <w:sz w:val="22"/>
          <w:szCs w:val="22"/>
        </w:rPr>
        <w:t>6. Dátum schválenia účtovnej závierky za bezprostredne predchádzajúce účtovné obdobie príslušným orgánom účtovnej jednotky</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sz w:val="22"/>
          <w:szCs w:val="22"/>
        </w:rPr>
        <w:t>Účtovná závierka Spoločnosti  k 31.12.2012, za bezprostredne predchádzajúce účtovné obdobie bola  schválená valným zhromaždením Spoločnosti  17.05.2013.</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b/>
          <w:sz w:val="22"/>
          <w:szCs w:val="22"/>
        </w:rPr>
        <w:t>7. Zverejnenie účtovnej závierky za predchádzajúce účtovné obdobie</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sz w:val="22"/>
          <w:szCs w:val="22"/>
        </w:rPr>
        <w:t>Účtovná závierka Spoločnosti k 31.12.2012 spolu s výročnou správou a správou audítora o overení účtovnej závierky k 31.12.2012 bola uložená do zbierky listín obchodného registra</w:t>
      </w:r>
    </w:p>
    <w:p>
      <w:pPr>
        <w:pStyle w:val="style0"/>
        <w:ind w:hanging="0" w:left="0" w:right="-468"/>
        <w:jc w:val="both"/>
      </w:pPr>
      <w:r>
        <w:rPr>
          <w:rFonts w:ascii="Arial" w:cs="Arial" w:hAnsi="Arial"/>
          <w:sz w:val="22"/>
          <w:szCs w:val="22"/>
        </w:rPr>
        <w:t>27.05.2013. Súvaha a výkaz ziskov a strát za predchádzajúce účtovné obdobie boli zverejnené  v  Obchodnom vestníku  11.07.2013.</w:t>
      </w:r>
    </w:p>
    <w:p>
      <w:pPr>
        <w:pStyle w:val="style0"/>
        <w:ind w:hanging="0" w:left="0" w:right="-468"/>
        <w:jc w:val="both"/>
      </w:pPr>
      <w:r>
        <w:rPr>
          <w:rFonts w:ascii="Arial" w:cs="Arial" w:hAnsi="Arial"/>
          <w:b/>
          <w:sz w:val="22"/>
          <w:szCs w:val="22"/>
        </w:rPr>
      </w:r>
    </w:p>
    <w:p>
      <w:pPr>
        <w:pStyle w:val="style0"/>
        <w:ind w:hanging="0" w:left="0" w:right="-468"/>
        <w:jc w:val="both"/>
      </w:pPr>
      <w:r>
        <w:rPr>
          <w:rFonts w:ascii="Arial" w:cs="Arial" w:hAnsi="Arial"/>
          <w:b/>
          <w:sz w:val="22"/>
          <w:szCs w:val="22"/>
        </w:rPr>
        <w:t>B. INFORMÁCIE O ORGÁNOCH SPOLOČNOSTI</w:t>
      </w:r>
    </w:p>
    <w:p>
      <w:pPr>
        <w:pStyle w:val="style0"/>
        <w:ind w:hanging="0" w:left="0" w:right="-468"/>
        <w:jc w:val="both"/>
      </w:pPr>
      <w:r>
        <w:rPr>
          <w:rFonts w:ascii="Arial" w:cs="Arial" w:hAnsi="Arial"/>
          <w:b/>
          <w:sz w:val="22"/>
          <w:szCs w:val="22"/>
        </w:rPr>
      </w:r>
    </w:p>
    <w:p>
      <w:pPr>
        <w:pStyle w:val="style0"/>
        <w:ind w:hanging="0" w:left="0" w:right="-468"/>
        <w:jc w:val="both"/>
      </w:pPr>
      <w:r>
        <w:rPr>
          <w:rFonts w:ascii="Arial" w:cs="Arial" w:hAnsi="Arial"/>
          <w:sz w:val="22"/>
          <w:szCs w:val="22"/>
        </w:rPr>
        <w:t>Riadiacimi a kontrolnými orgánmi spoločnosti sú:</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sz w:val="22"/>
          <w:szCs w:val="22"/>
        </w:rPr>
        <w:t xml:space="preserve">1. Valné zhromaždenie </w:t>
      </w:r>
    </w:p>
    <w:p>
      <w:pPr>
        <w:pStyle w:val="style0"/>
        <w:ind w:hanging="0" w:left="0" w:right="-468"/>
        <w:jc w:val="both"/>
      </w:pPr>
      <w:r>
        <w:rPr>
          <w:rFonts w:ascii="Arial" w:cs="Arial" w:hAnsi="Arial"/>
          <w:sz w:val="22"/>
          <w:szCs w:val="22"/>
        </w:rPr>
        <w:t>2. Predstavenstvo</w:t>
      </w:r>
    </w:p>
    <w:p>
      <w:pPr>
        <w:pStyle w:val="style0"/>
        <w:ind w:hanging="0" w:left="0" w:right="-468"/>
        <w:jc w:val="both"/>
      </w:pPr>
      <w:r>
        <w:rPr>
          <w:rFonts w:ascii="Arial" w:cs="Arial" w:hAnsi="Arial"/>
          <w:sz w:val="22"/>
          <w:szCs w:val="22"/>
        </w:rPr>
        <w:t>3. Dozorná rada</w:t>
      </w:r>
    </w:p>
    <w:p>
      <w:pPr>
        <w:pStyle w:val="style0"/>
        <w:ind w:hanging="0" w:left="0" w:right="-468"/>
        <w:jc w:val="both"/>
      </w:pPr>
      <w:r>
        <w:rPr>
          <w:rFonts w:ascii="Arial" w:cs="Arial" w:hAnsi="Arial"/>
          <w:sz w:val="22"/>
          <w:szCs w:val="22"/>
        </w:rPr>
        <w:t xml:space="preserve">Dňa 17.05.2013 bola vykonaná zmena vo funkcii predsedu predstavenstva Spoločnosti. </w:t>
      </w:r>
    </w:p>
    <w:p>
      <w:pPr>
        <w:pStyle w:val="style0"/>
        <w:ind w:hanging="0" w:left="0" w:right="-468"/>
        <w:jc w:val="both"/>
      </w:pPr>
      <w:r>
        <w:rPr>
          <w:rFonts w:ascii="Arial" w:cs="Arial" w:hAnsi="Arial"/>
          <w:b/>
          <w:sz w:val="22"/>
          <w:szCs w:val="22"/>
          <w:shd w:fill="FFFF00" w:val="clear"/>
        </w:rPr>
      </w:r>
    </w:p>
    <w:p>
      <w:pPr>
        <w:pStyle w:val="style0"/>
        <w:ind w:hanging="0" w:left="0" w:right="-468"/>
        <w:jc w:val="both"/>
      </w:pPr>
      <w:r>
        <w:rPr>
          <w:rFonts w:ascii="Arial" w:cs="Arial" w:hAnsi="Arial"/>
          <w:b/>
          <w:sz w:val="22"/>
          <w:szCs w:val="22"/>
        </w:rPr>
      </w:r>
    </w:p>
    <w:p>
      <w:pPr>
        <w:pStyle w:val="style0"/>
        <w:ind w:hanging="0" w:left="0" w:right="-468"/>
        <w:jc w:val="both"/>
      </w:pPr>
      <w:r>
        <w:rPr>
          <w:rFonts w:ascii="Arial" w:cs="Arial" w:hAnsi="Arial"/>
          <w:b/>
          <w:sz w:val="22"/>
          <w:szCs w:val="22"/>
        </w:rPr>
        <w:t>C. INFORMÁCIE O AKCIONÁROCH ÚČTOVNEJ JEDNOTKY</w:t>
      </w:r>
    </w:p>
    <w:p>
      <w:pPr>
        <w:pStyle w:val="style0"/>
        <w:ind w:hanging="0" w:left="0" w:right="-468"/>
        <w:jc w:val="both"/>
      </w:pPr>
      <w:r>
        <w:rPr>
          <w:rFonts w:ascii="Arial" w:cs="Arial" w:hAnsi="Arial"/>
          <w:b/>
          <w:sz w:val="22"/>
          <w:szCs w:val="22"/>
        </w:rPr>
      </w:r>
    </w:p>
    <w:p>
      <w:pPr>
        <w:pStyle w:val="style0"/>
        <w:ind w:hanging="0" w:left="0" w:right="-468"/>
        <w:jc w:val="both"/>
      </w:pPr>
      <w:r>
        <w:rPr>
          <w:rFonts w:ascii="Arial" w:cs="Arial" w:hAnsi="Arial"/>
          <w:sz w:val="22"/>
          <w:szCs w:val="22"/>
        </w:rPr>
        <w:t xml:space="preserve">Akcionármi Spoločnosti sú obce a mestá okresov Žilina, Čadca, Bytča, Kysucké Nové Mesto a Rajec. Počet akcií je 1 726  814 ks, menovitá hodnota 1 ks akcie je 33,19 Eur. Výška základného imania zapísaného do obchodného registra je 57 312 957 EUR. Podiel akcionárov na hlasovacích právach sa neodlišuje od ich podielu na základnom imaní. </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b/>
          <w:bCs/>
          <w:sz w:val="22"/>
          <w:szCs w:val="22"/>
        </w:rPr>
        <w:t xml:space="preserve">D. INFORMÁCIE O KONSOLIDOVANOM CELKU </w:t>
      </w:r>
    </w:p>
    <w:p>
      <w:pPr>
        <w:pStyle w:val="style0"/>
        <w:ind w:hanging="0" w:left="360" w:right="-468"/>
        <w:jc w:val="both"/>
      </w:pPr>
      <w:r>
        <w:rPr>
          <w:rFonts w:ascii="Arial" w:cs="Arial" w:hAnsi="Arial"/>
          <w:sz w:val="22"/>
          <w:szCs w:val="22"/>
        </w:rPr>
      </w:r>
    </w:p>
    <w:p>
      <w:pPr>
        <w:pStyle w:val="style0"/>
        <w:ind w:hanging="0" w:left="0" w:right="-468"/>
        <w:jc w:val="both"/>
      </w:pPr>
      <w:r>
        <w:rPr>
          <w:rFonts w:ascii="Arial" w:cs="Arial" w:hAnsi="Arial"/>
          <w:sz w:val="22"/>
          <w:szCs w:val="22"/>
        </w:rPr>
        <w:t>Konsolidovanú účtovnú závierku účtovná jednotka nezostavuje.</w:t>
      </w:r>
    </w:p>
    <w:p>
      <w:pPr>
        <w:pStyle w:val="style0"/>
        <w:ind w:hanging="0" w:left="0" w:right="-468"/>
        <w:jc w:val="both"/>
      </w:pPr>
      <w:r>
        <w:rPr>
          <w:rFonts w:ascii="Arial" w:cs="Arial" w:hAnsi="Arial"/>
          <w:bCs/>
          <w:sz w:val="22"/>
          <w:szCs w:val="22"/>
          <w:u w:val="single"/>
        </w:rPr>
      </w:r>
    </w:p>
    <w:p>
      <w:pPr>
        <w:pStyle w:val="style0"/>
        <w:ind w:hanging="0" w:left="0" w:right="-468"/>
        <w:jc w:val="both"/>
      </w:pPr>
      <w:r>
        <w:rPr>
          <w:rFonts w:ascii="Arial" w:cs="Arial" w:hAnsi="Arial"/>
          <w:b/>
          <w:bCs/>
          <w:sz w:val="22"/>
          <w:szCs w:val="22"/>
        </w:rPr>
        <w:t>E. INFORMÁCIE O ÚČTOVNÝCH ZÁSADÁCH A ÚČTOVNÝCH METÓDACH</w:t>
      </w:r>
    </w:p>
    <w:p>
      <w:pPr>
        <w:pStyle w:val="style0"/>
        <w:ind w:hanging="0" w:left="0" w:right="-468"/>
        <w:jc w:val="both"/>
      </w:pPr>
      <w:r>
        <w:rPr>
          <w:rFonts w:ascii="Arial" w:cs="Arial" w:hAnsi="Arial"/>
          <w:b/>
          <w:bCs/>
          <w:sz w:val="22"/>
          <w:szCs w:val="22"/>
        </w:rPr>
      </w:r>
    </w:p>
    <w:p>
      <w:pPr>
        <w:pStyle w:val="style0"/>
        <w:ind w:hanging="0" w:left="0" w:right="-468"/>
        <w:jc w:val="both"/>
      </w:pPr>
      <w:r>
        <w:rPr>
          <w:rFonts w:ascii="Arial" w:cs="Arial" w:hAnsi="Arial"/>
          <w:b/>
          <w:bCs/>
          <w:sz w:val="22"/>
          <w:szCs w:val="22"/>
        </w:rPr>
        <w:t>a</w:t>
      </w:r>
      <w:r>
        <w:rPr>
          <w:rFonts w:ascii="Arial" w:cs="Arial" w:hAnsi="Arial"/>
          <w:b/>
          <w:sz w:val="22"/>
          <w:szCs w:val="22"/>
        </w:rPr>
        <w:t>) Východiská pre zostavenie účtovnej závierky</w:t>
      </w:r>
    </w:p>
    <w:p>
      <w:pPr>
        <w:pStyle w:val="style0"/>
        <w:ind w:hanging="0" w:left="0" w:right="-468"/>
        <w:jc w:val="both"/>
      </w:pPr>
      <w:r>
        <w:rPr>
          <w:rFonts w:ascii="Arial" w:cs="Arial" w:hAnsi="Arial"/>
          <w:b/>
          <w:sz w:val="22"/>
          <w:szCs w:val="22"/>
        </w:rPr>
      </w:r>
    </w:p>
    <w:p>
      <w:pPr>
        <w:pStyle w:val="style0"/>
        <w:ind w:hanging="0" w:left="0" w:right="-468"/>
        <w:jc w:val="both"/>
      </w:pPr>
      <w:r>
        <w:rPr>
          <w:rFonts w:ascii="Arial" w:cs="Arial" w:hAnsi="Arial"/>
          <w:sz w:val="22"/>
          <w:szCs w:val="22"/>
        </w:rPr>
        <w:t>Účtovná závierka bola zostavená za predpokladu nepretržitého trvania účtovnej jednotky (going concern).</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sz w:val="22"/>
          <w:szCs w:val="22"/>
        </w:rPr>
        <w:t xml:space="preserve">Všeobecné účtovné zásady a metódy boli konzistentne aplikované do účtovníctva účtovnej jednotky. </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sz w:val="22"/>
          <w:szCs w:val="22"/>
        </w:rPr>
        <w:t>Účtovné metódy a všeobecné účtovné zásady boli účtovnou jednotkou konzistentne aplikované. Pre kolobeh dokladov má spoločnosť vypracované Pravidlá pre vedenie účtovníctva, Pravidlá pre účtovanie a evidenciu obstarania, oceňovania a spotreby zásob, kde sú použité metódy podrobne rozpracované.</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b/>
          <w:sz w:val="22"/>
          <w:szCs w:val="22"/>
        </w:rPr>
        <w:t>b) Dlhodobý nehmotný majetok a dlhodobý hmotný majetok</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sz w:val="22"/>
          <w:szCs w:val="22"/>
        </w:rPr>
        <w:t>Dlhodobý majetok nakupovaný sa oceňuje obstarávacou cenou, ktorá zahŕňa cenu obstarania a náklady súvisiace s obstaraním  (clo, prepravu, montáž, poistné, a pod.).</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sz w:val="22"/>
          <w:szCs w:val="22"/>
        </w:rPr>
        <w:t>Súčasťou obstarávacej ceny dlhodobého majetku od 1. januára 2003 nie sú úroky z cudzích zdrojov ani realizované kurzové rozdiely, ktoré vznikli do momentu uvedenia dlhodobého majetku do používania.</w:t>
      </w:r>
    </w:p>
    <w:p>
      <w:pPr>
        <w:pStyle w:val="style0"/>
        <w:ind w:hanging="0" w:left="0" w:right="-468"/>
        <w:jc w:val="both"/>
      </w:pPr>
      <w:r>
        <w:rPr>
          <w:rFonts w:ascii="Arial" w:cs="Arial" w:hAnsi="Arial"/>
          <w:sz w:val="22"/>
          <w:szCs w:val="22"/>
        </w:rPr>
        <w:t>Súčasťou obstarávacej ceny dlhodobého nehmotného majetku nie sú od 1. júla 2010 úroky z cudzích zdrojov, ktoré vznikli do momentu zaradenia dlhodobého nehmotného majetku do používania.</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sz w:val="22"/>
          <w:szCs w:val="22"/>
        </w:rPr>
        <w:t xml:space="preserve">Dlhodobý majetok vytvorený vlastnou činnosťou sa oceňuje vlastnými nákladmi. Vlastnými nákladmi sú všetky priame náklady vynaložené na výrobu alebo inú činnosť a nepriame náklady, ktoré sa vzťahujú na výrobu a alebo inú činnosť. </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sz w:val="22"/>
          <w:szCs w:val="22"/>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w:t>
      </w:r>
    </w:p>
    <w:p>
      <w:pPr>
        <w:pStyle w:val="style0"/>
        <w:ind w:hanging="0" w:left="0" w:right="-468"/>
        <w:jc w:val="both"/>
      </w:pPr>
      <w:r>
        <w:rPr>
          <w:rFonts w:ascii="Arial" w:cs="Arial" w:hAnsi="Arial"/>
          <w:sz w:val="22"/>
          <w:szCs w:val="22"/>
        </w:rPr>
        <w:t>odpisuje jednorazovo pri uvedení do používania. Predpokladaná doba používania, metóda odpisovania a odpisová sadzba sú uvedené v nasledovnom prehľade:</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sz w:val="22"/>
          <w:szCs w:val="22"/>
        </w:rPr>
        <w:t xml:space="preserve">                                                                   </w:t>
      </w:r>
      <w:r>
        <w:rPr>
          <w:rFonts w:ascii="Arial" w:cs="Arial" w:hAnsi="Arial"/>
          <w:sz w:val="22"/>
          <w:szCs w:val="22"/>
        </w:rPr>
        <w:t>Predpokladaná          Metóda                 Ročná odpisová</w:t>
      </w:r>
    </w:p>
    <w:p>
      <w:pPr>
        <w:pStyle w:val="style0"/>
        <w:ind w:hanging="0" w:left="0" w:right="-468"/>
        <w:jc w:val="both"/>
      </w:pPr>
      <w:r>
        <w:rPr>
          <w:rFonts w:ascii="Arial" w:cs="Arial" w:hAnsi="Arial"/>
          <w:sz w:val="22"/>
          <w:szCs w:val="22"/>
        </w:rPr>
        <w:t xml:space="preserve">                                                                   </w:t>
      </w:r>
      <w:r>
        <w:rPr>
          <w:rFonts w:ascii="Arial" w:cs="Arial" w:hAnsi="Arial"/>
          <w:sz w:val="22"/>
          <w:szCs w:val="22"/>
        </w:rPr>
        <w:t>doba používania        odpisovania          sadzba v %</w:t>
      </w:r>
    </w:p>
    <w:p>
      <w:pPr>
        <w:pStyle w:val="style0"/>
        <w:pBdr>
          <w:bottom w:color="00000A" w:space="0" w:sz="12" w:val="single"/>
        </w:pBdr>
        <w:ind w:hanging="0" w:left="0" w:right="-468"/>
        <w:jc w:val="both"/>
      </w:pPr>
      <w:r>
        <w:rPr>
          <w:rFonts w:ascii="Arial" w:cs="Arial" w:hAnsi="Arial"/>
          <w:sz w:val="22"/>
          <w:szCs w:val="22"/>
        </w:rPr>
        <w:t xml:space="preserve">                                                                    </w:t>
      </w:r>
      <w:r>
        <w:rPr>
          <w:rFonts w:ascii="Arial" w:cs="Arial" w:hAnsi="Arial"/>
          <w:sz w:val="22"/>
          <w:szCs w:val="22"/>
        </w:rPr>
        <w:t>v rokoch</w:t>
      </w:r>
    </w:p>
    <w:p>
      <w:pPr>
        <w:pStyle w:val="style0"/>
        <w:ind w:hanging="0" w:left="0" w:right="-468"/>
        <w:jc w:val="both"/>
      </w:pPr>
      <w:r>
        <w:rPr>
          <w:rFonts w:ascii="Arial" w:cs="Arial" w:hAnsi="Arial"/>
          <w:sz w:val="22"/>
          <w:szCs w:val="22"/>
        </w:rPr>
        <w:t>Softvér                                                               4                          lineárna                           25,0</w:t>
      </w:r>
    </w:p>
    <w:p>
      <w:pPr>
        <w:pStyle w:val="style0"/>
        <w:ind w:hanging="0" w:left="0" w:right="-468"/>
        <w:jc w:val="both"/>
      </w:pPr>
      <w:r>
        <w:rPr>
          <w:rFonts w:ascii="Arial" w:cs="Arial" w:hAnsi="Arial"/>
          <w:sz w:val="22"/>
          <w:szCs w:val="22"/>
        </w:rPr>
        <w:t>Oceniteľné práva (licencia)                                8                          lineárna                          12,5</w:t>
      </w:r>
    </w:p>
    <w:p>
      <w:pPr>
        <w:pStyle w:val="style0"/>
        <w:ind w:hanging="0" w:left="0" w:right="-468"/>
        <w:jc w:val="both"/>
      </w:pPr>
      <w:r>
        <w:rPr>
          <w:rFonts w:ascii="Arial" w:cs="Arial" w:hAnsi="Arial"/>
          <w:sz w:val="22"/>
          <w:szCs w:val="22"/>
        </w:rPr>
        <w:t>Drobný dlhodobý nehmotný majetok            rôzna                        jednorazový odpis         100,0</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sz w:val="22"/>
          <w:szCs w:val="22"/>
        </w:rPr>
        <w:t>Dlhodobý hmotný majetok sa začína odpisovať v mesiaci nasledujúcom kedy bol uvedený do 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nasledovnom prehľade:</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sz w:val="22"/>
          <w:szCs w:val="22"/>
        </w:rPr>
        <w:t xml:space="preserve">                                                                   </w:t>
      </w:r>
      <w:r>
        <w:rPr>
          <w:rFonts w:ascii="Arial" w:cs="Arial" w:hAnsi="Arial"/>
          <w:sz w:val="22"/>
          <w:szCs w:val="22"/>
        </w:rPr>
        <w:t>Predpokladaná          Metóda                 Ročná odpisová</w:t>
      </w:r>
    </w:p>
    <w:p>
      <w:pPr>
        <w:pStyle w:val="style0"/>
        <w:ind w:hanging="0" w:left="0" w:right="-468"/>
        <w:jc w:val="both"/>
      </w:pPr>
      <w:r>
        <w:rPr>
          <w:rFonts w:ascii="Arial" w:cs="Arial" w:hAnsi="Arial"/>
          <w:sz w:val="22"/>
          <w:szCs w:val="22"/>
        </w:rPr>
        <w:t xml:space="preserve">                                                                   </w:t>
      </w:r>
      <w:r>
        <w:rPr>
          <w:rFonts w:ascii="Arial" w:cs="Arial" w:hAnsi="Arial"/>
          <w:sz w:val="22"/>
          <w:szCs w:val="22"/>
        </w:rPr>
        <w:t>doba používania        odpisovania          sadzba v %</w:t>
      </w:r>
    </w:p>
    <w:p>
      <w:pPr>
        <w:pStyle w:val="style0"/>
        <w:pBdr>
          <w:bottom w:color="00000A" w:space="0" w:sz="12" w:val="single"/>
        </w:pBdr>
        <w:ind w:hanging="0" w:left="0" w:right="-468"/>
        <w:jc w:val="both"/>
      </w:pPr>
      <w:r>
        <w:rPr>
          <w:rFonts w:ascii="Arial" w:cs="Arial" w:hAnsi="Arial"/>
          <w:sz w:val="22"/>
          <w:szCs w:val="22"/>
        </w:rPr>
        <w:t xml:space="preserve">                                                                    </w:t>
      </w:r>
      <w:r>
        <w:rPr>
          <w:rFonts w:ascii="Arial" w:cs="Arial" w:hAnsi="Arial"/>
          <w:sz w:val="22"/>
          <w:szCs w:val="22"/>
        </w:rPr>
        <w:t>v rokoch</w:t>
      </w:r>
    </w:p>
    <w:p>
      <w:pPr>
        <w:pStyle w:val="style0"/>
        <w:ind w:hanging="0" w:left="0" w:right="-468"/>
        <w:jc w:val="both"/>
      </w:pPr>
      <w:r>
        <w:rPr>
          <w:rFonts w:ascii="Arial" w:cs="Arial" w:hAnsi="Arial"/>
          <w:sz w:val="22"/>
          <w:szCs w:val="22"/>
        </w:rPr>
        <w:t>Stavby                                                              20                         lineárna                              5,0</w:t>
      </w:r>
    </w:p>
    <w:p>
      <w:pPr>
        <w:pStyle w:val="style0"/>
        <w:ind w:hanging="0" w:left="0" w:right="-468"/>
        <w:jc w:val="both"/>
      </w:pPr>
      <w:r>
        <w:rPr>
          <w:rFonts w:ascii="Arial" w:cs="Arial" w:hAnsi="Arial"/>
          <w:sz w:val="22"/>
          <w:szCs w:val="22"/>
        </w:rPr>
        <w:t>Stroje, prístroje a zariadenia                              6                         lineárna                            16,7</w:t>
      </w:r>
    </w:p>
    <w:p>
      <w:pPr>
        <w:pStyle w:val="style0"/>
        <w:ind w:hanging="0" w:left="0" w:right="-468"/>
        <w:jc w:val="both"/>
      </w:pPr>
      <w:r>
        <w:rPr>
          <w:rFonts w:ascii="Arial" w:cs="Arial" w:hAnsi="Arial"/>
          <w:sz w:val="22"/>
          <w:szCs w:val="22"/>
        </w:rPr>
        <w:t>Dopravné prostriedky, osobné MV                     4                         lineárna                            25,0</w:t>
      </w:r>
    </w:p>
    <w:p>
      <w:pPr>
        <w:pStyle w:val="style0"/>
        <w:ind w:hanging="0" w:left="0" w:right="-468"/>
        <w:jc w:val="both"/>
      </w:pPr>
      <w:r>
        <w:rPr>
          <w:rFonts w:ascii="Arial" w:cs="Arial" w:hAnsi="Arial"/>
          <w:sz w:val="22"/>
          <w:szCs w:val="22"/>
        </w:rPr>
        <w:t>Dopravné prostriedky, nákladné MV                  6                         lineárna                            16,7</w:t>
      </w:r>
    </w:p>
    <w:p>
      <w:pPr>
        <w:pStyle w:val="style0"/>
        <w:ind w:hanging="0" w:left="0" w:right="-468"/>
        <w:jc w:val="both"/>
      </w:pPr>
      <w:r>
        <w:rPr>
          <w:rFonts w:ascii="Arial" w:cs="Arial" w:hAnsi="Arial"/>
          <w:sz w:val="22"/>
          <w:szCs w:val="22"/>
        </w:rPr>
        <w:t>Drobný dlhodobý hmotný majetok                   rôzna                     jednorazový odpis         100,0</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sz w:val="22"/>
          <w:szCs w:val="22"/>
        </w:rPr>
        <w:t>Pre obstaranie, zaradenie a odpisovanie dlhodobého majetku má spoločnosť vypracovanú vnútropodnikovú smernicu č. 7/2013 a č. 9/2013.</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sz w:val="22"/>
          <w:szCs w:val="22"/>
        </w:rPr>
        <w:t>O nákladoch na výskum a vývoj Spoločnosť jednotka neúčtuje.</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b/>
          <w:sz w:val="22"/>
          <w:szCs w:val="22"/>
        </w:rPr>
        <w:t>c) Cenné papiere a podiely</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sz w:val="22"/>
          <w:szCs w:val="22"/>
        </w:rPr>
        <w:t>Cenné papiere sa oceňujú obstarávacími cenami vrátane nákladov súvisiacich s obstaraním.</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b/>
          <w:sz w:val="22"/>
          <w:szCs w:val="22"/>
        </w:rPr>
        <w:t xml:space="preserve">d) Zásoby </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sz w:val="22"/>
          <w:szCs w:val="22"/>
        </w:rPr>
        <w:t>Zásoby sa oceňujú obstarávacou cenou (nakupované zásoby).</w:t>
      </w:r>
    </w:p>
    <w:p>
      <w:pPr>
        <w:pStyle w:val="style0"/>
        <w:ind w:hanging="0" w:left="0" w:right="-468"/>
        <w:jc w:val="both"/>
      </w:pPr>
      <w:r>
        <w:rPr>
          <w:rFonts w:ascii="Arial" w:cs="Arial" w:hAnsi="Arial"/>
          <w:sz w:val="22"/>
          <w:szCs w:val="22"/>
        </w:rPr>
        <w:t xml:space="preserve">Obstarávacia cena zahŕňa cenu zásob a náklady súvisiace s obstaraním (clo, poistné, doprava a pod.).Úroky z cudzích zdrojov nie sú súčasťou obstarávacej ceny. </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sz w:val="22"/>
          <w:szCs w:val="22"/>
        </w:rPr>
        <w:t xml:space="preserve">Nakupované zásoby sa oceňujú váženým aritmetickým priemerom z obstarávacích cien. </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sz w:val="22"/>
          <w:szCs w:val="22"/>
        </w:rPr>
        <w:t>Zníženie hodnoty zásob sa upravuje vytvorením  opravnej položky.</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b/>
          <w:sz w:val="22"/>
          <w:szCs w:val="22"/>
        </w:rPr>
        <w:t>e)  Zákazková výroba</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sz w:val="22"/>
          <w:szCs w:val="22"/>
        </w:rPr>
        <w:t>Spoločnosť  o zákazkovej výrobe neúčtuje.</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b/>
          <w:sz w:val="22"/>
          <w:szCs w:val="22"/>
        </w:rPr>
        <w:t xml:space="preserve">f)Zákazková výstavba nehnuteľností: </w:t>
      </w:r>
      <w:r>
        <w:rPr>
          <w:rFonts w:ascii="Arial" w:cs="Arial" w:hAnsi="Arial"/>
          <w:sz w:val="22"/>
          <w:szCs w:val="22"/>
        </w:rPr>
        <w:t>Spoločnosť o zákazkovej výstavbe nehnuteľností neúčtuje.</w:t>
      </w:r>
    </w:p>
    <w:p>
      <w:pPr>
        <w:pStyle w:val="style0"/>
        <w:ind w:hanging="0" w:left="0" w:right="-468"/>
        <w:jc w:val="both"/>
      </w:pPr>
      <w:r>
        <w:rPr>
          <w:rFonts w:ascii="Arial" w:cs="Arial" w:hAnsi="Arial"/>
          <w:b/>
          <w:sz w:val="22"/>
          <w:szCs w:val="22"/>
        </w:rPr>
      </w:r>
    </w:p>
    <w:p>
      <w:pPr>
        <w:pStyle w:val="style0"/>
        <w:ind w:hanging="0" w:left="0" w:right="-468"/>
        <w:jc w:val="both"/>
      </w:pPr>
      <w:r>
        <w:rPr>
          <w:rFonts w:ascii="Arial" w:cs="Arial" w:hAnsi="Arial"/>
          <w:b/>
          <w:sz w:val="22"/>
          <w:szCs w:val="22"/>
        </w:rPr>
        <w:t>g) Pohľadávky</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sz w:val="22"/>
          <w:szCs w:val="22"/>
        </w:rPr>
        <w:t>Pohľadávky pri ich vzniku sa oceňujú ich menovitou hodnotou, postúpené pohľadávky a pohľadávky nadobudnuté vkladom do základného imania sa oceňujú  obstarávacou cenou</w:t>
      </w:r>
    </w:p>
    <w:p>
      <w:pPr>
        <w:pStyle w:val="style0"/>
        <w:ind w:hanging="0" w:left="0" w:right="-468"/>
        <w:jc w:val="both"/>
      </w:pPr>
      <w:r>
        <w:rPr>
          <w:rFonts w:ascii="Arial" w:cs="Arial" w:hAnsi="Arial"/>
          <w:sz w:val="22"/>
          <w:szCs w:val="22"/>
        </w:rPr>
        <w:t>vrátane nákladov súvisiacich s obstaraním. Toto ocenenie sa znižuje o pochybné a nevymožiteľné pohľadávky.</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b/>
          <w:sz w:val="22"/>
          <w:szCs w:val="22"/>
        </w:rPr>
        <w:t>h) Peňažné prostriedky a ceniny</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sz w:val="22"/>
          <w:szCs w:val="22"/>
        </w:rPr>
        <w:t>Peňažné prostriedky a ceniny sa oceňujú ich menovitou hodnotou. Zníženie ich hodnoty sa vyjadruje opravnou položkou.</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b/>
          <w:sz w:val="22"/>
          <w:szCs w:val="22"/>
        </w:rPr>
        <w:t>i) Náklady budúcich období a príjmy budúcich období</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sz w:val="22"/>
          <w:szCs w:val="22"/>
        </w:rPr>
        <w:t>Náklady budúcich období sa príjmy budúcich období sa vykazujú vo výške, ktorá je potrebná na dodržanie zásady vecnej a časovej súvislosti s účtovným obdobím.</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b/>
          <w:sz w:val="22"/>
          <w:szCs w:val="22"/>
        </w:rPr>
        <w:t>j) Rezervy</w:t>
      </w:r>
    </w:p>
    <w:p>
      <w:pPr>
        <w:pStyle w:val="style40"/>
        <w:ind w:hanging="0" w:left="1080" w:right="-468"/>
        <w:jc w:val="both"/>
      </w:pPr>
      <w:r>
        <w:rPr>
          <w:rFonts w:ascii="Arial" w:cs="Arial" w:hAnsi="Arial"/>
          <w:sz w:val="22"/>
          <w:szCs w:val="22"/>
        </w:rPr>
      </w:r>
    </w:p>
    <w:p>
      <w:pPr>
        <w:pStyle w:val="style0"/>
        <w:ind w:hanging="0" w:left="0" w:right="-468"/>
        <w:jc w:val="both"/>
      </w:pPr>
      <w:r>
        <w:rPr>
          <w:rFonts w:ascii="Arial" w:cs="Arial" w:hAnsi="Arial"/>
          <w:sz w:val="22"/>
          <w:szCs w:val="22"/>
        </w:rPr>
        <w:t>Rezervy sú záväzky s neurčitým časovým vymedzením alebo výškou, tvoria sa na krytie známych rizík alebo strát z podnikania. Oceňujú sa v očakávanej výške záväzku.</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b/>
          <w:sz w:val="22"/>
          <w:szCs w:val="22"/>
        </w:rPr>
        <w:t>k) Záväzky</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b/>
          <w:sz w:val="22"/>
          <w:szCs w:val="22"/>
        </w:rPr>
        <w:t>l) Odložené dane</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sz w:val="22"/>
          <w:szCs w:val="22"/>
        </w:rPr>
        <w:t>Odložené dane (odložená daňová pohľadávka a odložený daňový záväzok) sa vzťahujú na:</w:t>
      </w:r>
    </w:p>
    <w:p>
      <w:pPr>
        <w:pStyle w:val="style40"/>
        <w:numPr>
          <w:ilvl w:val="0"/>
          <w:numId w:val="2"/>
        </w:numPr>
        <w:ind w:hanging="0" w:left="720" w:right="-468"/>
        <w:jc w:val="both"/>
      </w:pPr>
      <w:r>
        <w:rPr>
          <w:rFonts w:ascii="Arial" w:cs="Arial" w:hAnsi="Arial"/>
          <w:sz w:val="22"/>
          <w:szCs w:val="22"/>
        </w:rPr>
        <w:t>dočasné rozdiely medzi účtovnou hodnotou majetku a účtovnou hodnotou záväzku vykázanou v súvahe a ich daňovou základňou</w:t>
      </w:r>
    </w:p>
    <w:p>
      <w:pPr>
        <w:pStyle w:val="style40"/>
        <w:numPr>
          <w:ilvl w:val="0"/>
          <w:numId w:val="2"/>
        </w:numPr>
        <w:ind w:hanging="0" w:left="720" w:right="-468"/>
        <w:jc w:val="both"/>
      </w:pPr>
      <w:r>
        <w:rPr>
          <w:rFonts w:ascii="Arial" w:cs="Arial" w:hAnsi="Arial"/>
          <w:sz w:val="22"/>
          <w:szCs w:val="22"/>
        </w:rPr>
        <w:t>možnosť umorovať daňovú stratu v budúcnosti, ktorou sa rozumie možnosť odpočítať daňovú stratu o základu dane v budúcnosti</w:t>
      </w:r>
    </w:p>
    <w:p>
      <w:pPr>
        <w:pStyle w:val="style40"/>
        <w:numPr>
          <w:ilvl w:val="0"/>
          <w:numId w:val="2"/>
        </w:numPr>
        <w:ind w:hanging="0" w:left="720" w:right="-468"/>
        <w:jc w:val="both"/>
      </w:pPr>
      <w:r>
        <w:rPr>
          <w:rFonts w:ascii="Arial" w:cs="Arial" w:hAnsi="Arial"/>
          <w:sz w:val="22"/>
          <w:szCs w:val="22"/>
        </w:rPr>
        <w:t>možnosť previesť nevyužité daňové odpočty a iné daňové nároky do budúcich období.</w:t>
      </w:r>
    </w:p>
    <w:p>
      <w:pPr>
        <w:pStyle w:val="style40"/>
        <w:ind w:hanging="0" w:left="720" w:right="-468"/>
        <w:jc w:val="both"/>
      </w:pPr>
      <w:r>
        <w:rPr>
          <w:rFonts w:ascii="Arial" w:cs="Arial" w:hAnsi="Arial"/>
          <w:sz w:val="22"/>
          <w:szCs w:val="22"/>
        </w:rPr>
      </w:r>
    </w:p>
    <w:p>
      <w:pPr>
        <w:pStyle w:val="style0"/>
        <w:ind w:hanging="0" w:left="0" w:right="-468"/>
        <w:jc w:val="both"/>
      </w:pPr>
      <w:r>
        <w:rPr>
          <w:rFonts w:ascii="Arial" w:cs="Arial" w:hAnsi="Arial"/>
          <w:b/>
          <w:sz w:val="22"/>
          <w:szCs w:val="22"/>
        </w:rPr>
        <w:t>m) Výdavky budúcich období a výnosy budúcich období</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sz w:val="22"/>
          <w:szCs w:val="22"/>
        </w:rPr>
        <w:t>Výdavky budúcich období a výnosy budúcich období sa vykazujú vo výške, ktorá je potrebná na dodržanie zásady vecnej a časovej súvislosti s účtovným obdobím.</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b/>
          <w:sz w:val="22"/>
          <w:szCs w:val="22"/>
        </w:rPr>
        <w:t>n) Emisné kvóty</w:t>
      </w:r>
    </w:p>
    <w:p>
      <w:pPr>
        <w:pStyle w:val="style0"/>
        <w:ind w:hanging="0" w:left="0" w:right="-468"/>
        <w:jc w:val="both"/>
      </w:pPr>
      <w:r>
        <w:rPr>
          <w:rFonts w:ascii="Arial" w:cs="Arial" w:hAnsi="Arial"/>
          <w:b/>
          <w:sz w:val="22"/>
          <w:szCs w:val="22"/>
        </w:rPr>
      </w:r>
    </w:p>
    <w:p>
      <w:pPr>
        <w:pStyle w:val="style0"/>
        <w:ind w:hanging="0" w:left="0" w:right="-468"/>
        <w:jc w:val="both"/>
      </w:pPr>
      <w:r>
        <w:rPr>
          <w:rFonts w:ascii="Arial" w:cs="Arial" w:hAnsi="Arial"/>
          <w:sz w:val="22"/>
          <w:szCs w:val="22"/>
        </w:rPr>
        <w:t>Účtovná jednotka o emisných kvótach neúčtuje.</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b/>
          <w:sz w:val="22"/>
          <w:szCs w:val="22"/>
        </w:rPr>
        <w:t>o) Dotácie zo štátneho rozpočtu a rozpočtu EK</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sz w:val="22"/>
          <w:szCs w:val="22"/>
        </w:rPr>
        <w:t>O nároku na dotácie zo štátneho rozpočtu a rozpočtu EK sa účtuje, ak je takmer isté, že na základe splnených podmienok na poskytnutie dotácii sa Spoločnosti daná dotácia poskytne.</w:t>
      </w:r>
    </w:p>
    <w:p>
      <w:pPr>
        <w:pStyle w:val="style0"/>
        <w:ind w:hanging="0" w:left="0" w:right="-468"/>
        <w:jc w:val="both"/>
      </w:pPr>
      <w:r>
        <w:rPr>
          <w:rFonts w:ascii="Arial" w:cs="Arial" w:hAnsi="Arial"/>
          <w:sz w:val="22"/>
          <w:szCs w:val="22"/>
        </w:rPr>
        <w:t>Dotácie na obstaranie dlhodobého hmotného majetku sa najskôr vykazujú ako výnosy budúcich období a do výkazu ziskov a strát sa rozpúšťajú v časovej a vecnej súvislosti so zaúčtovaním odpisov z tohto majetku.</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b/>
          <w:sz w:val="22"/>
          <w:szCs w:val="22"/>
        </w:rPr>
        <w:t>p) Prenájom (lízing)</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sz w:val="22"/>
          <w:szCs w:val="22"/>
        </w:rPr>
        <w:t xml:space="preserve">Operatívny prenájom. Majetok prenajatý na základe operatívneho prenájmu vykazuje ako svoj majetok jeho vlastník nie nájomca. </w:t>
      </w:r>
    </w:p>
    <w:p>
      <w:pPr>
        <w:pStyle w:val="style0"/>
        <w:ind w:hanging="0" w:left="0" w:right="-468"/>
        <w:jc w:val="both"/>
      </w:pPr>
      <w:r>
        <w:rPr>
          <w:rFonts w:ascii="Arial" w:cs="Arial" w:hAnsi="Arial"/>
          <w:sz w:val="22"/>
          <w:szCs w:val="22"/>
        </w:rPr>
        <w:t>Finančný prenájom  ( s kúpnou opciou, bez kúpnej opcie je považovaný za operatívny prenájom). Majetok prenajatý na základe zmluvy vykazuje ako svoj majetok jeho nájomca, nie vlastník.</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sz w:val="22"/>
          <w:szCs w:val="22"/>
        </w:rPr>
        <w:t>Spoločnosť nemá záväzky z finančného prenájmu a o lízingu neúčtuje.</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b/>
          <w:sz w:val="22"/>
          <w:szCs w:val="22"/>
        </w:rPr>
        <w:t>q) Deriváty</w:t>
      </w:r>
    </w:p>
    <w:p>
      <w:pPr>
        <w:pStyle w:val="style0"/>
        <w:ind w:hanging="0" w:left="0" w:right="-468"/>
        <w:jc w:val="both"/>
      </w:pPr>
      <w:r>
        <w:rPr>
          <w:rFonts w:ascii="Arial" w:cs="Arial" w:hAnsi="Arial"/>
          <w:b/>
          <w:sz w:val="22"/>
          <w:szCs w:val="22"/>
        </w:rPr>
      </w:r>
    </w:p>
    <w:p>
      <w:pPr>
        <w:pStyle w:val="style0"/>
        <w:ind w:hanging="0" w:left="0" w:right="-468"/>
        <w:jc w:val="both"/>
      </w:pPr>
      <w:r>
        <w:rPr>
          <w:rFonts w:ascii="Arial" w:cs="Arial" w:hAnsi="Arial"/>
          <w:sz w:val="22"/>
          <w:szCs w:val="22"/>
        </w:rPr>
        <w:t>Spoločnosť jednotka o derivátoch neúčtuje.</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b/>
          <w:sz w:val="22"/>
          <w:szCs w:val="22"/>
        </w:rPr>
        <w:t>r) Majetok a záväzky zabezpečené derivátmi</w:t>
      </w:r>
    </w:p>
    <w:p>
      <w:pPr>
        <w:pStyle w:val="style0"/>
        <w:ind w:hanging="0" w:left="0" w:right="-468"/>
        <w:jc w:val="both"/>
      </w:pPr>
      <w:r>
        <w:rPr>
          <w:rFonts w:ascii="Arial" w:cs="Arial" w:hAnsi="Arial"/>
          <w:b/>
          <w:sz w:val="22"/>
          <w:szCs w:val="22"/>
        </w:rPr>
      </w:r>
    </w:p>
    <w:p>
      <w:pPr>
        <w:pStyle w:val="style0"/>
        <w:ind w:hanging="0" w:left="0" w:right="-468"/>
        <w:jc w:val="both"/>
      </w:pPr>
      <w:r>
        <w:rPr>
          <w:rFonts w:ascii="Arial" w:cs="Arial" w:hAnsi="Arial"/>
          <w:sz w:val="22"/>
          <w:szCs w:val="22"/>
        </w:rPr>
        <w:t>Spoločnosť o majetku a záväzkoch zabezpečených derivátmi neúčtuje.</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b/>
          <w:sz w:val="22"/>
          <w:szCs w:val="22"/>
        </w:rPr>
        <w:t>s) Cudzia mena</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sz w:val="22"/>
          <w:szCs w:val="22"/>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pPr>
        <w:pStyle w:val="style0"/>
        <w:ind w:hanging="0" w:left="0" w:right="-468"/>
        <w:jc w:val="both"/>
      </w:pPr>
      <w:r>
        <w:rPr>
          <w:rFonts w:ascii="Arial" w:cs="Arial" w:hAnsi="Arial"/>
          <w:sz w:val="22"/>
          <w:szCs w:val="22"/>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pPr>
        <w:pStyle w:val="style0"/>
        <w:ind w:hanging="0" w:left="0" w:right="-468"/>
        <w:jc w:val="both"/>
      </w:pPr>
      <w:r>
        <w:rPr>
          <w:rFonts w:ascii="Arial" w:cs="Arial" w:hAnsi="Arial"/>
          <w:sz w:val="22"/>
          <w:szCs w:val="22"/>
        </w:rPr>
        <w:t xml:space="preserve">Prijaté a poskytnuté preddavky v cudzej mene na účet zriadený v eurách a z účtu zriadeného v eurách sa prepočítavajú na menu euro kurzom, za ktorý boli tieto hodnoty nakúpené alebo predané. </w:t>
      </w:r>
    </w:p>
    <w:p>
      <w:pPr>
        <w:pStyle w:val="style0"/>
        <w:ind w:hanging="0" w:left="0" w:right="-468"/>
        <w:jc w:val="both"/>
      </w:pPr>
      <w:r>
        <w:rPr>
          <w:rFonts w:ascii="Arial" w:cs="Arial" w:hAnsi="Arial"/>
          <w:sz w:val="22"/>
          <w:szCs w:val="22"/>
        </w:rPr>
        <w:t xml:space="preserve">Prijaté a poskytnuté preddavky sa ku dňu, ku ktorému sa zostavuje účtovná závierka na menu euro neprepočítavajú. </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b/>
          <w:sz w:val="22"/>
          <w:szCs w:val="22"/>
        </w:rPr>
        <w:t>t) Výnosy</w:t>
      </w:r>
    </w:p>
    <w:p>
      <w:pPr>
        <w:pStyle w:val="style0"/>
        <w:ind w:hanging="0" w:left="0" w:right="-468"/>
        <w:jc w:val="both"/>
      </w:pPr>
      <w:r>
        <w:rPr>
          <w:rFonts w:ascii="Arial" w:cs="Arial" w:hAnsi="Arial"/>
          <w:b/>
          <w:sz w:val="22"/>
          <w:szCs w:val="22"/>
        </w:rPr>
      </w:r>
    </w:p>
    <w:p>
      <w:pPr>
        <w:pStyle w:val="style0"/>
        <w:ind w:hanging="0" w:left="0" w:right="-468"/>
        <w:jc w:val="both"/>
      </w:pPr>
      <w:r>
        <w:rPr>
          <w:rFonts w:ascii="Arial" w:cs="Arial" w:hAnsi="Arial"/>
          <w:sz w:val="22"/>
          <w:szCs w:val="22"/>
        </w:rPr>
        <w:t>Tržby za vlastné výkony a tovar neobsahujú daň z pridanej hodnoty</w:t>
      </w:r>
      <w:r>
        <w:rPr>
          <w:rFonts w:ascii="Arial" w:cs="Arial" w:hAnsi="Arial"/>
          <w:b/>
          <w:sz w:val="22"/>
          <w:szCs w:val="22"/>
        </w:rPr>
        <w:t xml:space="preserve">. </w:t>
      </w:r>
      <w:r>
        <w:rPr>
          <w:rFonts w:ascii="Arial" w:cs="Arial" w:hAnsi="Arial"/>
          <w:sz w:val="22"/>
          <w:szCs w:val="22"/>
        </w:rPr>
        <w:t>Sú tiež znížené o zľavy a zrážky bez ohľadu na to, či zákazník mal vopred na zľavu nárok, alebo či ide  o dodatočné uznanie.</w:t>
      </w:r>
    </w:p>
    <w:p>
      <w:pPr>
        <w:pStyle w:val="style0"/>
        <w:ind w:hanging="0" w:left="0" w:right="-468"/>
        <w:jc w:val="both"/>
      </w:pPr>
      <w:r>
        <w:rPr>
          <w:rFonts w:ascii="Arial" w:cs="Arial" w:hAnsi="Arial"/>
          <w:sz w:val="22"/>
          <w:szCs w:val="22"/>
        </w:rPr>
      </w:r>
    </w:p>
    <w:p>
      <w:pPr>
        <w:pStyle w:val="style2"/>
        <w:numPr>
          <w:ilvl w:val="1"/>
          <w:numId w:val="1"/>
        </w:numPr>
        <w:jc w:val="both"/>
      </w:pPr>
      <w:r>
        <w:rPr>
          <w:rFonts w:ascii="Arial" w:cs="Arial" w:hAnsi="Arial"/>
          <w:bCs w:val="false"/>
          <w:sz w:val="22"/>
          <w:szCs w:val="22"/>
        </w:rPr>
        <w:t>u) Informácie o oprave významných chýb</w:t>
      </w:r>
    </w:p>
    <w:p>
      <w:pPr>
        <w:pStyle w:val="style0"/>
      </w:pPr>
      <w:r>
        <w:rPr/>
      </w:r>
    </w:p>
    <w:p>
      <w:pPr>
        <w:pStyle w:val="style2"/>
        <w:numPr>
          <w:ilvl w:val="1"/>
          <w:numId w:val="1"/>
        </w:numPr>
        <w:jc w:val="left"/>
      </w:pPr>
      <w:r>
        <w:rPr>
          <w:rFonts w:ascii="Arial" w:cs="Arial" w:hAnsi="Arial"/>
          <w:b w:val="false"/>
          <w:bCs w:val="false"/>
          <w:sz w:val="22"/>
          <w:szCs w:val="22"/>
        </w:rPr>
        <w:t xml:space="preserve">Spoločnosť o oprave významných chýb minulých účtovných období s dopadom na výsledok hospodárenia v bežnom účtovnom období neúčtovala. </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b/>
          <w:bCs/>
          <w:sz w:val="22"/>
          <w:szCs w:val="22"/>
          <w:shd w:fill="FFFF00" w:val="clear"/>
        </w:rPr>
      </w:r>
    </w:p>
    <w:p>
      <w:pPr>
        <w:pStyle w:val="style0"/>
        <w:ind w:hanging="0" w:left="0" w:right="-468"/>
        <w:jc w:val="both"/>
      </w:pPr>
      <w:r>
        <w:rPr>
          <w:rFonts w:ascii="Arial" w:cs="Arial" w:hAnsi="Arial"/>
          <w:b/>
          <w:bCs/>
          <w:sz w:val="22"/>
          <w:szCs w:val="22"/>
        </w:rPr>
        <w:t>F. INFORMÁCIE O ÚDAJOCH NA STRANE AKTÍV SÚVAHY</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b/>
          <w:sz w:val="22"/>
          <w:szCs w:val="22"/>
        </w:rPr>
      </w:r>
    </w:p>
    <w:p>
      <w:pPr>
        <w:pStyle w:val="style0"/>
        <w:ind w:hanging="0" w:left="0" w:right="-468"/>
        <w:jc w:val="both"/>
      </w:pPr>
      <w:r>
        <w:rPr>
          <w:rFonts w:ascii="Arial" w:cs="Arial" w:hAnsi="Arial"/>
          <w:b/>
          <w:sz w:val="22"/>
          <w:szCs w:val="22"/>
        </w:rPr>
        <w:t>8. Dlhodobý nehmotný majetok a dlhodobý hmotný majetok</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b/>
          <w:sz w:val="22"/>
          <w:szCs w:val="22"/>
        </w:rPr>
        <w:t xml:space="preserve">a) </w:t>
      </w:r>
      <w:r>
        <w:rPr>
          <w:rFonts w:ascii="Arial" w:cs="Arial" w:hAnsi="Arial"/>
          <w:b/>
          <w:sz w:val="22"/>
          <w:szCs w:val="22"/>
          <w:u w:val="single"/>
        </w:rPr>
        <w:t xml:space="preserve">Dlhodobý </w:t>
      </w:r>
      <w:r>
        <w:rPr>
          <w:rFonts w:ascii="Arial" w:cs="Arial" w:hAnsi="Arial"/>
          <w:b/>
          <w:bCs/>
          <w:sz w:val="22"/>
          <w:szCs w:val="22"/>
          <w:u w:val="single"/>
        </w:rPr>
        <w:t>nehmotný majetok</w:t>
      </w:r>
      <w:r>
        <w:rPr>
          <w:rFonts w:ascii="Arial" w:cs="Arial" w:hAnsi="Arial"/>
          <w:sz w:val="22"/>
          <w:szCs w:val="22"/>
        </w:rPr>
        <w:t xml:space="preserve"> za bežné účtovné obdobie a za bezprostredne predchádzajúce účtovné obdobie sú uvedené v nasledujúcich tabuľkách:  </w:t>
      </w:r>
    </w:p>
    <w:p>
      <w:pPr>
        <w:pStyle w:val="style0"/>
      </w:pPr>
      <w:r>
        <w:rPr>
          <w:rFonts w:ascii="Arial" w:cs="Arial" w:hAnsi="Arial"/>
          <w:sz w:val="22"/>
          <w:szCs w:val="22"/>
        </w:rPr>
      </w:r>
    </w:p>
    <w:p>
      <w:pPr>
        <w:pStyle w:val="style0"/>
      </w:pPr>
      <w:r>
        <w:rPr>
          <w:rFonts w:ascii="Arial" w:cs="Arial" w:hAnsi="Arial"/>
          <w:sz w:val="22"/>
          <w:szCs w:val="22"/>
        </w:rPr>
      </w:r>
    </w:p>
    <w:p>
      <w:pPr>
        <w:pStyle w:val="style0"/>
      </w:pPr>
      <w:r>
        <w:rPr>
          <w:rFonts w:ascii="Arial" w:cs="Arial" w:hAnsi="Arial"/>
          <w:sz w:val="22"/>
          <w:szCs w:val="22"/>
        </w:rPr>
      </w:r>
    </w:p>
    <w:p>
      <w:pPr>
        <w:pStyle w:val="style0"/>
      </w:pPr>
      <w:r>
        <w:rPr>
          <w:rFonts w:ascii="Arial" w:cs="Arial" w:hAnsi="Arial"/>
          <w:sz w:val="22"/>
          <w:szCs w:val="22"/>
        </w:rPr>
      </w:r>
    </w:p>
    <w:p>
      <w:pPr>
        <w:pStyle w:val="style0"/>
      </w:pPr>
      <w:r>
        <w:rPr>
          <w:rFonts w:ascii="Arial" w:cs="Arial" w:hAnsi="Arial"/>
          <w:sz w:val="22"/>
          <w:szCs w:val="22"/>
        </w:rPr>
      </w:r>
    </w:p>
    <w:p>
      <w:pPr>
        <w:pStyle w:val="style0"/>
      </w:pPr>
      <w:r>
        <w:rPr>
          <w:rFonts w:ascii="Arial" w:cs="Arial" w:hAnsi="Arial"/>
          <w:sz w:val="22"/>
          <w:szCs w:val="22"/>
        </w:rPr>
      </w:r>
    </w:p>
    <w:p>
      <w:pPr>
        <w:pStyle w:val="style0"/>
      </w:pPr>
      <w:r>
        <w:rPr>
          <w:rFonts w:ascii="Arial" w:cs="Arial" w:hAnsi="Arial"/>
          <w:sz w:val="22"/>
          <w:szCs w:val="22"/>
        </w:rPr>
        <w:t>Tabuľka č. 1</w:t>
      </w:r>
    </w:p>
    <w:p>
      <w:pPr>
        <w:pStyle w:val="style0"/>
      </w:pPr>
      <w:bookmarkStart w:id="0" w:name="_MON_1455952626"/>
      <w:bookmarkEnd w:id="0"/>
      <w:r>
        <w:rPr/>
      </w:r>
    </w:p>
    <w:tbl>
      <w:tblPr>
        <w:jc w:val="left"/>
        <w:tblInd w:type="dxa" w:w="10"/>
        <w:tblBorders/>
      </w:tblPr>
      <w:tblGrid>
        <w:gridCol w:w="8299"/>
        <w:gridCol w:w="831"/>
      </w:tblGrid>
      <w:tr>
        <w:trPr>
          <w:trHeight w:hRule="atLeast" w:val="330"/>
          <w:cantSplit w:val="false"/>
        </w:trPr>
        <w:tc>
          <w:tcPr>
            <w:tcW w:type="dxa" w:w="8299"/>
            <w:tcBorders/>
            <w:shd w:fill="FFFFFF" w:val="clear"/>
            <w:tcMar>
              <w:top w:type="dxa" w:w="0"/>
              <w:left w:type="dxa" w:w="70"/>
              <w:bottom w:type="dxa" w:w="0"/>
              <w:right w:type="dxa" w:w="70"/>
            </w:tcMar>
            <w:vAlign w:val="bottom"/>
          </w:tcPr>
          <w:p>
            <w:pPr>
              <w:pStyle w:val="style0"/>
              <w:jc w:val="both"/>
            </w:pPr>
            <w:r>
              <w:rPr>
                <w:rFonts w:ascii="Arial" w:cs="Arial" w:hAnsi="Arial"/>
                <w:bCs/>
                <w:sz w:val="22"/>
                <w:szCs w:val="22"/>
              </w:rPr>
            </w:r>
          </w:p>
          <w:p>
            <w:pPr>
              <w:pStyle w:val="style0"/>
              <w:jc w:val="both"/>
            </w:pPr>
            <w:r>
              <w:rPr>
                <w:rFonts w:ascii="Arial" w:cs="Arial" w:hAnsi="Arial"/>
                <w:bCs/>
                <w:sz w:val="22"/>
                <w:szCs w:val="22"/>
              </w:rPr>
            </w:r>
          </w:p>
          <w:p>
            <w:pPr>
              <w:pStyle w:val="style0"/>
              <w:jc w:val="both"/>
            </w:pPr>
            <w:r>
              <w:rPr>
                <w:rFonts w:ascii="Arial" w:cs="Arial" w:hAnsi="Arial"/>
                <w:bCs/>
                <w:sz w:val="22"/>
                <w:szCs w:val="22"/>
              </w:rPr>
            </w:r>
          </w:p>
          <w:p>
            <w:pPr>
              <w:pStyle w:val="style0"/>
              <w:jc w:val="both"/>
            </w:pPr>
            <w:r>
              <w:rPr>
                <w:rFonts w:ascii="Arial" w:cs="Arial" w:hAnsi="Arial"/>
                <w:bCs/>
                <w:sz w:val="22"/>
                <w:szCs w:val="22"/>
              </w:rPr>
            </w:r>
          </w:p>
          <w:p>
            <w:pPr>
              <w:pStyle w:val="style0"/>
              <w:jc w:val="both"/>
            </w:pPr>
            <w:r>
              <w:rPr>
                <w:rFonts w:ascii="Arial" w:cs="Arial" w:hAnsi="Arial"/>
                <w:bCs/>
                <w:sz w:val="22"/>
                <w:szCs w:val="22"/>
              </w:rPr>
            </w:r>
          </w:p>
          <w:p>
            <w:pPr>
              <w:pStyle w:val="style0"/>
              <w:jc w:val="both"/>
            </w:pPr>
            <w:r>
              <w:rPr>
                <w:rFonts w:ascii="Arial" w:cs="Arial" w:hAnsi="Arial"/>
                <w:bCs/>
                <w:sz w:val="22"/>
                <w:szCs w:val="22"/>
              </w:rPr>
            </w:r>
          </w:p>
          <w:p>
            <w:pPr>
              <w:pStyle w:val="style0"/>
            </w:pPr>
            <w:r>
              <w:rPr>
                <w:rFonts w:ascii="Arial Narrow" w:cs="Calibri" w:hAnsi="Arial Narrow"/>
                <w:b/>
                <w:bCs/>
                <w:sz w:val="22"/>
                <w:szCs w:val="22"/>
              </w:rPr>
            </w:r>
          </w:p>
          <w:p>
            <w:pPr>
              <w:pStyle w:val="style0"/>
            </w:pPr>
            <w:r>
              <w:rPr>
                <w:rFonts w:ascii="Arial Narrow" w:cs="Calibri" w:hAnsi="Arial Narrow"/>
                <w:b/>
                <w:bCs/>
                <w:sz w:val="22"/>
                <w:szCs w:val="22"/>
              </w:rPr>
            </w:r>
          </w:p>
          <w:p>
            <w:pPr>
              <w:pStyle w:val="style0"/>
            </w:pPr>
            <w:r>
              <w:rPr>
                <w:rFonts w:ascii="Arial Narrow" w:cs="Calibri" w:hAnsi="Arial Narrow"/>
                <w:b/>
                <w:bCs/>
                <w:sz w:val="22"/>
                <w:szCs w:val="22"/>
              </w:rPr>
            </w:r>
          </w:p>
          <w:p>
            <w:pPr>
              <w:pStyle w:val="style0"/>
            </w:pPr>
            <w:r>
              <w:rPr>
                <w:rFonts w:ascii="Arial Narrow" w:cs="Calibri" w:hAnsi="Arial Narrow"/>
                <w:b/>
                <w:bCs/>
                <w:sz w:val="22"/>
                <w:szCs w:val="22"/>
              </w:rPr>
            </w:r>
          </w:p>
          <w:p>
            <w:pPr>
              <w:pStyle w:val="style0"/>
            </w:pPr>
            <w:r>
              <w:rPr>
                <w:rFonts w:ascii="Arial Narrow" w:cs="Calibri" w:hAnsi="Arial Narrow"/>
                <w:b/>
                <w:bCs/>
                <w:sz w:val="22"/>
                <w:szCs w:val="22"/>
              </w:rPr>
            </w:r>
          </w:p>
          <w:p>
            <w:pPr>
              <w:pStyle w:val="style0"/>
            </w:pPr>
            <w:r>
              <w:rPr>
                <w:rFonts w:ascii="Arial Narrow" w:cs="Calibri" w:hAnsi="Arial Narrow"/>
                <w:b/>
                <w:bCs/>
                <w:sz w:val="22"/>
                <w:szCs w:val="22"/>
              </w:rPr>
            </w:r>
          </w:p>
          <w:p>
            <w:pPr>
              <w:pStyle w:val="style0"/>
            </w:pPr>
            <w:r>
              <w:rPr>
                <w:rFonts w:ascii="Arial Narrow" w:cs="Calibri" w:hAnsi="Arial Narrow"/>
                <w:b/>
                <w:bCs/>
                <w:sz w:val="22"/>
                <w:szCs w:val="22"/>
              </w:rPr>
            </w:r>
          </w:p>
          <w:p>
            <w:pPr>
              <w:pStyle w:val="style0"/>
            </w:pPr>
            <w:r>
              <w:rPr>
                <w:rFonts w:ascii="Arial Narrow" w:cs="Calibri" w:hAnsi="Arial Narrow"/>
                <w:b/>
                <w:bCs/>
                <w:sz w:val="22"/>
                <w:szCs w:val="22"/>
              </w:rPr>
            </w:r>
          </w:p>
          <w:p>
            <w:pPr>
              <w:pStyle w:val="style0"/>
            </w:pPr>
            <w:r>
              <w:rPr>
                <w:rFonts w:ascii="Arial Narrow" w:cs="Calibri" w:hAnsi="Arial Narrow"/>
                <w:b/>
                <w:bCs/>
                <w:sz w:val="22"/>
                <w:szCs w:val="22"/>
              </w:rPr>
            </w:r>
          </w:p>
          <w:p>
            <w:pPr>
              <w:pStyle w:val="style0"/>
            </w:pPr>
            <w:r>
              <w:rPr>
                <w:rFonts w:ascii="Arial Narrow" w:cs="Calibri" w:hAnsi="Arial Narrow"/>
                <w:b/>
                <w:bCs/>
                <w:sz w:val="22"/>
                <w:szCs w:val="22"/>
              </w:rPr>
            </w:r>
          </w:p>
          <w:p>
            <w:pPr>
              <w:pStyle w:val="style0"/>
            </w:pPr>
            <w:r>
              <w:rPr>
                <w:rFonts w:ascii="Arial" w:cs="Arial" w:hAnsi="Arial"/>
                <w:bCs/>
                <w:sz w:val="22"/>
                <w:szCs w:val="22"/>
              </w:rPr>
              <w:t xml:space="preserve">Tabuľka č. 2 </w:t>
            </w:r>
            <w:bookmarkStart w:id="1" w:name="_MON_1455972293"/>
            <w:bookmarkEnd w:id="1"/>
            <w:r>
              <w:rPr/>
            </w:r>
          </w:p>
        </w:tc>
        <w:tc>
          <w:tcPr>
            <w:tcW w:type="dxa" w:w="831"/>
            <w:tcBorders/>
            <w:shd w:fill="FFFFFF" w:val="clear"/>
            <w:tcMar>
              <w:top w:type="dxa" w:w="0"/>
              <w:left w:type="dxa" w:w="70"/>
              <w:bottom w:type="dxa" w:w="0"/>
              <w:right w:type="dxa" w:w="70"/>
            </w:tcMar>
            <w:vAlign w:val="bottom"/>
          </w:tcPr>
          <w:p>
            <w:pPr>
              <w:pStyle w:val="style0"/>
            </w:pPr>
            <w:r>
              <w:rPr>
                <w:rFonts w:ascii="Arial Narrow" w:cs="Calibri" w:hAnsi="Arial Narrow"/>
                <w:b/>
                <w:bCs/>
                <w:sz w:val="22"/>
                <w:szCs w:val="22"/>
              </w:rPr>
            </w:r>
          </w:p>
        </w:tc>
      </w:tr>
    </w:tbl>
    <w:p>
      <w:pPr>
        <w:pStyle w:val="style0"/>
        <w:ind w:hanging="0" w:left="0" w:right="-468"/>
        <w:jc w:val="both"/>
      </w:pPr>
      <w:r>
        <w:rPr>
          <w:rFonts w:ascii="Arial" w:cs="Arial" w:hAnsi="Arial"/>
          <w:b/>
          <w:sz w:val="22"/>
          <w:szCs w:val="22"/>
        </w:rPr>
        <w:t xml:space="preserve">a) </w:t>
      </w:r>
      <w:r>
        <w:rPr>
          <w:rFonts w:ascii="Arial" w:cs="Arial" w:hAnsi="Arial"/>
          <w:b/>
          <w:sz w:val="22"/>
          <w:szCs w:val="22"/>
          <w:u w:val="single"/>
        </w:rPr>
        <w:t xml:space="preserve">Dlhodobý </w:t>
      </w:r>
      <w:r>
        <w:rPr>
          <w:rFonts w:ascii="Arial" w:cs="Arial" w:hAnsi="Arial"/>
          <w:b/>
          <w:bCs/>
          <w:sz w:val="22"/>
          <w:szCs w:val="22"/>
          <w:u w:val="single"/>
        </w:rPr>
        <w:t>hmotný majetok</w:t>
      </w:r>
      <w:r>
        <w:rPr>
          <w:rFonts w:ascii="Arial" w:cs="Arial" w:hAnsi="Arial"/>
          <w:sz w:val="22"/>
          <w:szCs w:val="22"/>
        </w:rPr>
        <w:t xml:space="preserve"> za bežné účtovné obdobie a za bezprostredne predchádzajúce účtovné obdobie sú uvedené v nasledujúcich tabuľkách:  </w:t>
      </w:r>
    </w:p>
    <w:p>
      <w:pPr>
        <w:pStyle w:val="style0"/>
        <w:ind w:hanging="0" w:left="0" w:right="-468"/>
        <w:jc w:val="both"/>
      </w:pPr>
      <w:r>
        <w:rPr>
          <w:rFonts w:ascii="Arial" w:cs="Arial" w:hAnsi="Arial"/>
          <w:sz w:val="22"/>
          <w:szCs w:val="22"/>
        </w:rPr>
        <w:t>Tabuľka č.1</w:t>
      </w:r>
    </w:p>
    <w:p>
      <w:pPr>
        <w:pStyle w:val="style0"/>
      </w:pPr>
      <w:bookmarkStart w:id="2" w:name="_MON_1457261994"/>
      <w:bookmarkEnd w:id="2"/>
      <w:r>
        <w:rPr/>
      </w:r>
    </w:p>
    <w:p>
      <w:pPr>
        <w:pStyle w:val="style0"/>
        <w:jc w:val="both"/>
      </w:pPr>
      <w:r>
        <w:rPr>
          <w:rFonts w:ascii="Arial" w:cs="Arial" w:hAnsi="Arial"/>
          <w:bCs/>
          <w:sz w:val="22"/>
          <w:szCs w:val="22"/>
        </w:rPr>
        <w:t>Spoločnosť  tvorila opravnú položku k dlhodobému hmotnému majetku k 31.12.2013 na účte 094-Opravná položka k obstaranému dlhodobému hmotnému majetku  celkom vo výške 43 191 EUR ( Čadca, prevádzková budova RPS, Zádubnie, rozšírenie vodovodu, Inžinierske siete Kysucké Nové Mesto IBV).</w:t>
      </w:r>
    </w:p>
    <w:p>
      <w:pPr>
        <w:pStyle w:val="style0"/>
        <w:jc w:val="both"/>
      </w:pPr>
      <w:r>
        <w:rPr>
          <w:rFonts w:ascii="Arial" w:cs="Arial" w:hAnsi="Arial"/>
          <w:sz w:val="22"/>
          <w:szCs w:val="22"/>
        </w:rPr>
      </w:r>
    </w:p>
    <w:p>
      <w:pPr>
        <w:pStyle w:val="style0"/>
        <w:jc w:val="both"/>
      </w:pPr>
      <w:r>
        <w:rPr>
          <w:rFonts w:ascii="Arial" w:cs="Arial" w:hAnsi="Arial"/>
          <w:sz w:val="22"/>
          <w:szCs w:val="22"/>
        </w:rPr>
      </w:r>
    </w:p>
    <w:p>
      <w:pPr>
        <w:pStyle w:val="style0"/>
        <w:jc w:val="both"/>
      </w:pPr>
      <w:r>
        <w:rPr>
          <w:rFonts w:ascii="Arial" w:cs="Arial" w:hAnsi="Arial"/>
          <w:sz w:val="22"/>
          <w:szCs w:val="22"/>
        </w:rPr>
        <w:t>Tabuľka č.2</w:t>
      </w:r>
    </w:p>
    <w:p>
      <w:pPr>
        <w:pStyle w:val="style0"/>
        <w:spacing w:after="120" w:before="0"/>
        <w:ind w:hanging="0" w:left="0" w:right="-471"/>
        <w:jc w:val="both"/>
      </w:pPr>
      <w:bookmarkStart w:id="3" w:name="_MON_1455901112"/>
      <w:bookmarkEnd w:id="3"/>
      <w:r>
        <w:rPr/>
      </w:r>
    </w:p>
    <w:p>
      <w:pPr>
        <w:pStyle w:val="style0"/>
      </w:pPr>
      <w:r>
        <w:rPr>
          <w:rFonts w:ascii="Arial" w:cs="Arial" w:hAnsi="Arial"/>
          <w:sz w:val="22"/>
          <w:szCs w:val="22"/>
        </w:rPr>
      </w:r>
    </w:p>
    <w:p>
      <w:pPr>
        <w:pStyle w:val="style0"/>
        <w:ind w:hanging="0" w:left="0" w:right="-468"/>
        <w:jc w:val="both"/>
      </w:pPr>
      <w:r>
        <w:rPr>
          <w:rFonts w:ascii="Arial" w:cs="Arial" w:hAnsi="Arial"/>
          <w:b/>
          <w:sz w:val="22"/>
          <w:szCs w:val="22"/>
        </w:rPr>
        <w:t xml:space="preserve">b) </w:t>
      </w:r>
      <w:r>
        <w:rPr>
          <w:rFonts w:ascii="Arial" w:cs="Arial" w:hAnsi="Arial"/>
          <w:b/>
          <w:sz w:val="22"/>
          <w:szCs w:val="22"/>
          <w:u w:val="single"/>
        </w:rPr>
        <w:t xml:space="preserve">Spôsob a výška poistenia dlhodobého nehmotného majetku a dlhodobého hmotného majetku </w:t>
      </w:r>
    </w:p>
    <w:p>
      <w:pPr>
        <w:pStyle w:val="style0"/>
        <w:ind w:hanging="0" w:left="0" w:right="-468"/>
        <w:jc w:val="both"/>
      </w:pPr>
      <w:r>
        <w:rPr>
          <w:rFonts w:ascii="Arial" w:cs="Arial" w:hAnsi="Arial"/>
          <w:sz w:val="22"/>
          <w:szCs w:val="22"/>
        </w:rPr>
        <w:t>Predmetom  poistenia je dlhodobý nehnuteľný majetok, povinné zmluvné poistenie za vedenie motorových vozidiel, havarijné poistenie motorových vozidiel, poistenie zodpovednosti za škodu členov štatutárnych orgánov. Účtovná jednotka má uzatvorené poistné zmluvy v Allianz- Slovenská poisťovňa a. s. Bratislava, Kooperatíva a. s. Bratislava a Komunálna poisťovňa a. s. Bratislava.</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sz w:val="22"/>
          <w:szCs w:val="22"/>
        </w:rPr>
        <w:t>Prehľad poistenia dlhodobého majetku:</w:t>
      </w:r>
    </w:p>
    <w:p>
      <w:pPr>
        <w:pStyle w:val="style0"/>
        <w:ind w:hanging="0" w:left="0" w:right="-468"/>
        <w:jc w:val="both"/>
      </w:pPr>
      <w:r>
        <w:rPr>
          <w:rFonts w:ascii="Arial" w:cs="Arial" w:hAnsi="Arial"/>
          <w:sz w:val="22"/>
          <w:szCs w:val="22"/>
        </w:rPr>
      </w:r>
    </w:p>
    <w:p>
      <w:pPr>
        <w:pStyle w:val="style0"/>
        <w:pBdr>
          <w:bottom w:color="00000A" w:space="0" w:sz="6" w:val="single"/>
        </w:pBdr>
        <w:ind w:hanging="0" w:left="0" w:right="-468"/>
        <w:jc w:val="both"/>
      </w:pPr>
      <w:r>
        <w:rPr>
          <w:rFonts w:ascii="Arial" w:cs="Arial" w:hAnsi="Arial"/>
          <w:sz w:val="20"/>
          <w:szCs w:val="20"/>
        </w:rPr>
        <w:t>Druh poistenia                                                                                                        Platnosť poistných zmlúv</w:t>
      </w:r>
    </w:p>
    <w:p>
      <w:pPr>
        <w:pStyle w:val="style0"/>
        <w:ind w:hanging="0" w:left="0" w:right="-468"/>
        <w:jc w:val="both"/>
      </w:pPr>
      <w:r>
        <w:rPr>
          <w:rFonts w:ascii="Arial" w:cs="Arial" w:hAnsi="Arial"/>
          <w:sz w:val="20"/>
          <w:szCs w:val="20"/>
        </w:rPr>
        <w:t>1. Povinné zmluvné poistenie motorových vozidiel</w:t>
        <w:tab/>
        <w:tab/>
        <w:tab/>
        <w:tab/>
        <w:t>01.01.2013 – 31.12.2013</w:t>
      </w:r>
    </w:p>
    <w:p>
      <w:pPr>
        <w:pStyle w:val="style0"/>
        <w:ind w:hanging="0" w:left="0" w:right="-468"/>
        <w:jc w:val="both"/>
      </w:pPr>
      <w:r>
        <w:rPr>
          <w:rFonts w:ascii="Arial" w:cs="Arial" w:hAnsi="Arial"/>
          <w:sz w:val="20"/>
          <w:szCs w:val="20"/>
        </w:rPr>
        <w:t xml:space="preserve">2. Havarijné poistenie motorových vozidiel                                                     </w:t>
        <w:tab/>
        <w:t>01.01.2013 – 31.12.2013</w:t>
      </w:r>
    </w:p>
    <w:p>
      <w:pPr>
        <w:pStyle w:val="style0"/>
        <w:ind w:hanging="0" w:left="0" w:right="-468"/>
        <w:jc w:val="both"/>
      </w:pPr>
      <w:r>
        <w:rPr>
          <w:rFonts w:ascii="Arial" w:cs="Arial" w:hAnsi="Arial"/>
          <w:sz w:val="20"/>
          <w:szCs w:val="20"/>
        </w:rPr>
        <w:t xml:space="preserve">3. Strojné a havarijné poistenie pojazdných strojov a zariadení                        </w:t>
        <w:tab/>
        <w:t xml:space="preserve">03.12.2013 zmluva zrušená </w:t>
      </w:r>
    </w:p>
    <w:p>
      <w:pPr>
        <w:pStyle w:val="style0"/>
        <w:ind w:hanging="0" w:left="0" w:right="-468"/>
        <w:jc w:val="both"/>
      </w:pPr>
      <w:r>
        <w:rPr>
          <w:rFonts w:ascii="Arial" w:cs="Arial" w:hAnsi="Arial"/>
          <w:sz w:val="20"/>
          <w:szCs w:val="20"/>
        </w:rPr>
        <w:t xml:space="preserve">4. Poistenie elektroniky-infračervený spektrometer                                           </w:t>
        <w:tab/>
        <w:t>01.01.2011 -  31.12.2013</w:t>
      </w:r>
    </w:p>
    <w:p>
      <w:pPr>
        <w:pStyle w:val="style0"/>
        <w:ind w:hanging="0" w:left="0" w:right="-468"/>
        <w:jc w:val="both"/>
      </w:pPr>
      <w:r>
        <w:rPr>
          <w:rFonts w:ascii="Arial" w:cs="Arial" w:hAnsi="Arial"/>
          <w:sz w:val="20"/>
          <w:szCs w:val="20"/>
        </w:rPr>
        <w:t xml:space="preserve">5. Poistenie majetku proti riziku živelnej pohromy, krádeže, vandalizmu          </w:t>
        <w:tab/>
        <w:t>01.08.2008 – trvá</w:t>
      </w:r>
    </w:p>
    <w:p>
      <w:pPr>
        <w:pStyle w:val="style0"/>
        <w:ind w:hanging="0" w:left="0" w:right="-468"/>
        <w:jc w:val="both"/>
      </w:pPr>
      <w:r>
        <w:rPr>
          <w:rFonts w:ascii="Arial" w:cs="Arial" w:hAnsi="Arial"/>
          <w:sz w:val="20"/>
          <w:szCs w:val="20"/>
        </w:rPr>
        <w:t xml:space="preserve">    </w:t>
      </w:r>
      <w:r>
        <w:rPr>
          <w:rFonts w:ascii="Arial" w:cs="Arial" w:hAnsi="Arial"/>
          <w:sz w:val="20"/>
          <w:szCs w:val="20"/>
        </w:rPr>
        <w:t>(ISPA Žilina, záloh k ÚZ č. 7/2004 VÚB a. s. Primabanka Slovensko a. s.)</w:t>
      </w:r>
    </w:p>
    <w:p>
      <w:pPr>
        <w:pStyle w:val="style0"/>
        <w:ind w:hanging="0" w:left="0" w:right="-468"/>
        <w:jc w:val="both"/>
      </w:pPr>
      <w:r>
        <w:rPr>
          <w:rFonts w:ascii="Arial" w:cs="Arial" w:hAnsi="Arial"/>
          <w:sz w:val="20"/>
          <w:szCs w:val="20"/>
        </w:rPr>
        <w:t xml:space="preserve">6. Poistenie majetku proti riziku živelnej pohromy, krádeže, vandalizmu                 </w:t>
      </w:r>
    </w:p>
    <w:p>
      <w:pPr>
        <w:pStyle w:val="style0"/>
        <w:ind w:hanging="0" w:left="0" w:right="-468"/>
        <w:jc w:val="both"/>
      </w:pPr>
      <w:r>
        <w:rPr>
          <w:rFonts w:ascii="Arial" w:cs="Arial" w:hAnsi="Arial"/>
          <w:sz w:val="20"/>
          <w:szCs w:val="20"/>
        </w:rPr>
        <w:t xml:space="preserve">    </w:t>
      </w:r>
      <w:r>
        <w:rPr>
          <w:rFonts w:ascii="Arial" w:cs="Arial" w:hAnsi="Arial"/>
          <w:sz w:val="20"/>
          <w:szCs w:val="20"/>
        </w:rPr>
        <w:t xml:space="preserve">(Čadca III. tlakové pásmo a Terchová, Krivánska Rizňa II.etapa)                 </w:t>
        <w:tab/>
        <w:t>.01.01.2009 - trvá</w:t>
      </w:r>
    </w:p>
    <w:p>
      <w:pPr>
        <w:pStyle w:val="style0"/>
        <w:ind w:hanging="0" w:left="0" w:right="-468"/>
        <w:jc w:val="both"/>
      </w:pPr>
      <w:r>
        <w:rPr>
          <w:rFonts w:ascii="Arial" w:cs="Arial" w:hAnsi="Arial"/>
          <w:sz w:val="20"/>
          <w:szCs w:val="20"/>
        </w:rPr>
        <w:t xml:space="preserve">7. Poistenie majetku proti riziku živelnej pohromy, krádeže, vandalizmu                 </w:t>
      </w:r>
    </w:p>
    <w:p>
      <w:pPr>
        <w:pStyle w:val="style0"/>
        <w:ind w:hanging="0" w:left="0" w:right="-468"/>
        <w:jc w:val="both"/>
      </w:pPr>
      <w:r>
        <w:rPr>
          <w:rFonts w:ascii="Arial" w:cs="Arial" w:hAnsi="Arial"/>
          <w:sz w:val="20"/>
          <w:szCs w:val="20"/>
        </w:rPr>
        <w:t xml:space="preserve">    </w:t>
      </w:r>
      <w:r>
        <w:rPr>
          <w:rFonts w:ascii="Arial" w:cs="Arial" w:hAnsi="Arial"/>
          <w:sz w:val="20"/>
          <w:szCs w:val="20"/>
        </w:rPr>
        <w:t xml:space="preserve">z projektu Dodávka pitnej vody a odkanalizovanie  Horných Kysúc            </w:t>
        <w:tab/>
        <w:t xml:space="preserve"> 01.03.2010 – trvá</w:t>
      </w:r>
    </w:p>
    <w:p>
      <w:pPr>
        <w:pStyle w:val="style0"/>
        <w:ind w:hanging="0" w:left="0" w:right="-468"/>
        <w:jc w:val="both"/>
      </w:pPr>
      <w:r>
        <w:rPr>
          <w:rFonts w:ascii="Arial" w:cs="Arial" w:hAnsi="Arial"/>
          <w:sz w:val="20"/>
          <w:szCs w:val="20"/>
        </w:rPr>
        <w:t xml:space="preserve">8. Poistenie zodpovednosti voči tretím osobám                                               </w:t>
        <w:tab/>
        <w:t xml:space="preserve"> 01.05.2009 – trvá</w:t>
      </w:r>
    </w:p>
    <w:p>
      <w:pPr>
        <w:pStyle w:val="style0"/>
        <w:ind w:hanging="0" w:left="0" w:right="-468"/>
        <w:jc w:val="both"/>
      </w:pPr>
      <w:r>
        <w:rPr>
          <w:rFonts w:ascii="Arial" w:cs="Arial" w:hAnsi="Arial"/>
          <w:sz w:val="20"/>
          <w:szCs w:val="20"/>
        </w:rPr>
        <w:t xml:space="preserve">9. Poistenie zodpovednosti za škodu spôsobenú členmi orgánov spoločnosti </w:t>
        <w:tab/>
        <w:t xml:space="preserve"> 01.08.2011 -  trvá</w:t>
      </w:r>
    </w:p>
    <w:p>
      <w:pPr>
        <w:pStyle w:val="style0"/>
        <w:ind w:hanging="0" w:left="0" w:right="-468"/>
        <w:jc w:val="both"/>
      </w:pPr>
      <w:r>
        <w:rPr>
          <w:rFonts w:ascii="Arial" w:cs="Arial" w:hAnsi="Arial"/>
          <w:sz w:val="20"/>
          <w:szCs w:val="20"/>
        </w:rPr>
        <w:t xml:space="preserve">10. Poistenie majetku, Verejná kanalizácia a ČOV Rajec                                 </w:t>
        <w:tab/>
        <w:t xml:space="preserve"> 01.06.2012 – trvá </w:t>
      </w:r>
    </w:p>
    <w:p>
      <w:pPr>
        <w:pStyle w:val="style0"/>
        <w:ind w:hanging="0" w:left="0" w:right="-468"/>
        <w:jc w:val="both"/>
      </w:pPr>
      <w:r>
        <w:rPr>
          <w:rFonts w:ascii="Arial" w:cs="Arial" w:hAnsi="Arial"/>
          <w:sz w:val="20"/>
          <w:szCs w:val="20"/>
        </w:rPr>
        <w:t>11. Poistenie majetku, Trnové- Kanalizácia                                                            01.10.2013 – trvá</w:t>
      </w:r>
    </w:p>
    <w:p>
      <w:pPr>
        <w:pStyle w:val="style0"/>
        <w:ind w:hanging="0" w:left="0" w:right="-468"/>
        <w:jc w:val="both"/>
      </w:pPr>
      <w:r>
        <w:rPr>
          <w:rFonts w:ascii="Arial" w:cs="Arial" w:hAnsi="Arial"/>
          <w:sz w:val="20"/>
          <w:szCs w:val="20"/>
        </w:rPr>
        <w:t xml:space="preserve">12. Poistenie majetku, SČOV Žilina, Intenzifikácia                                                 01.10.2013 -  trvá </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b/>
          <w:sz w:val="22"/>
          <w:szCs w:val="22"/>
        </w:rPr>
      </w:r>
    </w:p>
    <w:p>
      <w:pPr>
        <w:pStyle w:val="style0"/>
        <w:ind w:hanging="0" w:left="0" w:right="-468"/>
        <w:jc w:val="both"/>
      </w:pPr>
      <w:r>
        <w:rPr>
          <w:rFonts w:ascii="Arial" w:cs="Arial" w:hAnsi="Arial"/>
          <w:b/>
          <w:sz w:val="22"/>
          <w:szCs w:val="22"/>
        </w:rPr>
        <w:t>c.1)</w:t>
      </w:r>
      <w:r>
        <w:rPr>
          <w:rFonts w:ascii="Arial" w:cs="Arial" w:hAnsi="Arial"/>
          <w:sz w:val="22"/>
          <w:szCs w:val="22"/>
        </w:rPr>
        <w:t xml:space="preserve"> </w:t>
      </w:r>
      <w:r>
        <w:rPr>
          <w:rFonts w:ascii="Arial" w:cs="Arial" w:hAnsi="Arial"/>
          <w:b/>
          <w:sz w:val="22"/>
          <w:szCs w:val="22"/>
          <w:u w:val="single"/>
        </w:rPr>
        <w:t xml:space="preserve">Dlhodobý </w:t>
      </w:r>
      <w:r>
        <w:rPr>
          <w:rFonts w:ascii="Arial" w:cs="Arial" w:hAnsi="Arial"/>
          <w:b/>
          <w:bCs/>
          <w:sz w:val="22"/>
          <w:szCs w:val="22"/>
          <w:u w:val="single"/>
        </w:rPr>
        <w:t>nehmotný majetok</w:t>
      </w:r>
      <w:r>
        <w:rPr>
          <w:rFonts w:ascii="Arial" w:cs="Arial" w:hAnsi="Arial"/>
          <w:b/>
          <w:sz w:val="22"/>
          <w:szCs w:val="22"/>
          <w:u w:val="single"/>
        </w:rPr>
        <w:t>, na ktorý je zriadené záložné právo a dlhodobý nehmotný majetok, pri ktorom má účtovná jednotka obmedzené právo s ním nakladať</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sz w:val="22"/>
          <w:szCs w:val="22"/>
        </w:rPr>
        <w:t>Spoločnosť nemá na dlhodobý nehmotný majetok zriadené záložné právo ani obmedzené právo s ním nakladať.</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b/>
          <w:sz w:val="22"/>
          <w:szCs w:val="22"/>
        </w:rPr>
        <w:t xml:space="preserve">c.2) </w:t>
      </w:r>
      <w:r>
        <w:rPr>
          <w:rFonts w:ascii="Arial" w:cs="Arial" w:hAnsi="Arial"/>
          <w:b/>
          <w:sz w:val="22"/>
          <w:szCs w:val="22"/>
          <w:u w:val="single"/>
        </w:rPr>
        <w:t xml:space="preserve">Dlhodobý </w:t>
      </w:r>
      <w:r>
        <w:rPr>
          <w:rFonts w:ascii="Arial" w:cs="Arial" w:hAnsi="Arial"/>
          <w:b/>
          <w:bCs/>
          <w:sz w:val="22"/>
          <w:szCs w:val="22"/>
          <w:u w:val="single"/>
        </w:rPr>
        <w:t>hmotný majetok</w:t>
      </w:r>
      <w:r>
        <w:rPr>
          <w:rFonts w:ascii="Arial" w:cs="Arial" w:hAnsi="Arial"/>
          <w:b/>
          <w:sz w:val="22"/>
          <w:szCs w:val="22"/>
          <w:u w:val="single"/>
        </w:rPr>
        <w:t xml:space="preserve">, na ktorý je zriadené záložné právo a dlhodobý hmotný majetok, pri ktorom má účtovná jednotka obmedzené právo s ním nakladať </w:t>
      </w:r>
    </w:p>
    <w:p>
      <w:pPr>
        <w:pStyle w:val="style0"/>
        <w:ind w:hanging="0" w:left="0" w:right="-468"/>
        <w:jc w:val="both"/>
      </w:pPr>
      <w:r>
        <w:rPr>
          <w:rFonts w:ascii="Arial" w:cs="Arial" w:hAnsi="Arial"/>
          <w:sz w:val="22"/>
          <w:szCs w:val="22"/>
        </w:rPr>
      </w:r>
    </w:p>
    <w:p>
      <w:pPr>
        <w:pStyle w:val="style0"/>
        <w:spacing w:after="120" w:before="0"/>
        <w:ind w:hanging="0" w:left="0" w:right="-471"/>
        <w:jc w:val="both"/>
      </w:pPr>
      <w:r>
        <w:rPr>
          <w:rFonts w:ascii="Arial" w:cs="Arial" w:hAnsi="Arial"/>
          <w:sz w:val="22"/>
          <w:szCs w:val="22"/>
        </w:rPr>
        <w:t>Informácie o založenom dlhodobom hmotnom majetku sú v nasledujúcej tabuľke:</w:t>
      </w:r>
    </w:p>
    <w:p>
      <w:pPr>
        <w:pStyle w:val="style0"/>
        <w:spacing w:after="120" w:before="0"/>
        <w:ind w:hanging="0" w:left="0" w:right="-471"/>
        <w:jc w:val="both"/>
      </w:pPr>
      <w:r>
        <w:rPr>
          <w:rFonts w:ascii="Arial" w:cs="Arial" w:hAnsi="Arial"/>
          <w:sz w:val="22"/>
          <w:szCs w:val="22"/>
          <w:u w:val="single"/>
        </w:rPr>
      </w:r>
    </w:p>
    <w:tbl>
      <w:tblPr>
        <w:jc w:val="left"/>
        <w:tblInd w:type="dxa" w:w="10"/>
        <w:tblBorders/>
      </w:tblPr>
      <w:tblGrid>
        <w:gridCol w:w="8626"/>
      </w:tblGrid>
      <w:tr>
        <w:trPr>
          <w:trHeight w:hRule="atLeast" w:val="330"/>
          <w:cantSplit w:val="false"/>
        </w:trPr>
        <w:tc>
          <w:tcPr>
            <w:tcW w:type="dxa" w:w="8626"/>
            <w:tcBorders/>
            <w:shd w:fill="FFFFFF" w:val="clear"/>
            <w:tcMar>
              <w:top w:type="dxa" w:w="0"/>
              <w:left w:type="dxa" w:w="70"/>
              <w:bottom w:type="dxa" w:w="0"/>
              <w:right w:type="dxa" w:w="70"/>
            </w:tcMar>
            <w:vAlign w:val="bottom"/>
          </w:tcPr>
          <w:tbl>
            <w:tblPr>
              <w:jc w:val="left"/>
              <w:tblInd w:type="dxa" w:w="-50"/>
              <w:tblBorders/>
            </w:tblPr>
            <w:tblGrid>
              <w:gridCol w:w="8971"/>
            </w:tblGrid>
            <w:tr>
              <w:trPr>
                <w:trHeight w:hRule="atLeast" w:val="330"/>
                <w:cantSplit w:val="false"/>
              </w:trPr>
              <w:tc>
                <w:tcPr>
                  <w:tcW w:type="dxa" w:w="8971"/>
                  <w:tcBorders/>
                  <w:shd w:fill="FFFFFF" w:val="clear"/>
                  <w:tcMar>
                    <w:top w:type="dxa" w:w="0"/>
                    <w:left w:type="dxa" w:w="70"/>
                    <w:bottom w:type="dxa" w:w="0"/>
                    <w:right w:type="dxa" w:w="70"/>
                  </w:tcMar>
                  <w:vAlign w:val="bottom"/>
                </w:tcPr>
                <w:p>
                  <w:pPr>
                    <w:pStyle w:val="style0"/>
                  </w:pPr>
                  <w:bookmarkStart w:id="4" w:name="_MON_1455958206"/>
                  <w:bookmarkEnd w:id="4"/>
                  <w:r>
                    <w:rPr/>
                  </w:r>
                </w:p>
              </w:tc>
            </w:tr>
            <w:tr>
              <w:trPr>
                <w:trHeight w:hRule="atLeast" w:val="330"/>
                <w:cantSplit w:val="false"/>
              </w:trPr>
              <w:tc>
                <w:tcPr>
                  <w:tcW w:type="dxa" w:w="8971"/>
                  <w:tcBorders/>
                  <w:shd w:fill="FFFFFF" w:val="clear"/>
                  <w:tcMar>
                    <w:top w:type="dxa" w:w="0"/>
                    <w:left w:type="dxa" w:w="70"/>
                    <w:bottom w:type="dxa" w:w="0"/>
                    <w:right w:type="dxa" w:w="70"/>
                  </w:tcMar>
                  <w:vAlign w:val="bottom"/>
                </w:tcPr>
                <w:p>
                  <w:pPr>
                    <w:pStyle w:val="style0"/>
                  </w:pPr>
                  <w:r>
                    <w:rPr>
                      <w:rFonts w:ascii="Arial Narrow" w:cs="Calibri" w:hAnsi="Arial Narrow"/>
                      <w:b/>
                      <w:bCs/>
                      <w:sz w:val="22"/>
                      <w:szCs w:val="22"/>
                    </w:rPr>
                  </w:r>
                </w:p>
              </w:tc>
            </w:tr>
          </w:tbl>
          <w:p>
            <w:pPr>
              <w:pStyle w:val="style0"/>
            </w:pPr>
            <w:r>
              <w:rPr>
                <w:rFonts w:ascii="Arial Narrow" w:cs="Calibri" w:hAnsi="Arial Narrow"/>
                <w:b/>
                <w:bCs/>
                <w:sz w:val="22"/>
                <w:szCs w:val="22"/>
              </w:rPr>
            </w:r>
          </w:p>
        </w:tc>
      </w:tr>
    </w:tbl>
    <w:p>
      <w:pPr>
        <w:pStyle w:val="style0"/>
        <w:jc w:val="both"/>
      </w:pPr>
      <w:r>
        <w:rPr>
          <w:rFonts w:ascii="Arial" w:cs="Arial" w:hAnsi="Arial"/>
          <w:sz w:val="22"/>
          <w:szCs w:val="22"/>
        </w:rPr>
        <w:t xml:space="preserve">Účtová jednotka okrem založeného dlhodobého majetku k poskytnutým úverom nemá iné obmedzenia v práve s nakladaním majetku. Spoločnosť užíva nevysporiadané pozemky, ktoré sú v riešení v rámci majetkovo-právneho vysporiadania. </w:t>
      </w:r>
    </w:p>
    <w:p>
      <w:pPr>
        <w:pStyle w:val="style0"/>
        <w:jc w:val="both"/>
      </w:pPr>
      <w:r>
        <w:rPr>
          <w:rFonts w:ascii="Arial" w:cs="Arial" w:hAnsi="Arial"/>
          <w:sz w:val="22"/>
          <w:szCs w:val="22"/>
        </w:rPr>
      </w:r>
    </w:p>
    <w:p>
      <w:pPr>
        <w:pStyle w:val="style0"/>
        <w:jc w:val="both"/>
      </w:pPr>
      <w:r>
        <w:rPr>
          <w:rFonts w:ascii="Arial" w:cs="Arial" w:hAnsi="Arial"/>
          <w:sz w:val="22"/>
          <w:szCs w:val="22"/>
          <w:u w:val="single"/>
        </w:rPr>
        <w:t>Popis záložných práv k dlhodobému hmotnému majetku</w:t>
      </w:r>
      <w:r>
        <w:rPr>
          <w:rFonts w:ascii="Arial" w:cs="Arial" w:hAnsi="Arial"/>
          <w:sz w:val="22"/>
          <w:szCs w:val="22"/>
        </w:rPr>
        <w:t>:</w:t>
      </w:r>
    </w:p>
    <w:p>
      <w:pPr>
        <w:pStyle w:val="style0"/>
        <w:jc w:val="both"/>
      </w:pPr>
      <w:r>
        <w:rPr>
          <w:rFonts w:ascii="Arial" w:cs="Arial" w:hAnsi="Arial"/>
          <w:sz w:val="22"/>
          <w:szCs w:val="22"/>
        </w:rPr>
      </w:r>
    </w:p>
    <w:p>
      <w:pPr>
        <w:pStyle w:val="style0"/>
        <w:jc w:val="both"/>
      </w:pPr>
      <w:r>
        <w:rPr>
          <w:rFonts w:ascii="Arial" w:cs="Arial" w:hAnsi="Arial"/>
          <w:b/>
          <w:sz w:val="22"/>
          <w:szCs w:val="22"/>
        </w:rPr>
        <w:t xml:space="preserve">1. </w:t>
      </w:r>
      <w:r>
        <w:rPr>
          <w:rFonts w:ascii="Arial" w:cs="Arial" w:hAnsi="Arial"/>
          <w:sz w:val="22"/>
          <w:szCs w:val="22"/>
        </w:rPr>
        <w:t>Zmluva o zriadení záložného práva k ÚZ č. 7/2004: záložné právo je zriadené na nehnuteľný majetok v prospech VÚB a .s. Bratislava a Prima banka Slovensko, a. s. Žilina. Hodnota založeného nehnuteľného majetku je na základe znaleckého posudku č. 6/2006: 9 506 738,37 EUR ( 286 400 000 Sk prepočítané konverzným kurzom 30,126).</w:t>
      </w:r>
    </w:p>
    <w:p>
      <w:pPr>
        <w:pStyle w:val="style0"/>
        <w:jc w:val="both"/>
      </w:pPr>
      <w:r>
        <w:rPr>
          <w:rFonts w:ascii="Arial" w:cs="Arial" w:hAnsi="Arial"/>
          <w:sz w:val="22"/>
          <w:szCs w:val="22"/>
        </w:rPr>
        <w:t>Charakter založeného majetku: ČOV Rajec, Prevádzková budova Rajecké Teplice, SKV Nová Bystrica- Čadca a Žilina.</w:t>
      </w:r>
    </w:p>
    <w:p>
      <w:pPr>
        <w:pStyle w:val="style0"/>
        <w:jc w:val="both"/>
      </w:pPr>
      <w:r>
        <w:rPr>
          <w:rFonts w:ascii="Arial" w:cs="Arial" w:hAnsi="Arial"/>
          <w:b/>
          <w:sz w:val="22"/>
          <w:szCs w:val="22"/>
        </w:rPr>
        <w:t>2.</w:t>
      </w:r>
      <w:r>
        <w:rPr>
          <w:rFonts w:ascii="Arial" w:cs="Arial" w:hAnsi="Arial"/>
          <w:sz w:val="22"/>
          <w:szCs w:val="22"/>
        </w:rPr>
        <w:t xml:space="preserve"> Zmluva o zriadení záložného práva k nehnuteľnostiam č. 9594-2005/1: záložné právo je zriadené na nehnuteľný majetok v prospech Slovenskej záručnej a rozvojovej banky a. s. Bratislava. Hodnota založeného nehnuteľného majetku je na základe znaleckého posudku č. 15/2007: 3 203 213,17 EUR (96 500 000 Sk prepočítané konverzným kurzom 30,126). Charakter založeného majetku: Areál ČOV Čadca, zastavané plochy a nádvoria, prevádzková budova, strojovňa plynojemu, trafostanica vrátane pozemkov.</w:t>
      </w:r>
    </w:p>
    <w:p>
      <w:pPr>
        <w:pStyle w:val="style0"/>
        <w:jc w:val="both"/>
      </w:pPr>
      <w:r>
        <w:rPr>
          <w:rFonts w:ascii="Arial" w:cs="Arial" w:hAnsi="Arial"/>
          <w:b/>
          <w:sz w:val="22"/>
          <w:szCs w:val="22"/>
        </w:rPr>
        <w:t>3.</w:t>
      </w:r>
      <w:r>
        <w:rPr>
          <w:rFonts w:ascii="Arial" w:cs="Arial" w:hAnsi="Arial"/>
          <w:sz w:val="22"/>
          <w:szCs w:val="22"/>
        </w:rPr>
        <w:t xml:space="preserve"> Zmluva o zriadení záložného práva k nehnuteľnostiam nezapísaným do KN  č. UVE  95-94-2005/2 v prospech Slovenskej záručnej a rozvojovej banky a. s. Bratislava zapísané v Notárskom centrálnom registri záložných práv pod č. 1468/2008. Charakter založeného majetku: oplotenie, vonkajšie úpravy, iné stavby.</w:t>
      </w:r>
    </w:p>
    <w:p>
      <w:pPr>
        <w:pStyle w:val="style0"/>
        <w:jc w:val="both"/>
      </w:pPr>
      <w:r>
        <w:rPr>
          <w:rFonts w:ascii="Arial" w:cs="Arial" w:hAnsi="Arial"/>
          <w:b/>
          <w:sz w:val="22"/>
          <w:szCs w:val="22"/>
        </w:rPr>
        <w:t>4.</w:t>
      </w:r>
      <w:r>
        <w:rPr>
          <w:rFonts w:ascii="Arial" w:cs="Arial" w:hAnsi="Arial"/>
          <w:sz w:val="22"/>
          <w:szCs w:val="22"/>
        </w:rPr>
        <w:t xml:space="preserve"> Zmluva o zriadení záložného práva k hnuteľným veciam č. 6178/11/44698.Hodnota založeného hnuteľného majetku je  103 397 259,48 EUR v prospech ČSOB a .s. Bratislava ako zabezpečenie úveru č. 6177/11/44698.</w:t>
      </w:r>
    </w:p>
    <w:p>
      <w:pPr>
        <w:pStyle w:val="style0"/>
        <w:jc w:val="both"/>
      </w:pPr>
      <w:r>
        <w:rPr>
          <w:rFonts w:ascii="Arial" w:cs="Arial" w:hAnsi="Arial"/>
          <w:sz w:val="22"/>
          <w:szCs w:val="22"/>
        </w:rPr>
      </w:r>
    </w:p>
    <w:p>
      <w:pPr>
        <w:pStyle w:val="style0"/>
        <w:jc w:val="both"/>
      </w:pPr>
      <w:r>
        <w:rPr>
          <w:rFonts w:ascii="Arial" w:cs="Arial" w:hAnsi="Arial"/>
          <w:sz w:val="22"/>
          <w:szCs w:val="22"/>
        </w:rPr>
      </w:r>
    </w:p>
    <w:p>
      <w:pPr>
        <w:pStyle w:val="style0"/>
        <w:jc w:val="both"/>
      </w:pPr>
      <w:r>
        <w:rPr>
          <w:rFonts w:ascii="Arial" w:cs="Arial" w:hAnsi="Arial"/>
          <w:b/>
          <w:sz w:val="22"/>
          <w:szCs w:val="22"/>
        </w:rPr>
        <w:t xml:space="preserve">d) </w:t>
      </w:r>
      <w:r>
        <w:rPr>
          <w:rFonts w:ascii="Arial" w:cs="Arial" w:hAnsi="Arial"/>
          <w:b/>
          <w:sz w:val="22"/>
          <w:szCs w:val="22"/>
          <w:u w:val="single"/>
        </w:rPr>
        <w:t>Dlhodobý majetok, pri ktorom vlastnícke právo nadobudol veriteľ zmluvou o zabezpečovacom prevode práva, ale ktorý užíva účtovná jednotka na základe zmluvy o výpožičke</w:t>
      </w:r>
    </w:p>
    <w:p>
      <w:pPr>
        <w:pStyle w:val="style0"/>
        <w:jc w:val="both"/>
      </w:pPr>
      <w:r>
        <w:rPr>
          <w:rFonts w:ascii="Arial" w:cs="Arial" w:hAnsi="Arial"/>
          <w:sz w:val="22"/>
          <w:szCs w:val="22"/>
        </w:rPr>
      </w:r>
    </w:p>
    <w:p>
      <w:pPr>
        <w:pStyle w:val="style0"/>
        <w:jc w:val="both"/>
      </w:pPr>
      <w:r>
        <w:rPr>
          <w:rFonts w:ascii="Arial" w:cs="Arial" w:hAnsi="Arial"/>
          <w:sz w:val="22"/>
          <w:szCs w:val="22"/>
        </w:rPr>
        <w:t xml:space="preserve">Spoločnosť neúčtuje o dlhodobom majetku, ku ktorému nadobudla vlastnícke právo zmluvou o zabezpečovacom prevode práva a  tento užíva na základe zmluvy o výpožičke. </w:t>
      </w:r>
    </w:p>
    <w:p>
      <w:pPr>
        <w:pStyle w:val="style0"/>
        <w:jc w:val="both"/>
      </w:pPr>
      <w:r>
        <w:rPr>
          <w:rFonts w:ascii="Arial" w:cs="Arial" w:hAnsi="Arial"/>
          <w:sz w:val="22"/>
          <w:szCs w:val="22"/>
        </w:rPr>
      </w:r>
    </w:p>
    <w:p>
      <w:pPr>
        <w:pStyle w:val="style0"/>
        <w:jc w:val="both"/>
      </w:pPr>
      <w:r>
        <w:rPr>
          <w:rFonts w:ascii="Arial" w:cs="Arial" w:hAnsi="Arial"/>
          <w:b/>
          <w:sz w:val="22"/>
          <w:szCs w:val="22"/>
        </w:rPr>
        <w:t>e)</w:t>
      </w:r>
      <w:r>
        <w:rPr>
          <w:rFonts w:ascii="Arial" w:cs="Arial" w:hAnsi="Arial"/>
          <w:sz w:val="22"/>
          <w:szCs w:val="22"/>
        </w:rPr>
        <w:t xml:space="preserve"> </w:t>
      </w:r>
      <w:r>
        <w:rPr>
          <w:rFonts w:ascii="Arial" w:cs="Arial" w:hAnsi="Arial"/>
          <w:b/>
          <w:sz w:val="22"/>
          <w:szCs w:val="22"/>
          <w:u w:val="single"/>
        </w:rPr>
        <w:t>Nadobudnutý dlhodobý nehnuteľný majetok</w:t>
      </w:r>
      <w:r>
        <w:rPr>
          <w:rFonts w:ascii="Arial" w:cs="Arial" w:hAnsi="Arial"/>
          <w:sz w:val="22"/>
          <w:szCs w:val="22"/>
        </w:rPr>
        <w:t xml:space="preserve"> alebo prevedený dlhodobý nehnuteľný majetok, pri ktorom nebolo vlastnícke právo zapísané vkladom do katastra nehnuteľností do dňa, ku ktorému sa zostavuje účtovná závierka, pričom účtovná jednotka tento majetok užíva. Spoločnosť využíva dlhodobý hmotný majetok obcí a miest na základe dlhodobých nájomných zmlúv.</w:t>
      </w:r>
    </w:p>
    <w:p>
      <w:pPr>
        <w:pStyle w:val="style0"/>
        <w:jc w:val="both"/>
      </w:pPr>
      <w:r>
        <w:rPr>
          <w:rFonts w:ascii="Arial" w:cs="Arial" w:hAnsi="Arial"/>
          <w:sz w:val="22"/>
          <w:szCs w:val="22"/>
        </w:rPr>
      </w:r>
    </w:p>
    <w:p>
      <w:pPr>
        <w:pStyle w:val="style0"/>
        <w:jc w:val="both"/>
      </w:pPr>
      <w:r>
        <w:rPr>
          <w:rFonts w:ascii="Arial" w:cs="Arial" w:hAnsi="Arial"/>
          <w:b/>
          <w:sz w:val="22"/>
          <w:szCs w:val="22"/>
        </w:rPr>
        <w:t xml:space="preserve">f) </w:t>
      </w:r>
      <w:r>
        <w:rPr>
          <w:rFonts w:ascii="Arial" w:cs="Arial" w:hAnsi="Arial"/>
          <w:b/>
          <w:sz w:val="22"/>
          <w:szCs w:val="22"/>
          <w:u w:val="single"/>
        </w:rPr>
        <w:t>Majetok, ktorým je goodwill</w:t>
      </w:r>
      <w:r>
        <w:rPr>
          <w:rFonts w:ascii="Arial" w:cs="Arial" w:hAnsi="Arial"/>
          <w:sz w:val="22"/>
          <w:szCs w:val="22"/>
        </w:rPr>
        <w:t xml:space="preserve"> a o spôsobe výpočtu jeho hodnoty:</w:t>
      </w:r>
    </w:p>
    <w:p>
      <w:pPr>
        <w:pStyle w:val="style0"/>
        <w:jc w:val="both"/>
      </w:pPr>
      <w:r>
        <w:rPr>
          <w:rFonts w:ascii="Arial" w:cs="Arial" w:hAnsi="Arial"/>
          <w:sz w:val="22"/>
          <w:szCs w:val="22"/>
        </w:rPr>
      </w:r>
    </w:p>
    <w:p>
      <w:pPr>
        <w:pStyle w:val="style0"/>
        <w:jc w:val="both"/>
      </w:pPr>
      <w:r>
        <w:rPr>
          <w:rFonts w:ascii="Arial" w:cs="Arial" w:hAnsi="Arial"/>
          <w:sz w:val="22"/>
          <w:szCs w:val="22"/>
        </w:rPr>
        <w:t>Spoločnosť goodwill neúčtuje.</w:t>
      </w:r>
    </w:p>
    <w:p>
      <w:pPr>
        <w:pStyle w:val="style0"/>
        <w:jc w:val="both"/>
      </w:pPr>
      <w:r>
        <w:rPr>
          <w:rFonts w:ascii="Arial" w:cs="Arial" w:hAnsi="Arial"/>
          <w:sz w:val="22"/>
          <w:szCs w:val="22"/>
        </w:rPr>
        <w:t xml:space="preserve"> </w:t>
      </w:r>
    </w:p>
    <w:p>
      <w:pPr>
        <w:pStyle w:val="style0"/>
        <w:jc w:val="both"/>
      </w:pPr>
      <w:r>
        <w:rPr>
          <w:rFonts w:ascii="Arial" w:cs="Arial" w:hAnsi="Arial"/>
          <w:b/>
          <w:sz w:val="22"/>
          <w:szCs w:val="22"/>
        </w:rPr>
        <w:t>g)</w:t>
      </w:r>
      <w:r>
        <w:rPr>
          <w:rFonts w:ascii="Arial" w:cs="Arial" w:hAnsi="Arial"/>
          <w:b/>
          <w:sz w:val="22"/>
          <w:szCs w:val="22"/>
          <w:u w:val="single"/>
        </w:rPr>
        <w:t xml:space="preserve"> Údaje, ktoré sa účtujú na účte 097 – Opravná položka k nadobudnutému majetku</w:t>
      </w:r>
    </w:p>
    <w:p>
      <w:pPr>
        <w:pStyle w:val="style0"/>
        <w:jc w:val="both"/>
      </w:pPr>
      <w:r>
        <w:rPr>
          <w:rFonts w:ascii="Arial" w:cs="Arial" w:hAnsi="Arial"/>
          <w:sz w:val="22"/>
          <w:szCs w:val="22"/>
        </w:rPr>
        <w:t xml:space="preserve"> </w:t>
      </w:r>
    </w:p>
    <w:p>
      <w:pPr>
        <w:pStyle w:val="style0"/>
        <w:jc w:val="both"/>
      </w:pPr>
      <w:r>
        <w:rPr>
          <w:rFonts w:ascii="Arial" w:cs="Arial" w:hAnsi="Arial"/>
          <w:sz w:val="22"/>
          <w:szCs w:val="22"/>
        </w:rPr>
        <w:t>Spoločnosť neúčtuje o opravnej položke k nadobudnutému majetku.</w:t>
      </w:r>
    </w:p>
    <w:p>
      <w:pPr>
        <w:pStyle w:val="style0"/>
        <w:jc w:val="both"/>
      </w:pPr>
      <w:r>
        <w:rPr>
          <w:rFonts w:ascii="Arial" w:cs="Arial" w:hAnsi="Arial"/>
          <w:sz w:val="22"/>
          <w:szCs w:val="22"/>
        </w:rPr>
      </w:r>
    </w:p>
    <w:p>
      <w:pPr>
        <w:pStyle w:val="style0"/>
        <w:spacing w:after="120" w:before="0"/>
        <w:jc w:val="both"/>
      </w:pPr>
      <w:r>
        <w:rPr>
          <w:rFonts w:ascii="Arial" w:cs="Arial" w:hAnsi="Arial"/>
          <w:b/>
          <w:sz w:val="22"/>
          <w:szCs w:val="22"/>
        </w:rPr>
        <w:t xml:space="preserve">h) </w:t>
      </w:r>
      <w:r>
        <w:rPr>
          <w:rFonts w:ascii="Arial" w:cs="Arial" w:hAnsi="Arial"/>
          <w:b/>
          <w:sz w:val="22"/>
          <w:szCs w:val="22"/>
          <w:u w:val="single"/>
        </w:rPr>
        <w:t>Výskumná a vývojová činnosť účtovnej jednotky za bežné účtovné obdobie</w:t>
      </w:r>
      <w:r>
        <w:rPr>
          <w:rFonts w:ascii="Arial" w:cs="Arial" w:hAnsi="Arial"/>
          <w:sz w:val="22"/>
          <w:szCs w:val="22"/>
        </w:rPr>
        <w:t xml:space="preserve">  </w:t>
      </w:r>
    </w:p>
    <w:p>
      <w:pPr>
        <w:pStyle w:val="style0"/>
        <w:jc w:val="both"/>
      </w:pPr>
      <w:r>
        <w:rPr>
          <w:rFonts w:ascii="Arial" w:cs="Arial" w:hAnsi="Arial"/>
          <w:sz w:val="22"/>
          <w:szCs w:val="22"/>
        </w:rPr>
      </w:r>
    </w:p>
    <w:p>
      <w:pPr>
        <w:pStyle w:val="style0"/>
        <w:jc w:val="both"/>
      </w:pPr>
      <w:r>
        <w:rPr>
          <w:rFonts w:ascii="Arial" w:cs="Arial" w:hAnsi="Arial"/>
          <w:sz w:val="22"/>
          <w:szCs w:val="22"/>
        </w:rPr>
        <w:t>Členenie nákladov:</w:t>
      </w:r>
    </w:p>
    <w:p>
      <w:pPr>
        <w:pStyle w:val="style0"/>
        <w:jc w:val="both"/>
      </w:pPr>
      <w:r>
        <w:rPr>
          <w:rFonts w:ascii="Arial" w:cs="Arial" w:hAnsi="Arial"/>
          <w:sz w:val="22"/>
          <w:szCs w:val="22"/>
        </w:rPr>
      </w:r>
    </w:p>
    <w:p>
      <w:pPr>
        <w:pStyle w:val="style0"/>
        <w:jc w:val="both"/>
      </w:pPr>
      <w:r>
        <w:rPr>
          <w:rFonts w:ascii="Arial" w:cs="Arial" w:hAnsi="Arial"/>
          <w:sz w:val="22"/>
          <w:szCs w:val="22"/>
        </w:rPr>
        <w:t>1.  Náklady na výskum v bežnom účtovnom období.</w:t>
      </w:r>
    </w:p>
    <w:p>
      <w:pPr>
        <w:pStyle w:val="style0"/>
        <w:jc w:val="both"/>
      </w:pPr>
      <w:r>
        <w:rPr>
          <w:rFonts w:ascii="Arial" w:cs="Arial" w:hAnsi="Arial"/>
          <w:sz w:val="22"/>
          <w:szCs w:val="22"/>
        </w:rPr>
        <w:t>2.  Neaktivované náklady na vývoj v bežnom účtovnom období.</w:t>
      </w:r>
    </w:p>
    <w:p>
      <w:pPr>
        <w:pStyle w:val="style0"/>
        <w:jc w:val="both"/>
      </w:pPr>
      <w:r>
        <w:rPr>
          <w:rFonts w:ascii="Arial" w:cs="Arial" w:hAnsi="Arial"/>
          <w:sz w:val="22"/>
          <w:szCs w:val="22"/>
        </w:rPr>
        <w:t>3.  Aktivované náklady na vývoj v bežnom účtovnom období.</w:t>
      </w:r>
    </w:p>
    <w:p>
      <w:pPr>
        <w:pStyle w:val="style0"/>
        <w:jc w:val="both"/>
      </w:pPr>
      <w:r>
        <w:rPr>
          <w:rFonts w:ascii="Arial" w:cs="Arial" w:hAnsi="Arial"/>
          <w:sz w:val="22"/>
          <w:szCs w:val="22"/>
        </w:rPr>
      </w:r>
    </w:p>
    <w:p>
      <w:pPr>
        <w:pStyle w:val="style0"/>
        <w:jc w:val="both"/>
      </w:pPr>
      <w:r>
        <w:rPr>
          <w:rFonts w:ascii="Arial" w:cs="Arial" w:hAnsi="Arial"/>
          <w:sz w:val="22"/>
          <w:szCs w:val="22"/>
        </w:rPr>
        <w:t>Spoločnosť v období od 1.1.2013 do 31.12.2013 o uvedených nákladoch neúčtovala.</w:t>
      </w:r>
    </w:p>
    <w:p>
      <w:pPr>
        <w:pStyle w:val="style0"/>
        <w:jc w:val="both"/>
      </w:pPr>
      <w:r>
        <w:rPr>
          <w:rFonts w:ascii="Arial" w:cs="Arial" w:hAnsi="Arial"/>
          <w:sz w:val="22"/>
          <w:szCs w:val="22"/>
        </w:rPr>
      </w:r>
    </w:p>
    <w:p>
      <w:pPr>
        <w:pStyle w:val="style0"/>
        <w:jc w:val="both"/>
      </w:pPr>
      <w:r>
        <w:rPr>
          <w:rFonts w:ascii="Arial" w:cs="Arial" w:hAnsi="Arial"/>
          <w:b/>
          <w:sz w:val="22"/>
          <w:szCs w:val="22"/>
        </w:rPr>
        <w:t>i)</w:t>
      </w:r>
      <w:r>
        <w:rPr>
          <w:rFonts w:ascii="Arial" w:cs="Arial" w:hAnsi="Arial"/>
          <w:sz w:val="22"/>
          <w:szCs w:val="22"/>
        </w:rPr>
        <w:t xml:space="preserve"> </w:t>
      </w:r>
      <w:r>
        <w:rPr>
          <w:rFonts w:ascii="Arial" w:cs="Arial" w:hAnsi="Arial"/>
          <w:b/>
          <w:sz w:val="22"/>
          <w:szCs w:val="22"/>
          <w:u w:val="single"/>
        </w:rPr>
        <w:t>Štruktúra dlhodobého finančného majetku</w:t>
      </w:r>
      <w:r>
        <w:rPr>
          <w:rFonts w:ascii="Arial" w:cs="Arial" w:hAnsi="Arial"/>
          <w:sz w:val="22"/>
          <w:szCs w:val="22"/>
        </w:rPr>
        <w:t xml:space="preserve"> za bežné účtovné obdobie a jeho umiestnenie v členení podľa    jednotlivých položiek súvahy je uvedené v nasledujúcej tabuľke:</w:t>
      </w:r>
    </w:p>
    <w:p>
      <w:pPr>
        <w:pStyle w:val="style0"/>
        <w:jc w:val="both"/>
      </w:pPr>
      <w:r>
        <w:rPr>
          <w:rFonts w:ascii="Arial" w:cs="Arial" w:hAnsi="Arial"/>
          <w:sz w:val="22"/>
          <w:szCs w:val="22"/>
        </w:rPr>
      </w:r>
    </w:p>
    <w:p>
      <w:pPr>
        <w:pStyle w:val="style0"/>
        <w:jc w:val="both"/>
      </w:pPr>
      <w:bookmarkStart w:id="5" w:name="_MON_1457450932"/>
      <w:bookmarkEnd w:id="5"/>
      <w:r>
        <w:rPr/>
      </w:r>
    </w:p>
    <w:p>
      <w:pPr>
        <w:pStyle w:val="style0"/>
      </w:pPr>
      <w:r>
        <w:rPr>
          <w:rFonts w:ascii="Arial" w:cs="Arial" w:hAnsi="Arial"/>
          <w:b/>
          <w:sz w:val="22"/>
          <w:szCs w:val="22"/>
        </w:rPr>
      </w:r>
    </w:p>
    <w:p>
      <w:pPr>
        <w:pStyle w:val="style0"/>
      </w:pPr>
      <w:r>
        <w:rPr>
          <w:rFonts w:ascii="Arial" w:cs="Arial" w:hAnsi="Arial"/>
          <w:b/>
          <w:sz w:val="22"/>
          <w:szCs w:val="22"/>
        </w:rPr>
        <w:t xml:space="preserve">j) </w:t>
      </w:r>
      <w:r>
        <w:rPr>
          <w:rFonts w:ascii="Arial" w:cs="Arial" w:hAnsi="Arial"/>
          <w:b/>
          <w:sz w:val="22"/>
          <w:szCs w:val="22"/>
          <w:u w:val="single"/>
        </w:rPr>
        <w:t>Obstarávacia cena zložiek</w:t>
      </w:r>
      <w:r>
        <w:rPr>
          <w:rFonts w:ascii="Arial" w:cs="Arial" w:hAnsi="Arial"/>
          <w:b/>
          <w:sz w:val="22"/>
          <w:szCs w:val="22"/>
        </w:rPr>
        <w:t xml:space="preserve"> </w:t>
      </w:r>
      <w:r>
        <w:rPr>
          <w:rFonts w:ascii="Arial" w:cs="Arial" w:hAnsi="Arial"/>
          <w:b/>
          <w:sz w:val="22"/>
          <w:szCs w:val="22"/>
          <w:u w:val="single"/>
        </w:rPr>
        <w:t>dlhodobého finančného majetku</w:t>
      </w:r>
      <w:r>
        <w:rPr>
          <w:rFonts w:ascii="Arial" w:cs="Arial" w:hAnsi="Arial"/>
          <w:sz w:val="22"/>
          <w:szCs w:val="22"/>
        </w:rPr>
        <w:t xml:space="preserve"> </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sz w:val="22"/>
          <w:szCs w:val="22"/>
        </w:rPr>
        <w:t>V  členení podľa jednotlivých položiek súvahy na začiatku bežného účtovného obdobia, prírastky, úbytky a presuny tohto majetku v obstarávacej cene počas bežného účtovného obdobia a stav na konci bežného účtovného obdobia.</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sz w:val="22"/>
          <w:szCs w:val="22"/>
        </w:rPr>
        <w:t xml:space="preserve">Informácie sú uvedené v nasledujúcich tabuľkách: </w:t>
      </w:r>
    </w:p>
    <w:p>
      <w:pPr>
        <w:pStyle w:val="style0"/>
        <w:ind w:hanging="0" w:left="0" w:right="-468"/>
        <w:jc w:val="both"/>
      </w:pPr>
      <w:r>
        <w:rPr>
          <w:rFonts w:ascii="Arial" w:cs="Arial" w:hAnsi="Arial"/>
          <w:sz w:val="22"/>
          <w:szCs w:val="22"/>
        </w:rPr>
      </w:r>
    </w:p>
    <w:p>
      <w:pPr>
        <w:pStyle w:val="style0"/>
      </w:pPr>
      <w:r>
        <w:rPr>
          <w:rFonts w:ascii="Arial" w:cs="Arial" w:hAnsi="Arial"/>
          <w:sz w:val="22"/>
          <w:szCs w:val="22"/>
        </w:rPr>
      </w:r>
    </w:p>
    <w:p>
      <w:pPr>
        <w:pStyle w:val="style0"/>
      </w:pPr>
      <w:r>
        <w:rPr>
          <w:rFonts w:ascii="Arial" w:cs="Arial" w:hAnsi="Arial"/>
          <w:sz w:val="22"/>
          <w:szCs w:val="22"/>
        </w:rPr>
      </w:r>
    </w:p>
    <w:p>
      <w:pPr>
        <w:pStyle w:val="style0"/>
      </w:pPr>
      <w:r>
        <w:rPr>
          <w:rFonts w:ascii="Arial" w:cs="Arial" w:hAnsi="Arial"/>
          <w:sz w:val="22"/>
          <w:szCs w:val="22"/>
        </w:rPr>
      </w:r>
    </w:p>
    <w:p>
      <w:pPr>
        <w:pStyle w:val="style0"/>
      </w:pPr>
      <w:r>
        <w:rPr>
          <w:rFonts w:ascii="Arial" w:cs="Arial" w:hAnsi="Arial"/>
          <w:sz w:val="22"/>
          <w:szCs w:val="22"/>
        </w:rPr>
      </w:r>
    </w:p>
    <w:p>
      <w:pPr>
        <w:pStyle w:val="style0"/>
      </w:pPr>
      <w:r>
        <w:rPr>
          <w:rFonts w:ascii="Arial" w:cs="Arial" w:hAnsi="Arial"/>
          <w:sz w:val="22"/>
          <w:szCs w:val="22"/>
        </w:rPr>
      </w:r>
    </w:p>
    <w:p>
      <w:pPr>
        <w:pStyle w:val="style0"/>
      </w:pPr>
      <w:r>
        <w:rPr>
          <w:rFonts w:ascii="Arial" w:cs="Arial" w:hAnsi="Arial"/>
          <w:sz w:val="22"/>
          <w:szCs w:val="22"/>
        </w:rPr>
      </w:r>
    </w:p>
    <w:p>
      <w:pPr>
        <w:pStyle w:val="style0"/>
      </w:pPr>
      <w:r>
        <w:rPr>
          <w:rFonts w:ascii="Arial" w:cs="Arial" w:hAnsi="Arial"/>
          <w:sz w:val="22"/>
          <w:szCs w:val="22"/>
        </w:rPr>
      </w:r>
    </w:p>
    <w:p>
      <w:pPr>
        <w:pStyle w:val="style0"/>
      </w:pPr>
      <w:r>
        <w:rPr>
          <w:rFonts w:ascii="Arial" w:cs="Arial" w:hAnsi="Arial"/>
          <w:sz w:val="22"/>
          <w:szCs w:val="22"/>
        </w:rPr>
      </w:r>
    </w:p>
    <w:p>
      <w:pPr>
        <w:pStyle w:val="style0"/>
      </w:pPr>
      <w:r>
        <w:rPr>
          <w:rFonts w:ascii="Arial" w:cs="Arial" w:hAnsi="Arial"/>
          <w:sz w:val="22"/>
          <w:szCs w:val="22"/>
        </w:rPr>
      </w:r>
    </w:p>
    <w:p>
      <w:pPr>
        <w:pStyle w:val="style0"/>
      </w:pPr>
      <w:r>
        <w:rPr>
          <w:rFonts w:ascii="Arial" w:cs="Arial" w:hAnsi="Arial"/>
          <w:sz w:val="22"/>
          <w:szCs w:val="22"/>
        </w:rPr>
      </w:r>
    </w:p>
    <w:p>
      <w:pPr>
        <w:pStyle w:val="style0"/>
      </w:pPr>
      <w:r>
        <w:rPr>
          <w:rFonts w:ascii="Arial" w:cs="Arial" w:hAnsi="Arial"/>
          <w:sz w:val="22"/>
          <w:szCs w:val="22"/>
        </w:rPr>
      </w:r>
    </w:p>
    <w:p>
      <w:pPr>
        <w:pStyle w:val="style0"/>
      </w:pPr>
      <w:r>
        <w:rPr>
          <w:rFonts w:ascii="Arial" w:cs="Arial" w:hAnsi="Arial"/>
          <w:sz w:val="22"/>
          <w:szCs w:val="22"/>
        </w:rPr>
      </w:r>
    </w:p>
    <w:p>
      <w:pPr>
        <w:pStyle w:val="style0"/>
      </w:pPr>
      <w:r>
        <w:rPr>
          <w:rFonts w:ascii="Arial" w:cs="Arial" w:hAnsi="Arial"/>
          <w:sz w:val="22"/>
          <w:szCs w:val="22"/>
        </w:rPr>
      </w:r>
    </w:p>
    <w:p>
      <w:pPr>
        <w:pStyle w:val="style0"/>
      </w:pPr>
      <w:r>
        <w:rPr>
          <w:rFonts w:ascii="Arial" w:cs="Arial" w:hAnsi="Arial"/>
          <w:sz w:val="22"/>
          <w:szCs w:val="22"/>
        </w:rPr>
      </w:r>
    </w:p>
    <w:p>
      <w:pPr>
        <w:pStyle w:val="style0"/>
      </w:pPr>
      <w:r>
        <w:rPr>
          <w:rFonts w:ascii="Arial" w:cs="Arial" w:hAnsi="Arial"/>
          <w:sz w:val="22"/>
          <w:szCs w:val="22"/>
        </w:rPr>
      </w:r>
    </w:p>
    <w:p>
      <w:pPr>
        <w:pStyle w:val="style0"/>
      </w:pPr>
      <w:r>
        <w:rPr>
          <w:rFonts w:ascii="Arial" w:cs="Arial" w:hAnsi="Arial"/>
          <w:sz w:val="22"/>
          <w:szCs w:val="22"/>
        </w:rPr>
        <w:t>Tabuľka č. 1</w:t>
      </w:r>
    </w:p>
    <w:p>
      <w:pPr>
        <w:pStyle w:val="style0"/>
        <w:ind w:hanging="0" w:left="0" w:right="-468"/>
        <w:jc w:val="both"/>
      </w:pPr>
      <w:bookmarkStart w:id="6" w:name="_MON_1456048754"/>
      <w:bookmarkEnd w:id="6"/>
      <w:r>
        <w:rPr/>
      </w:r>
    </w:p>
    <w:p>
      <w:pPr>
        <w:pStyle w:val="style0"/>
        <w:ind w:hanging="0" w:left="0" w:right="-468"/>
        <w:jc w:val="both"/>
      </w:pPr>
      <w:r>
        <w:rPr>
          <w:rFonts w:ascii="Arial" w:cs="Arial" w:hAnsi="Arial"/>
          <w:sz w:val="22"/>
          <w:szCs w:val="22"/>
        </w:rPr>
      </w:r>
    </w:p>
    <w:p>
      <w:pPr>
        <w:pStyle w:val="style0"/>
        <w:spacing w:after="120" w:before="0"/>
        <w:ind w:hanging="0" w:left="0" w:right="-471"/>
        <w:jc w:val="both"/>
      </w:pPr>
      <w:r>
        <w:rPr>
          <w:rFonts w:ascii="Arial" w:cs="Arial" w:hAnsi="Arial"/>
          <w:sz w:val="22"/>
          <w:szCs w:val="22"/>
        </w:rPr>
        <w:t>Spoločnosť v roku 2013 odpredala svoj obchodný podiel v spoločnosti SVS inžiniering s .r. o., ktorý je zaúčtovaný na účte 063 100 vo výške 1 129 EUR. Výnos z predaja je 37 315 EUR.</w:t>
      </w:r>
    </w:p>
    <w:p>
      <w:pPr>
        <w:pStyle w:val="style0"/>
        <w:spacing w:after="120" w:before="0"/>
        <w:ind w:hanging="0" w:left="0" w:right="-471"/>
        <w:jc w:val="both"/>
      </w:pPr>
      <w:r>
        <w:rPr>
          <w:rFonts w:ascii="Arial" w:cs="Arial" w:hAnsi="Arial"/>
          <w:sz w:val="22"/>
          <w:szCs w:val="22"/>
        </w:rPr>
      </w:r>
    </w:p>
    <w:p>
      <w:pPr>
        <w:pStyle w:val="style0"/>
        <w:spacing w:after="120" w:before="0"/>
        <w:ind w:hanging="0" w:left="0" w:right="-471"/>
        <w:jc w:val="both"/>
      </w:pPr>
      <w:r>
        <w:rPr>
          <w:rFonts w:ascii="Arial" w:cs="Arial" w:hAnsi="Arial"/>
          <w:sz w:val="22"/>
          <w:szCs w:val="22"/>
        </w:rPr>
      </w:r>
    </w:p>
    <w:p>
      <w:pPr>
        <w:pStyle w:val="style0"/>
        <w:spacing w:after="120" w:before="0"/>
        <w:ind w:hanging="0" w:left="0" w:right="-471"/>
        <w:jc w:val="both"/>
      </w:pPr>
      <w:r>
        <w:rPr>
          <w:rFonts w:ascii="Arial" w:cs="Arial" w:hAnsi="Arial"/>
          <w:sz w:val="22"/>
          <w:szCs w:val="22"/>
        </w:rPr>
      </w:r>
    </w:p>
    <w:p>
      <w:pPr>
        <w:pStyle w:val="style0"/>
        <w:spacing w:after="120" w:before="0"/>
        <w:ind w:hanging="0" w:left="0" w:right="-471"/>
        <w:jc w:val="both"/>
      </w:pPr>
      <w:r>
        <w:rPr>
          <w:rFonts w:ascii="Arial" w:cs="Arial" w:hAnsi="Arial"/>
          <w:sz w:val="22"/>
          <w:szCs w:val="22"/>
        </w:rPr>
        <w:t>Tabuľka č.2</w:t>
      </w:r>
    </w:p>
    <w:p>
      <w:pPr>
        <w:pStyle w:val="style0"/>
        <w:spacing w:after="120" w:before="0"/>
        <w:ind w:hanging="0" w:left="0" w:right="-471"/>
        <w:jc w:val="both"/>
      </w:pPr>
      <w:r>
        <w:rPr/>
      </w:r>
    </w:p>
    <w:p>
      <w:pPr>
        <w:pStyle w:val="style0"/>
        <w:spacing w:after="120" w:before="0"/>
        <w:ind w:hanging="0" w:left="0" w:right="-471"/>
        <w:jc w:val="both"/>
      </w:pPr>
      <w:r>
        <w:rPr>
          <w:rFonts w:ascii="Arial" w:cs="Arial" w:hAnsi="Arial"/>
          <w:sz w:val="22"/>
          <w:szCs w:val="22"/>
        </w:rPr>
        <w:t>Spoločnosť nemá za bežné účtovné obdobie od 1.januára 2013 do  31.decembra 2013 na dlhodobý finančný majetok zriadené záložné právo a ani právo obmedzeného nakladania s ním.</w:t>
      </w:r>
    </w:p>
    <w:p>
      <w:pPr>
        <w:pStyle w:val="style0"/>
        <w:spacing w:after="120" w:before="0"/>
        <w:ind w:hanging="0" w:left="0" w:right="-471"/>
        <w:jc w:val="both"/>
      </w:pPr>
      <w:r>
        <w:rPr>
          <w:rFonts w:ascii="Arial" w:cs="Arial" w:hAnsi="Arial"/>
          <w:b/>
          <w:sz w:val="22"/>
          <w:szCs w:val="22"/>
        </w:rPr>
        <w:t xml:space="preserve">k) </w:t>
      </w:r>
      <w:r>
        <w:rPr>
          <w:rFonts w:ascii="Arial" w:cs="Arial" w:hAnsi="Arial"/>
          <w:b/>
          <w:sz w:val="22"/>
          <w:szCs w:val="22"/>
          <w:u w:val="single"/>
        </w:rPr>
        <w:t>Opravné položky podľa zložiek dlhodobého finančného majetku</w:t>
      </w:r>
      <w:r>
        <w:rPr>
          <w:rFonts w:ascii="Arial" w:cs="Arial" w:hAnsi="Arial"/>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w:t>
      </w:r>
    </w:p>
    <w:p>
      <w:pPr>
        <w:pStyle w:val="style0"/>
        <w:spacing w:after="120" w:before="0"/>
        <w:ind w:hanging="0" w:left="0" w:right="-471"/>
        <w:jc w:val="both"/>
      </w:pPr>
      <w:r>
        <w:rPr>
          <w:rFonts w:ascii="Arial" w:cs="Arial" w:hAnsi="Arial"/>
          <w:sz w:val="22"/>
          <w:szCs w:val="22"/>
        </w:rPr>
        <w:t>Spoločnosť o opravných položkách k dlhodobému finančnému majetku neúčtuje.</w:t>
      </w:r>
    </w:p>
    <w:p>
      <w:pPr>
        <w:pStyle w:val="style0"/>
        <w:spacing w:after="120" w:before="0"/>
        <w:ind w:hanging="0" w:left="0" w:right="-471"/>
        <w:jc w:val="both"/>
      </w:pPr>
      <w:r>
        <w:rPr>
          <w:rFonts w:ascii="Arial" w:cs="Arial" w:hAnsi="Arial"/>
          <w:sz w:val="22"/>
          <w:szCs w:val="22"/>
        </w:rPr>
      </w:r>
    </w:p>
    <w:p>
      <w:pPr>
        <w:pStyle w:val="style0"/>
        <w:spacing w:after="120" w:before="0"/>
        <w:ind w:hanging="0" w:left="0" w:right="-471"/>
        <w:jc w:val="both"/>
      </w:pPr>
      <w:r>
        <w:rPr>
          <w:rFonts w:ascii="Arial" w:cs="Arial" w:hAnsi="Arial"/>
          <w:b/>
          <w:sz w:val="22"/>
          <w:szCs w:val="22"/>
        </w:rPr>
        <w:t>l)</w:t>
      </w:r>
      <w:r>
        <w:rPr>
          <w:rFonts w:ascii="Arial" w:cs="Arial" w:hAnsi="Arial"/>
          <w:b/>
          <w:sz w:val="22"/>
          <w:szCs w:val="22"/>
          <w:u w:val="single"/>
        </w:rPr>
        <w:t xml:space="preserve"> Zmeny v jednotlivých zložkách dlhodobého finančného majetku</w:t>
      </w:r>
      <w:r>
        <w:rPr>
          <w:rFonts w:ascii="Arial" w:cs="Arial" w:hAnsi="Arial"/>
          <w:b/>
          <w:sz w:val="22"/>
          <w:szCs w:val="22"/>
        </w:rPr>
        <w:t xml:space="preserve"> </w:t>
      </w:r>
    </w:p>
    <w:p>
      <w:pPr>
        <w:pStyle w:val="style0"/>
        <w:spacing w:after="120" w:before="0"/>
        <w:ind w:hanging="0" w:left="0" w:right="-471"/>
        <w:jc w:val="both"/>
      </w:pPr>
      <w:r>
        <w:rPr>
          <w:rFonts w:ascii="Arial" w:cs="Arial" w:hAnsi="Arial"/>
          <w:sz w:val="22"/>
          <w:szCs w:val="22"/>
        </w:rPr>
        <w:t>Spoločnosť o dlhových cenných papieroch držaných do splatnosti  a o dlhodobých pôžičkách  od 01.01.2013 do 31.12.2013 neúčtovala.</w:t>
      </w:r>
    </w:p>
    <w:p>
      <w:pPr>
        <w:pStyle w:val="style0"/>
        <w:ind w:hanging="0" w:left="0" w:right="-468"/>
        <w:jc w:val="both"/>
      </w:pPr>
      <w:r>
        <w:rPr>
          <w:rFonts w:ascii="Arial" w:cs="Arial" w:hAnsi="Arial"/>
          <w:color w:val="FF0000"/>
          <w:sz w:val="22"/>
          <w:szCs w:val="22"/>
          <w:u w:val="single"/>
        </w:rPr>
      </w:r>
    </w:p>
    <w:p>
      <w:pPr>
        <w:pStyle w:val="style0"/>
        <w:ind w:hanging="0" w:left="0" w:right="-468"/>
        <w:jc w:val="both"/>
      </w:pPr>
      <w:r>
        <w:rPr>
          <w:rFonts w:ascii="Arial" w:cs="Arial" w:hAnsi="Arial"/>
          <w:b/>
          <w:sz w:val="22"/>
          <w:szCs w:val="22"/>
        </w:rPr>
        <w:t xml:space="preserve">m) </w:t>
      </w:r>
      <w:r>
        <w:rPr>
          <w:rFonts w:ascii="Arial" w:cs="Arial" w:hAnsi="Arial"/>
          <w:b/>
          <w:sz w:val="22"/>
          <w:szCs w:val="22"/>
          <w:u w:val="single"/>
        </w:rPr>
        <w:t>Dlhodobý finančný majetok</w:t>
      </w:r>
      <w:r>
        <w:rPr>
          <w:rFonts w:ascii="Arial" w:cs="Arial" w:hAnsi="Arial"/>
          <w:sz w:val="22"/>
          <w:szCs w:val="22"/>
        </w:rPr>
        <w:t xml:space="preserve">, na ktorý je </w:t>
      </w:r>
      <w:r>
        <w:rPr>
          <w:rFonts w:ascii="Arial" w:cs="Arial" w:hAnsi="Arial"/>
          <w:sz w:val="22"/>
          <w:szCs w:val="22"/>
          <w:u w:val="single"/>
        </w:rPr>
        <w:t>zriadené záložné právo</w:t>
      </w:r>
      <w:r>
        <w:rPr>
          <w:rFonts w:ascii="Arial" w:cs="Arial" w:hAnsi="Arial"/>
          <w:sz w:val="22"/>
          <w:szCs w:val="22"/>
        </w:rPr>
        <w:t xml:space="preserve"> a o dlhodobom majetku, pri ktorom má účtovná jednotka obmedzené právo s ním nakladať. </w:t>
      </w:r>
    </w:p>
    <w:p>
      <w:pPr>
        <w:pStyle w:val="style0"/>
        <w:ind w:hanging="0" w:left="0" w:right="-468"/>
        <w:jc w:val="both"/>
      </w:pPr>
      <w:r>
        <w:rPr>
          <w:rFonts w:ascii="Arial" w:cs="Arial" w:hAnsi="Arial"/>
          <w:sz w:val="22"/>
          <w:szCs w:val="22"/>
        </w:rPr>
        <w:t>Účtovná jednotka nemá zriadené záložné právo k dlhodobému finančnému majetku, pri ktorom má obmedzené právo s ním nakladať.</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b/>
          <w:sz w:val="22"/>
          <w:szCs w:val="22"/>
        </w:rPr>
        <w:t xml:space="preserve">n) </w:t>
      </w:r>
      <w:r>
        <w:rPr>
          <w:rFonts w:ascii="Arial" w:cs="Arial" w:hAnsi="Arial"/>
          <w:b/>
          <w:sz w:val="22"/>
          <w:szCs w:val="22"/>
          <w:u w:val="single"/>
        </w:rPr>
        <w:t>Ocenenie dlhodobého finančného majetku</w:t>
      </w:r>
      <w:r>
        <w:rPr>
          <w:rFonts w:ascii="Arial" w:cs="Arial" w:hAnsi="Arial"/>
          <w:sz w:val="22"/>
          <w:szCs w:val="22"/>
          <w:u w:val="single"/>
        </w:rPr>
        <w:t xml:space="preserve"> </w:t>
      </w:r>
      <w:r>
        <w:rPr>
          <w:rFonts w:ascii="Arial" w:cs="Arial" w:hAnsi="Arial"/>
          <w:sz w:val="22"/>
          <w:szCs w:val="22"/>
        </w:rPr>
        <w:t xml:space="preserve">ku dňu, ku ktorému sa zostavuje účtovná závierka </w:t>
      </w:r>
      <w:r>
        <w:rPr>
          <w:rFonts w:ascii="Arial" w:cs="Arial" w:hAnsi="Arial"/>
          <w:sz w:val="22"/>
          <w:szCs w:val="22"/>
          <w:u w:val="single"/>
        </w:rPr>
        <w:t>reálnou hodnotou</w:t>
      </w:r>
      <w:r>
        <w:rPr>
          <w:rFonts w:ascii="Arial" w:cs="Arial" w:hAnsi="Arial"/>
          <w:sz w:val="22"/>
          <w:szCs w:val="22"/>
        </w:rPr>
        <w:t xml:space="preserve"> alebo metódou vlastného imania, pričom sa uvádza vplyv takéhoto ocenenia na výsledok hospodárenia a na výšku vlastného imania Spoločnosť nevykazuje.</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b/>
          <w:sz w:val="22"/>
          <w:szCs w:val="22"/>
        </w:rPr>
        <w:t xml:space="preserve">o) </w:t>
      </w:r>
      <w:r>
        <w:rPr>
          <w:rFonts w:ascii="Arial" w:cs="Arial" w:hAnsi="Arial"/>
          <w:b/>
          <w:sz w:val="22"/>
          <w:szCs w:val="22"/>
          <w:u w:val="single"/>
        </w:rPr>
        <w:t>Opravné položky k zásobám</w:t>
      </w:r>
      <w:r>
        <w:rPr>
          <w:rFonts w:ascii="Arial" w:cs="Arial" w:hAnsi="Arial"/>
          <w:sz w:val="22"/>
          <w:szCs w:val="22"/>
        </w:rPr>
        <w:t xml:space="preserve">: </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sz w:val="22"/>
          <w:szCs w:val="22"/>
        </w:rPr>
        <w:t>Spoločnosť netvorila opravné položky k zásobám. Záložné právo na zásoby nie je zriadené.</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b/>
          <w:sz w:val="22"/>
          <w:szCs w:val="22"/>
        </w:rPr>
        <w:t xml:space="preserve">q) </w:t>
      </w:r>
      <w:r>
        <w:rPr>
          <w:rFonts w:ascii="Arial" w:cs="Arial" w:hAnsi="Arial"/>
          <w:b/>
          <w:sz w:val="22"/>
          <w:szCs w:val="22"/>
          <w:u w:val="single"/>
        </w:rPr>
        <w:t>Zákazková výroba a zákazková výstavba nehnuteľnosti určenej na predaj</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sz w:val="22"/>
          <w:szCs w:val="22"/>
        </w:rPr>
        <w:t>Spoločnosť jednotka o zákazkovej výrobe neúčtuje.</w:t>
      </w:r>
    </w:p>
    <w:p>
      <w:pPr>
        <w:pStyle w:val="style0"/>
        <w:jc w:val="both"/>
      </w:pPr>
      <w:r>
        <w:rPr>
          <w:rFonts w:ascii="Arial" w:cs="Arial" w:hAnsi="Arial"/>
          <w:sz w:val="22"/>
          <w:szCs w:val="22"/>
        </w:rPr>
      </w:r>
    </w:p>
    <w:p>
      <w:pPr>
        <w:pStyle w:val="style0"/>
        <w:ind w:hanging="0" w:left="0" w:right="-468"/>
        <w:jc w:val="both"/>
      </w:pPr>
      <w:r>
        <w:rPr>
          <w:rFonts w:ascii="Arial" w:cs="Arial" w:hAnsi="Arial"/>
          <w:b/>
          <w:sz w:val="22"/>
          <w:szCs w:val="22"/>
        </w:rPr>
        <w:t xml:space="preserve">r) </w:t>
      </w:r>
      <w:r>
        <w:rPr>
          <w:rFonts w:ascii="Arial" w:cs="Arial" w:hAnsi="Arial"/>
          <w:b/>
          <w:sz w:val="22"/>
          <w:szCs w:val="22"/>
          <w:u w:val="single"/>
        </w:rPr>
        <w:t>Tvorba, zúčtovanie opravných položiek k pohľadávkam</w:t>
      </w:r>
      <w:r>
        <w:rPr>
          <w:rFonts w:ascii="Arial" w:cs="Arial" w:hAnsi="Arial"/>
          <w:sz w:val="22"/>
          <w:szCs w:val="22"/>
        </w:rPr>
        <w:t xml:space="preserve"> v členení podľa jednotlivých položiek súvahy za bežné účtovné obdobie. Informácie sú uvedené v nasledujúcej tabuľke:</w:t>
      </w:r>
    </w:p>
    <w:p>
      <w:pPr>
        <w:pStyle w:val="style0"/>
        <w:spacing w:after="120" w:before="0"/>
        <w:ind w:hanging="0" w:left="0" w:right="-471"/>
        <w:jc w:val="both"/>
      </w:pPr>
      <w:r>
        <w:rPr>
          <w:rFonts w:ascii="Arial" w:cs="Arial" w:hAnsi="Arial"/>
          <w:sz w:val="22"/>
          <w:szCs w:val="22"/>
        </w:rPr>
      </w:r>
    </w:p>
    <w:p>
      <w:pPr>
        <w:pStyle w:val="style0"/>
      </w:pPr>
      <w:bookmarkStart w:id="7" w:name="_MON_1456050136"/>
      <w:bookmarkEnd w:id="7"/>
      <w:r>
        <w:rPr/>
      </w:r>
    </w:p>
    <w:p>
      <w:pPr>
        <w:pStyle w:val="style0"/>
      </w:pPr>
      <w:r>
        <w:rPr>
          <w:rFonts w:ascii="Arial" w:cs="Arial" w:hAnsi="Arial"/>
          <w:sz w:val="22"/>
          <w:szCs w:val="22"/>
          <w:lang w:eastAsia="en-US"/>
        </w:rPr>
        <w:t>Spoločnosť tvorí účtovné opravné položky vo výške 50 %  k vybraným  pohľadávkam nad 180 dní po lehote splatnosti a vo výške 100 % k pohľadávkam nad 360 dní po lehote splatnosti.</w:t>
      </w:r>
    </w:p>
    <w:p>
      <w:pPr>
        <w:pStyle w:val="style0"/>
        <w:jc w:val="both"/>
      </w:pPr>
      <w:r>
        <w:rPr>
          <w:rFonts w:ascii="Arial" w:cs="Arial" w:hAnsi="Arial"/>
          <w:sz w:val="22"/>
          <w:szCs w:val="22"/>
          <w:lang w:eastAsia="en-US"/>
        </w:rPr>
      </w:r>
    </w:p>
    <w:p>
      <w:pPr>
        <w:pStyle w:val="style0"/>
        <w:ind w:hanging="0" w:left="0" w:right="-468"/>
        <w:jc w:val="both"/>
      </w:pPr>
      <w:r>
        <w:rPr>
          <w:rFonts w:ascii="Arial" w:cs="Arial" w:hAnsi="Arial"/>
          <w:b/>
          <w:sz w:val="22"/>
          <w:szCs w:val="22"/>
        </w:rPr>
        <w:t xml:space="preserve">s) </w:t>
      </w:r>
      <w:r>
        <w:rPr>
          <w:rFonts w:ascii="Arial" w:cs="Arial" w:hAnsi="Arial"/>
          <w:b/>
          <w:sz w:val="22"/>
          <w:szCs w:val="22"/>
          <w:u w:val="single"/>
        </w:rPr>
        <w:t>Hodnota pohľadávok do lehoty splatnosti a po lehote splatnosti</w:t>
      </w:r>
      <w:r>
        <w:rPr>
          <w:rFonts w:ascii="Arial" w:cs="Arial" w:hAnsi="Arial"/>
          <w:sz w:val="22"/>
          <w:szCs w:val="22"/>
        </w:rPr>
        <w:t>:</w:t>
      </w:r>
    </w:p>
    <w:p>
      <w:pPr>
        <w:pStyle w:val="style0"/>
        <w:spacing w:after="120" w:before="0"/>
        <w:ind w:hanging="0" w:left="0" w:right="-471"/>
        <w:jc w:val="both"/>
      </w:pPr>
      <w:r>
        <w:rPr>
          <w:rFonts w:ascii="Arial" w:cs="Arial" w:hAnsi="Arial"/>
          <w:sz w:val="22"/>
          <w:szCs w:val="22"/>
        </w:rPr>
        <w:t>Informácie o vekovej štruktúre pohľadávok k 31.12.2013 sú uvedené v nasledujúcich tabuľkách:</w:t>
      </w:r>
    </w:p>
    <w:p>
      <w:pPr>
        <w:pStyle w:val="style0"/>
        <w:spacing w:after="120" w:before="0"/>
        <w:ind w:hanging="0" w:left="0" w:right="-471"/>
        <w:jc w:val="both"/>
      </w:pPr>
      <w:r>
        <w:rPr>
          <w:rFonts w:ascii="Arial" w:cs="Arial" w:hAnsi="Arial"/>
          <w:sz w:val="22"/>
          <w:szCs w:val="22"/>
        </w:rPr>
        <w:t xml:space="preserve">Tabuľkač.1 </w:t>
      </w:r>
    </w:p>
    <w:p>
      <w:pPr>
        <w:pStyle w:val="style0"/>
        <w:spacing w:after="120" w:before="0"/>
        <w:ind w:hanging="0" w:left="0" w:right="-471"/>
        <w:jc w:val="both"/>
      </w:pPr>
      <w:bookmarkStart w:id="8" w:name="_MON_1457450021"/>
      <w:bookmarkEnd w:id="8"/>
      <w:r>
        <w:rPr/>
      </w:r>
    </w:p>
    <w:p>
      <w:pPr>
        <w:pStyle w:val="style0"/>
        <w:spacing w:after="120" w:before="0"/>
        <w:ind w:hanging="0" w:left="0" w:right="-471"/>
        <w:jc w:val="both"/>
      </w:pPr>
      <w:r>
        <w:rPr>
          <w:rFonts w:ascii="Arial" w:cs="Arial" w:hAnsi="Arial"/>
          <w:sz w:val="22"/>
          <w:szCs w:val="22"/>
        </w:rPr>
      </w:r>
    </w:p>
    <w:p>
      <w:pPr>
        <w:pStyle w:val="style0"/>
        <w:spacing w:after="120" w:before="0"/>
        <w:ind w:hanging="0" w:left="0" w:right="-471"/>
        <w:jc w:val="both"/>
      </w:pPr>
      <w:r>
        <w:rPr>
          <w:rFonts w:ascii="Arial" w:cs="Arial" w:hAnsi="Arial"/>
          <w:sz w:val="22"/>
          <w:szCs w:val="22"/>
        </w:rPr>
        <w:t>Tabuľka č.2</w:t>
      </w:r>
    </w:p>
    <w:p>
      <w:pPr>
        <w:pStyle w:val="style0"/>
        <w:spacing w:after="120" w:before="0"/>
        <w:ind w:hanging="0" w:left="0" w:right="-471"/>
        <w:jc w:val="both"/>
      </w:pPr>
      <w:bookmarkStart w:id="9" w:name="_MON_1455908019"/>
      <w:bookmarkEnd w:id="9"/>
      <w:r>
        <w:rPr/>
      </w:r>
    </w:p>
    <w:p>
      <w:pPr>
        <w:pStyle w:val="style0"/>
        <w:spacing w:after="120" w:before="0"/>
        <w:ind w:hanging="0" w:left="0" w:right="-471"/>
        <w:jc w:val="both"/>
      </w:pPr>
      <w:r>
        <w:rPr>
          <w:rFonts w:ascii="Arial" w:cs="Arial" w:hAnsi="Arial"/>
          <w:b/>
          <w:sz w:val="22"/>
          <w:szCs w:val="22"/>
          <w:u w:val="single"/>
        </w:rPr>
        <w:t>u) Hodnota pohľadávok, na ktoré sa zriadilo záložné právo</w:t>
      </w:r>
      <w:r>
        <w:rPr>
          <w:rFonts w:ascii="Arial" w:cs="Arial" w:hAnsi="Arial"/>
          <w:sz w:val="22"/>
          <w:szCs w:val="22"/>
        </w:rPr>
        <w:t xml:space="preserve"> a pohľadávok, pri ktorých má účtovná jednotka obmedzené právo s nimi nakladať. Informácie sú uvedené v nasledujúcej tabuľke: </w:t>
      </w:r>
    </w:p>
    <w:p>
      <w:pPr>
        <w:pStyle w:val="style0"/>
        <w:spacing w:after="120" w:before="0"/>
        <w:ind w:hanging="0" w:left="0" w:right="-471"/>
        <w:jc w:val="both"/>
      </w:pPr>
      <w:r>
        <w:rPr>
          <w:rFonts w:ascii="Arial" w:cs="Arial" w:hAnsi="Arial"/>
          <w:sz w:val="22"/>
          <w:szCs w:val="22"/>
        </w:rPr>
      </w:r>
    </w:p>
    <w:p>
      <w:pPr>
        <w:pStyle w:val="style0"/>
        <w:spacing w:after="120" w:before="0"/>
        <w:ind w:hanging="0" w:left="0" w:right="-471"/>
        <w:jc w:val="both"/>
      </w:pPr>
      <w:bookmarkStart w:id="10" w:name="_MON_1455960396"/>
      <w:bookmarkEnd w:id="10"/>
      <w:r>
        <w:rPr/>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sz w:val="22"/>
          <w:szCs w:val="22"/>
        </w:rPr>
        <w:t xml:space="preserve">Za bežné účtovné obdobie od 1. januára 2013 do 31.12.2013 je zriadené záložné právo k pohľadávkam  na základe záložnej zmluvy číslo 6179/114/4498 v prospech ČSOB a. s. Bratislava z úveru číslo 6177/11/44698, ktorý bol účtovnej jednotke poskytnutý v celkovej výške 20 000 000 EUR. </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b/>
          <w:sz w:val="22"/>
          <w:szCs w:val="22"/>
        </w:rPr>
        <w:t>v)</w:t>
      </w:r>
      <w:r>
        <w:rPr>
          <w:rFonts w:ascii="Arial" w:cs="Arial" w:hAnsi="Arial"/>
          <w:sz w:val="22"/>
          <w:szCs w:val="22"/>
        </w:rPr>
        <w:t xml:space="preserve"> </w:t>
      </w:r>
      <w:r>
        <w:rPr>
          <w:rFonts w:ascii="Arial" w:cs="Arial" w:hAnsi="Arial"/>
          <w:b/>
          <w:sz w:val="22"/>
          <w:szCs w:val="22"/>
          <w:u w:val="single"/>
        </w:rPr>
        <w:t>Odložená daňová pohľadávka</w:t>
      </w:r>
    </w:p>
    <w:p>
      <w:pPr>
        <w:pStyle w:val="style0"/>
        <w:ind w:hanging="0" w:left="0" w:right="-468"/>
        <w:jc w:val="both"/>
      </w:pPr>
      <w:r>
        <w:rPr>
          <w:rFonts w:ascii="Arial" w:cs="Arial" w:hAnsi="Arial"/>
          <w:sz w:val="22"/>
          <w:szCs w:val="22"/>
        </w:rPr>
      </w:r>
    </w:p>
    <w:p>
      <w:pPr>
        <w:pStyle w:val="style0"/>
        <w:ind w:hanging="0" w:left="0" w:right="-468"/>
      </w:pPr>
      <w:r>
        <w:rPr>
          <w:rFonts w:ascii="Arial" w:cs="Arial" w:hAnsi="Arial"/>
          <w:sz w:val="22"/>
          <w:szCs w:val="22"/>
        </w:rPr>
        <w:t xml:space="preserve"> </w:t>
      </w:r>
      <w:r>
        <w:rPr>
          <w:rFonts w:ascii="Arial" w:cs="Arial" w:hAnsi="Arial"/>
          <w:sz w:val="22"/>
          <w:szCs w:val="22"/>
        </w:rPr>
        <w:t>O odloženej daňovej pohľadávke Spoločnosť neúčtuje.</w:t>
      </w:r>
    </w:p>
    <w:p>
      <w:pPr>
        <w:pStyle w:val="style0"/>
        <w:jc w:val="both"/>
      </w:pPr>
      <w:r>
        <w:rPr>
          <w:rFonts w:ascii="Arial" w:cs="Arial" w:hAnsi="Arial"/>
          <w:b/>
          <w:sz w:val="22"/>
          <w:szCs w:val="22"/>
        </w:rPr>
      </w:r>
    </w:p>
    <w:p>
      <w:pPr>
        <w:pStyle w:val="style0"/>
        <w:jc w:val="both"/>
      </w:pPr>
      <w:r>
        <w:rPr>
          <w:rFonts w:ascii="Arial" w:cs="Arial" w:hAnsi="Arial"/>
          <w:b/>
          <w:sz w:val="22"/>
          <w:szCs w:val="22"/>
        </w:rPr>
        <w:t xml:space="preserve">w) </w:t>
      </w:r>
      <w:r>
        <w:rPr>
          <w:rFonts w:ascii="Arial" w:cs="Arial" w:hAnsi="Arial"/>
          <w:b/>
          <w:sz w:val="22"/>
          <w:szCs w:val="22"/>
          <w:u w:val="single"/>
        </w:rPr>
        <w:t>Významné zložky krátkodobého finančného majetku</w:t>
      </w:r>
      <w:r>
        <w:rPr>
          <w:rFonts w:ascii="Arial" w:cs="Arial" w:hAnsi="Arial"/>
          <w:sz w:val="22"/>
          <w:szCs w:val="22"/>
          <w:u w:val="single"/>
        </w:rPr>
        <w:t>:</w:t>
      </w:r>
    </w:p>
    <w:p>
      <w:pPr>
        <w:pStyle w:val="style0"/>
        <w:jc w:val="both"/>
      </w:pPr>
      <w:r>
        <w:rPr>
          <w:rFonts w:ascii="Arial" w:cs="Arial" w:hAnsi="Arial"/>
          <w:sz w:val="22"/>
          <w:szCs w:val="22"/>
        </w:rPr>
      </w:r>
    </w:p>
    <w:p>
      <w:pPr>
        <w:pStyle w:val="style0"/>
        <w:jc w:val="both"/>
      </w:pPr>
      <w:r>
        <w:rPr>
          <w:rFonts w:ascii="Arial" w:cs="Arial" w:hAnsi="Arial"/>
          <w:sz w:val="22"/>
          <w:szCs w:val="22"/>
        </w:rPr>
        <w:t>Informácie o krátkodobom finančnom majetku sú uvedené v nasledujúcich tabuľkách:</w:t>
      </w:r>
    </w:p>
    <w:p>
      <w:pPr>
        <w:pStyle w:val="style0"/>
        <w:jc w:val="both"/>
      </w:pPr>
      <w:r>
        <w:rPr>
          <w:rFonts w:ascii="Arial" w:cs="Arial" w:hAnsi="Arial"/>
          <w:sz w:val="22"/>
          <w:szCs w:val="22"/>
        </w:rPr>
      </w:r>
    </w:p>
    <w:p>
      <w:pPr>
        <w:pStyle w:val="style0"/>
        <w:jc w:val="both"/>
      </w:pPr>
      <w:r>
        <w:rPr>
          <w:rFonts w:ascii="Arial" w:cs="Arial" w:hAnsi="Arial"/>
          <w:sz w:val="22"/>
          <w:szCs w:val="22"/>
        </w:rPr>
        <w:t>Tabuľka č.1</w:t>
      </w:r>
    </w:p>
    <w:p>
      <w:pPr>
        <w:pStyle w:val="style0"/>
        <w:jc w:val="both"/>
      </w:pPr>
      <w:r>
        <w:rPr>
          <w:rFonts w:ascii="Arial" w:cs="Arial" w:hAnsi="Arial"/>
          <w:sz w:val="22"/>
          <w:szCs w:val="22"/>
        </w:rPr>
      </w:r>
    </w:p>
    <w:p>
      <w:pPr>
        <w:pStyle w:val="style0"/>
      </w:pPr>
      <w:bookmarkStart w:id="11" w:name="_MON_1455969984"/>
      <w:bookmarkEnd w:id="11"/>
      <w:r>
        <w:rPr/>
      </w:r>
    </w:p>
    <w:p>
      <w:pPr>
        <w:pStyle w:val="style0"/>
      </w:pPr>
      <w:r>
        <w:rPr>
          <w:rFonts w:ascii="Arial" w:cs="Arial" w:hAnsi="Arial"/>
          <w:sz w:val="22"/>
          <w:szCs w:val="22"/>
        </w:rPr>
      </w:r>
    </w:p>
    <w:p>
      <w:pPr>
        <w:pStyle w:val="style0"/>
      </w:pPr>
      <w:r>
        <w:rPr>
          <w:rFonts w:ascii="Arial" w:cs="Arial" w:hAnsi="Arial"/>
          <w:sz w:val="22"/>
          <w:szCs w:val="22"/>
        </w:rPr>
      </w:r>
    </w:p>
    <w:p>
      <w:pPr>
        <w:pStyle w:val="style0"/>
      </w:pPr>
      <w:r>
        <w:rPr>
          <w:rFonts w:ascii="Arial" w:cs="Arial" w:hAnsi="Arial"/>
          <w:sz w:val="22"/>
          <w:szCs w:val="22"/>
        </w:rPr>
      </w:r>
    </w:p>
    <w:p>
      <w:pPr>
        <w:pStyle w:val="style0"/>
      </w:pPr>
      <w:r>
        <w:rPr>
          <w:rFonts w:ascii="Arial" w:cs="Arial" w:hAnsi="Arial"/>
          <w:sz w:val="22"/>
          <w:szCs w:val="22"/>
        </w:rPr>
      </w:r>
    </w:p>
    <w:p>
      <w:pPr>
        <w:pStyle w:val="style0"/>
      </w:pPr>
      <w:r>
        <w:rPr>
          <w:rFonts w:ascii="Arial" w:cs="Arial" w:hAnsi="Arial"/>
          <w:sz w:val="22"/>
          <w:szCs w:val="22"/>
        </w:rPr>
      </w:r>
    </w:p>
    <w:p>
      <w:pPr>
        <w:pStyle w:val="style0"/>
      </w:pPr>
      <w:r>
        <w:rPr>
          <w:rFonts w:ascii="Arial" w:cs="Arial" w:hAnsi="Arial"/>
          <w:sz w:val="22"/>
          <w:szCs w:val="22"/>
        </w:rPr>
      </w:r>
    </w:p>
    <w:p>
      <w:pPr>
        <w:pStyle w:val="style0"/>
      </w:pPr>
      <w:r>
        <w:rPr>
          <w:rFonts w:ascii="Arial" w:cs="Arial" w:hAnsi="Arial"/>
          <w:sz w:val="22"/>
          <w:szCs w:val="22"/>
        </w:rPr>
      </w:r>
    </w:p>
    <w:p>
      <w:pPr>
        <w:pStyle w:val="style0"/>
      </w:pPr>
      <w:r>
        <w:rPr>
          <w:rFonts w:ascii="Arial" w:cs="Arial" w:hAnsi="Arial"/>
          <w:sz w:val="22"/>
          <w:szCs w:val="22"/>
        </w:rPr>
      </w:r>
    </w:p>
    <w:p>
      <w:pPr>
        <w:pStyle w:val="style0"/>
      </w:pPr>
      <w:r>
        <w:rPr>
          <w:rFonts w:ascii="Arial" w:cs="Arial" w:hAnsi="Arial"/>
          <w:sz w:val="22"/>
          <w:szCs w:val="22"/>
        </w:rPr>
      </w:r>
    </w:p>
    <w:p>
      <w:pPr>
        <w:pStyle w:val="style0"/>
      </w:pPr>
      <w:r>
        <w:rPr>
          <w:rFonts w:ascii="Arial" w:cs="Arial" w:hAnsi="Arial"/>
          <w:sz w:val="22"/>
          <w:szCs w:val="22"/>
        </w:rPr>
      </w:r>
    </w:p>
    <w:p>
      <w:pPr>
        <w:pStyle w:val="style0"/>
      </w:pPr>
      <w:r>
        <w:rPr>
          <w:rFonts w:ascii="Arial" w:cs="Arial" w:hAnsi="Arial"/>
          <w:sz w:val="22"/>
          <w:szCs w:val="22"/>
        </w:rPr>
      </w:r>
    </w:p>
    <w:p>
      <w:pPr>
        <w:pStyle w:val="style0"/>
      </w:pPr>
      <w:r>
        <w:rPr>
          <w:rFonts w:ascii="Arial" w:cs="Arial" w:hAnsi="Arial"/>
          <w:sz w:val="22"/>
          <w:szCs w:val="22"/>
        </w:rPr>
      </w:r>
    </w:p>
    <w:p>
      <w:pPr>
        <w:pStyle w:val="style0"/>
      </w:pPr>
      <w:r>
        <w:rPr>
          <w:rFonts w:ascii="Arial" w:cs="Arial" w:hAnsi="Arial"/>
          <w:sz w:val="22"/>
          <w:szCs w:val="22"/>
        </w:rPr>
      </w:r>
    </w:p>
    <w:p>
      <w:pPr>
        <w:pStyle w:val="style0"/>
      </w:pPr>
      <w:r>
        <w:rPr>
          <w:rFonts w:ascii="Arial" w:cs="Arial" w:hAnsi="Arial"/>
          <w:sz w:val="22"/>
          <w:szCs w:val="22"/>
        </w:rPr>
      </w:r>
    </w:p>
    <w:p>
      <w:pPr>
        <w:pStyle w:val="style0"/>
      </w:pPr>
      <w:r>
        <w:rPr>
          <w:rFonts w:ascii="Arial" w:cs="Arial" w:hAnsi="Arial"/>
          <w:sz w:val="22"/>
          <w:szCs w:val="22"/>
        </w:rPr>
      </w:r>
    </w:p>
    <w:p>
      <w:pPr>
        <w:pStyle w:val="style0"/>
      </w:pPr>
      <w:r>
        <w:rPr>
          <w:rFonts w:ascii="Arial" w:cs="Arial" w:hAnsi="Arial"/>
          <w:sz w:val="22"/>
          <w:szCs w:val="22"/>
        </w:rPr>
        <w:t>Tabuľka č.2</w:t>
      </w:r>
    </w:p>
    <w:p>
      <w:pPr>
        <w:pStyle w:val="style0"/>
      </w:pPr>
      <w:bookmarkStart w:id="12" w:name="_MON_1456814536"/>
      <w:bookmarkEnd w:id="12"/>
      <w:r>
        <w:rPr/>
      </w:r>
    </w:p>
    <w:p>
      <w:pPr>
        <w:pStyle w:val="style0"/>
        <w:jc w:val="both"/>
      </w:pPr>
      <w:r>
        <w:rPr>
          <w:rFonts w:ascii="Arial" w:cs="Arial" w:hAnsi="Arial"/>
          <w:sz w:val="22"/>
          <w:szCs w:val="22"/>
        </w:rPr>
        <w:t>Náklady budúcich období a príjmy budúcich období sa vykazujú vo výške, ktorá je potrebná na dodržanie vecnej a časovej súvislosti s účtovným obdobím. V nákladoch budúcich období sú zaúčtované výdavky obdobia r. 2013, ktoré sa týkajú nákladov budúceho obdobia ( predplatné, poistenie majetku, kredit frankovacieho stroja a i.).</w:t>
      </w:r>
    </w:p>
    <w:p>
      <w:pPr>
        <w:pStyle w:val="style0"/>
      </w:pPr>
      <w:r>
        <w:rPr>
          <w:rFonts w:ascii="Arial" w:cs="Arial" w:hAnsi="Arial"/>
          <w:b/>
          <w:color w:val="C00000"/>
        </w:rPr>
      </w:r>
    </w:p>
    <w:p>
      <w:pPr>
        <w:pStyle w:val="style36"/>
        <w:keepNext/>
        <w:widowControl w:val="false"/>
        <w:spacing w:after="0" w:before="28"/>
        <w:jc w:val="left"/>
      </w:pPr>
      <w:bookmarkStart w:id="13" w:name="_MON_1456655004"/>
      <w:bookmarkEnd w:id="13"/>
      <w:r>
        <w:rPr/>
      </w:r>
    </w:p>
    <w:p>
      <w:pPr>
        <w:pStyle w:val="style36"/>
        <w:keepNext/>
        <w:widowControl w:val="false"/>
        <w:spacing w:after="0" w:before="28"/>
        <w:jc w:val="left"/>
      </w:pPr>
      <w:r>
        <w:rPr>
          <w:rFonts w:ascii="Arial" w:cs="Arial" w:hAnsi="Arial"/>
          <w:b w:val="false"/>
        </w:rPr>
        <w:t>Spoločnosť o tejto skutočnosti neúčtuje.</w:t>
      </w:r>
    </w:p>
    <w:p>
      <w:pPr>
        <w:pStyle w:val="style0"/>
        <w:jc w:val="both"/>
      </w:pPr>
      <w:r>
        <w:rPr>
          <w:rFonts w:ascii="Arial" w:cs="Arial" w:hAnsi="Arial"/>
          <w:sz w:val="22"/>
          <w:szCs w:val="22"/>
        </w:rPr>
      </w:r>
    </w:p>
    <w:p>
      <w:pPr>
        <w:pStyle w:val="style0"/>
        <w:jc w:val="both"/>
      </w:pPr>
      <w:r>
        <w:rPr>
          <w:rFonts w:ascii="Arial" w:cs="Arial" w:hAnsi="Arial"/>
          <w:b/>
          <w:sz w:val="22"/>
          <w:szCs w:val="22"/>
        </w:rPr>
        <w:t xml:space="preserve">x) </w:t>
      </w:r>
      <w:r>
        <w:rPr>
          <w:rFonts w:ascii="Arial" w:cs="Arial" w:hAnsi="Arial"/>
          <w:b/>
          <w:sz w:val="22"/>
          <w:szCs w:val="22"/>
          <w:u w:val="single"/>
        </w:rPr>
        <w:t xml:space="preserve">Opravné položky ku krátkodobému finančnému </w:t>
      </w:r>
      <w:r>
        <w:rPr>
          <w:rFonts w:ascii="Arial" w:cs="Arial" w:hAnsi="Arial"/>
          <w:sz w:val="22"/>
          <w:szCs w:val="22"/>
        </w:rPr>
        <w:t>Spoločnosť netvorila opravné položky ku krátkodobému finančnému majetku za bežné účtovné obdobie od 1.januára 2013 do 31.12.2013.</w:t>
      </w:r>
    </w:p>
    <w:p>
      <w:pPr>
        <w:pStyle w:val="style0"/>
        <w:jc w:val="both"/>
      </w:pPr>
      <w:r>
        <w:rPr>
          <w:rFonts w:ascii="Arial" w:cs="Arial" w:hAnsi="Arial"/>
          <w:sz w:val="22"/>
          <w:szCs w:val="22"/>
        </w:rPr>
      </w:r>
    </w:p>
    <w:p>
      <w:pPr>
        <w:pStyle w:val="style0"/>
        <w:jc w:val="both"/>
      </w:pPr>
      <w:r>
        <w:rPr>
          <w:rFonts w:ascii="Arial" w:cs="Arial" w:hAnsi="Arial"/>
          <w:b/>
          <w:sz w:val="22"/>
          <w:szCs w:val="22"/>
        </w:rPr>
        <w:t xml:space="preserve">y) </w:t>
      </w:r>
      <w:r>
        <w:rPr>
          <w:rFonts w:ascii="Arial" w:cs="Arial" w:hAnsi="Arial"/>
          <w:b/>
          <w:sz w:val="22"/>
          <w:szCs w:val="22"/>
          <w:u w:val="single"/>
        </w:rPr>
        <w:t>Krátkodobý finančný majetok, na ktorý bolo zriadené záložné právo</w:t>
      </w:r>
      <w:r>
        <w:rPr>
          <w:rFonts w:ascii="Arial" w:cs="Arial" w:hAnsi="Arial"/>
          <w:sz w:val="22"/>
          <w:szCs w:val="22"/>
        </w:rPr>
        <w:t xml:space="preserve"> a krátkodobý finančný majetok, pri ktorom má účtovná jednotka obmedzené právo s ním nakladať:</w:t>
      </w:r>
    </w:p>
    <w:p>
      <w:pPr>
        <w:pStyle w:val="style0"/>
        <w:jc w:val="both"/>
      </w:pPr>
      <w:r>
        <w:rPr>
          <w:rFonts w:ascii="Arial" w:cs="Arial" w:hAnsi="Arial"/>
          <w:sz w:val="22"/>
          <w:szCs w:val="22"/>
        </w:rPr>
      </w:r>
    </w:p>
    <w:p>
      <w:pPr>
        <w:pStyle w:val="style0"/>
        <w:jc w:val="both"/>
      </w:pPr>
      <w:r>
        <w:rPr>
          <w:rFonts w:ascii="Arial" w:cs="Arial" w:hAnsi="Arial"/>
          <w:sz w:val="22"/>
          <w:szCs w:val="22"/>
        </w:rPr>
        <w:t xml:space="preserve">Spoločnosť nemá zriadené záložné právo ku krátkodobému finančnému majetku ani obmedzené právo nakladania s ním. </w:t>
      </w:r>
    </w:p>
    <w:p>
      <w:pPr>
        <w:pStyle w:val="style0"/>
      </w:pPr>
      <w:r>
        <w:rPr>
          <w:rFonts w:ascii="Arial" w:cs="Arial" w:hAnsi="Arial"/>
          <w:sz w:val="22"/>
          <w:szCs w:val="22"/>
        </w:rPr>
      </w:r>
    </w:p>
    <w:p>
      <w:pPr>
        <w:pStyle w:val="style0"/>
        <w:jc w:val="both"/>
      </w:pPr>
      <w:r>
        <w:rPr>
          <w:rFonts w:ascii="Arial" w:cs="Arial" w:hAnsi="Arial"/>
          <w:b/>
          <w:sz w:val="22"/>
          <w:szCs w:val="22"/>
        </w:rPr>
        <w:t xml:space="preserve">zb) </w:t>
      </w:r>
      <w:r>
        <w:rPr>
          <w:rFonts w:ascii="Arial" w:cs="Arial" w:hAnsi="Arial"/>
          <w:b/>
          <w:sz w:val="22"/>
          <w:szCs w:val="22"/>
          <w:u w:val="single"/>
        </w:rPr>
        <w:t>Významné položky časového rozlíšenia</w:t>
      </w:r>
      <w:r>
        <w:rPr>
          <w:rFonts w:ascii="Arial" w:cs="Arial" w:hAnsi="Arial"/>
          <w:b/>
          <w:sz w:val="22"/>
          <w:szCs w:val="22"/>
        </w:rPr>
        <w:t xml:space="preserve"> </w:t>
      </w:r>
      <w:r>
        <w:rPr>
          <w:rFonts w:ascii="Arial" w:cs="Arial" w:hAnsi="Arial"/>
          <w:b/>
          <w:sz w:val="22"/>
          <w:szCs w:val="22"/>
          <w:u w:val="single"/>
        </w:rPr>
        <w:t>nákladov budúcich období a príjmov budúcich období</w:t>
      </w:r>
      <w:r>
        <w:rPr>
          <w:rFonts w:ascii="Arial" w:cs="Arial" w:hAnsi="Arial"/>
          <w:b/>
          <w:sz w:val="22"/>
          <w:szCs w:val="22"/>
        </w:rPr>
        <w:t>:</w:t>
      </w:r>
    </w:p>
    <w:p>
      <w:pPr>
        <w:pStyle w:val="style0"/>
      </w:pPr>
      <w:r>
        <w:rPr>
          <w:rFonts w:ascii="Arial" w:cs="Arial" w:hAnsi="Arial"/>
          <w:sz w:val="22"/>
          <w:szCs w:val="22"/>
        </w:rPr>
      </w:r>
    </w:p>
    <w:p>
      <w:pPr>
        <w:pStyle w:val="style36"/>
        <w:spacing w:after="120" w:before="28"/>
        <w:jc w:val="both"/>
      </w:pPr>
      <w:r>
        <w:rPr>
          <w:rFonts w:ascii="Arial" w:cs="Arial" w:hAnsi="Arial"/>
          <w:bCs w:val="false"/>
        </w:rPr>
        <w:t xml:space="preserve">zc) </w:t>
      </w:r>
      <w:r>
        <w:rPr>
          <w:rFonts w:ascii="Arial" w:cs="Arial" w:hAnsi="Arial"/>
          <w:bCs w:val="false"/>
          <w:u w:val="single"/>
        </w:rPr>
        <w:t>Majetok prenajatý formou</w:t>
      </w:r>
      <w:r>
        <w:rPr>
          <w:rFonts w:ascii="Arial" w:cs="Arial" w:hAnsi="Arial"/>
          <w:bCs w:val="false"/>
        </w:rPr>
        <w:t xml:space="preserve"> </w:t>
      </w:r>
      <w:r>
        <w:rPr>
          <w:rFonts w:ascii="Arial" w:cs="Arial" w:hAnsi="Arial"/>
          <w:bCs w:val="false"/>
          <w:u w:val="single"/>
        </w:rPr>
        <w:t>finančného prenájmu</w:t>
      </w:r>
      <w:r>
        <w:rPr>
          <w:rFonts w:ascii="Arial" w:cs="Arial" w:hAnsi="Arial"/>
          <w:bCs w:val="false"/>
        </w:rPr>
        <w:t xml:space="preserve"> </w:t>
      </w:r>
    </w:p>
    <w:p>
      <w:pPr>
        <w:pStyle w:val="style0"/>
        <w:spacing w:after="120" w:before="0"/>
      </w:pPr>
      <w:r>
        <w:rPr>
          <w:rFonts w:ascii="Arial" w:cs="Arial" w:hAnsi="Arial"/>
          <w:sz w:val="22"/>
          <w:szCs w:val="22"/>
        </w:rPr>
        <w:t xml:space="preserve">Účtovná jednotka od 1.januára 2013 do 31.12.2013 neúčtuje o majetku prenajatom formou finančného  prenájmu. </w:t>
      </w:r>
    </w:p>
    <w:p>
      <w:pPr>
        <w:pStyle w:val="style0"/>
        <w:jc w:val="both"/>
      </w:pPr>
      <w:r>
        <w:rPr>
          <w:rFonts w:ascii="Arial" w:cs="Arial" w:hAnsi="Arial"/>
          <w:sz w:val="22"/>
          <w:szCs w:val="22"/>
        </w:rPr>
      </w:r>
    </w:p>
    <w:p>
      <w:pPr>
        <w:pStyle w:val="style0"/>
        <w:ind w:hanging="0" w:left="0" w:right="-468"/>
        <w:jc w:val="both"/>
      </w:pPr>
      <w:r>
        <w:rPr>
          <w:rFonts w:ascii="Arial" w:cs="Arial" w:hAnsi="Arial"/>
          <w:b/>
          <w:bCs/>
          <w:sz w:val="22"/>
          <w:szCs w:val="22"/>
        </w:rPr>
        <w:t>G. INFORMÁCIE O ÚDAJOCH NA STRANE PASÍV SÚVAHY</w:t>
      </w:r>
    </w:p>
    <w:p>
      <w:pPr>
        <w:pStyle w:val="style0"/>
        <w:ind w:hanging="0" w:left="360" w:right="-468"/>
        <w:jc w:val="both"/>
      </w:pPr>
      <w:r>
        <w:rPr>
          <w:rFonts w:ascii="Arial" w:cs="Arial" w:hAnsi="Arial"/>
          <w:sz w:val="22"/>
          <w:szCs w:val="22"/>
        </w:rPr>
      </w:r>
    </w:p>
    <w:p>
      <w:pPr>
        <w:pStyle w:val="style0"/>
        <w:ind w:hanging="0" w:left="0" w:right="-468"/>
        <w:jc w:val="both"/>
      </w:pPr>
      <w:r>
        <w:rPr>
          <w:rFonts w:ascii="Arial" w:cs="Arial" w:hAnsi="Arial"/>
          <w:b/>
          <w:sz w:val="22"/>
          <w:szCs w:val="22"/>
        </w:rPr>
        <w:t>10. Informácia o vlastnom imaní</w:t>
      </w:r>
    </w:p>
    <w:p>
      <w:pPr>
        <w:pStyle w:val="style0"/>
        <w:ind w:hanging="0" w:left="0" w:right="-468"/>
        <w:jc w:val="both"/>
      </w:pPr>
      <w:r>
        <w:rPr>
          <w:rFonts w:ascii="Arial" w:cs="Arial" w:hAnsi="Arial"/>
          <w:b/>
          <w:sz w:val="22"/>
          <w:szCs w:val="22"/>
        </w:rPr>
      </w:r>
    </w:p>
    <w:p>
      <w:pPr>
        <w:pStyle w:val="style0"/>
        <w:ind w:hanging="0" w:left="0" w:right="-468"/>
        <w:jc w:val="both"/>
      </w:pPr>
      <w:r>
        <w:rPr>
          <w:rFonts w:ascii="Arial" w:cs="Arial" w:hAnsi="Arial"/>
          <w:b/>
          <w:sz w:val="22"/>
          <w:szCs w:val="22"/>
        </w:rPr>
        <w:t xml:space="preserve">a) </w:t>
      </w:r>
      <w:r>
        <w:rPr>
          <w:rFonts w:ascii="Arial" w:cs="Arial" w:hAnsi="Arial"/>
          <w:b/>
          <w:sz w:val="22"/>
          <w:szCs w:val="22"/>
          <w:u w:val="single"/>
        </w:rPr>
        <w:t>Vlastné imanie</w:t>
      </w:r>
      <w:r>
        <w:rPr>
          <w:rFonts w:ascii="Arial" w:cs="Arial" w:hAnsi="Arial"/>
          <w:sz w:val="22"/>
          <w:szCs w:val="22"/>
        </w:rPr>
        <w:t xml:space="preserve"> za bežné účtovné obdobie sú podrobnejšie popísané  v časti C a P.</w:t>
      </w:r>
    </w:p>
    <w:p>
      <w:pPr>
        <w:pStyle w:val="style0"/>
        <w:ind w:hanging="0" w:left="1004" w:right="-468"/>
        <w:jc w:val="both"/>
      </w:pPr>
      <w:r>
        <w:rPr>
          <w:rFonts w:ascii="Arial" w:cs="Arial" w:hAnsi="Arial"/>
          <w:sz w:val="22"/>
          <w:szCs w:val="22"/>
        </w:rPr>
      </w:r>
    </w:p>
    <w:p>
      <w:pPr>
        <w:pStyle w:val="style0"/>
        <w:jc w:val="both"/>
      </w:pPr>
      <w:r>
        <w:rPr>
          <w:rFonts w:ascii="Arial" w:cs="Arial" w:hAnsi="Arial"/>
          <w:sz w:val="22"/>
          <w:szCs w:val="22"/>
        </w:rPr>
        <w:t xml:space="preserve">1. </w:t>
      </w:r>
      <w:r>
        <w:rPr>
          <w:rFonts w:ascii="Arial" w:cs="Arial" w:hAnsi="Arial"/>
          <w:sz w:val="22"/>
          <w:szCs w:val="22"/>
          <w:u w:val="single"/>
        </w:rPr>
        <w:t>Opis základného imania</w:t>
      </w:r>
      <w:r>
        <w:rPr>
          <w:rFonts w:ascii="Arial" w:cs="Arial" w:hAnsi="Arial"/>
          <w:sz w:val="22"/>
          <w:szCs w:val="22"/>
        </w:rPr>
        <w:t xml:space="preserve"> najmä počet akcií, hodnota akcií, práva spojené s jednotlivými druhmi akcií, splatené základné imanie je podrobnejšie popísané v časti C a P. </w:t>
      </w:r>
    </w:p>
    <w:p>
      <w:pPr>
        <w:pStyle w:val="style0"/>
        <w:jc w:val="both"/>
      </w:pPr>
      <w:r>
        <w:rPr>
          <w:rFonts w:ascii="Arial" w:cs="Arial" w:hAnsi="Arial"/>
          <w:sz w:val="22"/>
          <w:szCs w:val="22"/>
        </w:rPr>
      </w:r>
    </w:p>
    <w:p>
      <w:pPr>
        <w:pStyle w:val="style0"/>
        <w:jc w:val="both"/>
      </w:pPr>
      <w:r>
        <w:rPr>
          <w:rFonts w:ascii="Arial" w:cs="Arial" w:hAnsi="Arial"/>
          <w:sz w:val="22"/>
          <w:szCs w:val="22"/>
        </w:rPr>
        <w:t xml:space="preserve">2. </w:t>
      </w:r>
      <w:r>
        <w:rPr>
          <w:rFonts w:ascii="Arial" w:cs="Arial" w:hAnsi="Arial"/>
          <w:sz w:val="22"/>
          <w:szCs w:val="22"/>
          <w:u w:val="single"/>
        </w:rPr>
        <w:t>Hodnota upísaného vlastného</w:t>
      </w:r>
      <w:r>
        <w:rPr>
          <w:rFonts w:ascii="Arial" w:cs="Arial" w:hAnsi="Arial"/>
          <w:sz w:val="22"/>
          <w:szCs w:val="22"/>
        </w:rPr>
        <w:t xml:space="preserve"> imania je podrobnejšie popísaná v časti C a P.  </w:t>
      </w:r>
    </w:p>
    <w:p>
      <w:pPr>
        <w:pStyle w:val="style0"/>
        <w:jc w:val="both"/>
      </w:pPr>
      <w:r>
        <w:rPr>
          <w:rFonts w:ascii="Arial" w:cs="Arial" w:hAnsi="Arial"/>
          <w:sz w:val="22"/>
          <w:szCs w:val="22"/>
        </w:rPr>
      </w:r>
    </w:p>
    <w:p>
      <w:pPr>
        <w:pStyle w:val="style0"/>
        <w:jc w:val="both"/>
      </w:pPr>
      <w:r>
        <w:rPr>
          <w:rFonts w:ascii="Arial" w:cs="Arial" w:hAnsi="Arial"/>
          <w:sz w:val="22"/>
          <w:szCs w:val="22"/>
        </w:rPr>
        <w:t xml:space="preserve">3. </w:t>
      </w:r>
      <w:r>
        <w:rPr>
          <w:rFonts w:ascii="Arial" w:cs="Arial" w:hAnsi="Arial"/>
          <w:sz w:val="22"/>
          <w:szCs w:val="22"/>
          <w:u w:val="single"/>
        </w:rPr>
        <w:t>Rozdelenie účtovného zisku alebo vysporiadanie účtovnej straty vykázanej v predchádzajúcom účtovnom obdob</w:t>
      </w:r>
      <w:r>
        <w:rPr>
          <w:rFonts w:ascii="Arial" w:cs="Arial" w:hAnsi="Arial"/>
          <w:sz w:val="22"/>
          <w:szCs w:val="22"/>
        </w:rPr>
        <w:t>í:</w:t>
      </w:r>
    </w:p>
    <w:p>
      <w:pPr>
        <w:pStyle w:val="style0"/>
        <w:jc w:val="both"/>
      </w:pPr>
      <w:r>
        <w:rPr>
          <w:rFonts w:ascii="Arial" w:cs="Arial" w:hAnsi="Arial"/>
          <w:sz w:val="22"/>
          <w:szCs w:val="22"/>
        </w:rPr>
      </w:r>
    </w:p>
    <w:p>
      <w:pPr>
        <w:pStyle w:val="style0"/>
        <w:jc w:val="both"/>
      </w:pPr>
      <w:r>
        <w:rPr>
          <w:rFonts w:ascii="Arial" w:cs="Arial" w:hAnsi="Arial"/>
          <w:sz w:val="22"/>
          <w:szCs w:val="22"/>
        </w:rPr>
        <w:t>Informácie o rozdelení účtovného zisku a o vysporiadaní účtovnej straty za bežné a predchádzajúce účtovné obdobie  sú uvedené v nasledujúcej tabuľke:</w:t>
      </w:r>
    </w:p>
    <w:p>
      <w:pPr>
        <w:pStyle w:val="style0"/>
        <w:jc w:val="both"/>
      </w:pPr>
      <w:r>
        <w:rPr>
          <w:rFonts w:ascii="Arial" w:cs="Arial" w:hAnsi="Arial"/>
          <w:sz w:val="22"/>
          <w:szCs w:val="22"/>
        </w:rPr>
      </w:r>
    </w:p>
    <w:p>
      <w:pPr>
        <w:pStyle w:val="style0"/>
      </w:pPr>
      <w:bookmarkStart w:id="14" w:name="_MON_1456661233"/>
      <w:bookmarkEnd w:id="14"/>
      <w:r>
        <w:rPr/>
      </w:r>
    </w:p>
    <w:p>
      <w:pPr>
        <w:pStyle w:val="style36"/>
        <w:tabs>
          <w:tab w:leader="none" w:pos="2488" w:val="left"/>
        </w:tabs>
        <w:spacing w:after="0" w:before="28"/>
        <w:jc w:val="left"/>
      </w:pPr>
      <w:r>
        <w:rPr>
          <w:rFonts w:ascii="Arial" w:cs="Arial" w:hAnsi="Arial"/>
        </w:rPr>
      </w:r>
    </w:p>
    <w:p>
      <w:pPr>
        <w:pStyle w:val="style0"/>
        <w:jc w:val="both"/>
      </w:pPr>
      <w:r>
        <w:rPr>
          <w:rFonts w:ascii="Arial" w:cs="Arial" w:hAnsi="Arial"/>
          <w:sz w:val="22"/>
          <w:szCs w:val="22"/>
        </w:rPr>
      </w:r>
    </w:p>
    <w:p>
      <w:pPr>
        <w:pStyle w:val="style0"/>
        <w:jc w:val="both"/>
      </w:pPr>
      <w:r>
        <w:rPr>
          <w:rFonts w:ascii="Arial" w:cs="Arial" w:hAnsi="Arial"/>
          <w:sz w:val="22"/>
          <w:szCs w:val="22"/>
        </w:rPr>
        <w:t xml:space="preserve">4. </w:t>
      </w:r>
      <w:r>
        <w:rPr>
          <w:rFonts w:ascii="Arial" w:cs="Arial" w:hAnsi="Arial"/>
          <w:sz w:val="22"/>
          <w:szCs w:val="22"/>
          <w:u w:val="single"/>
        </w:rPr>
        <w:t>Akcie a podiely na základnom imaní</w:t>
      </w:r>
      <w:r>
        <w:rPr>
          <w:rFonts w:ascii="Arial" w:cs="Arial" w:hAnsi="Arial"/>
          <w:sz w:val="22"/>
          <w:szCs w:val="22"/>
        </w:rPr>
        <w:t xml:space="preserve"> vlastnené účtovnou jednotkou, vrátane akcií a podielov na základnom imaní vlastnených jej dcérskymi účtovnými jednotkami a osobami, v ktorých má účtovná jednotka podstatný vplyv Spoločnosť v účtovníctve nevykazuje z dôvodu, že v takýchto účtovných jednotkách nemá podstatný vplyv.</w:t>
      </w:r>
    </w:p>
    <w:p>
      <w:pPr>
        <w:pStyle w:val="style0"/>
        <w:jc w:val="both"/>
      </w:pPr>
      <w:r>
        <w:rPr>
          <w:rFonts w:ascii="Arial" w:cs="Arial" w:hAnsi="Arial"/>
          <w:sz w:val="22"/>
          <w:szCs w:val="22"/>
        </w:rPr>
      </w:r>
    </w:p>
    <w:p>
      <w:pPr>
        <w:pStyle w:val="style0"/>
        <w:jc w:val="both"/>
      </w:pPr>
      <w:r>
        <w:rPr>
          <w:rFonts w:ascii="Arial" w:cs="Arial" w:hAnsi="Arial"/>
          <w:sz w:val="22"/>
          <w:szCs w:val="22"/>
        </w:rPr>
        <w:t xml:space="preserve">5. </w:t>
      </w:r>
      <w:r>
        <w:rPr>
          <w:rFonts w:ascii="Arial" w:cs="Arial" w:hAnsi="Arial"/>
          <w:sz w:val="22"/>
          <w:szCs w:val="22"/>
          <w:u w:val="single"/>
        </w:rPr>
        <w:t>Prehľad o zisku alebo strate</w:t>
      </w:r>
      <w:r>
        <w:rPr>
          <w:rFonts w:ascii="Arial" w:cs="Arial" w:hAnsi="Arial"/>
          <w:sz w:val="22"/>
          <w:szCs w:val="22"/>
        </w:rPr>
        <w:t>, ktorá nebola účtovaná ako náklad alebo výnos, ale priamo na účty vlastného imania, najmä zmeny reálnej hodnoty majetku, zmeny hodnoty majetku pri použití metódy vlastného imania; uvádza sa aj súčet ziskov a strát:</w:t>
      </w:r>
    </w:p>
    <w:p>
      <w:pPr>
        <w:pStyle w:val="style0"/>
        <w:jc w:val="both"/>
      </w:pPr>
      <w:r>
        <w:rPr>
          <w:rFonts w:ascii="Arial" w:cs="Arial" w:hAnsi="Arial"/>
          <w:sz w:val="22"/>
          <w:szCs w:val="22"/>
        </w:rPr>
        <w:t>Spoločnosť o takýchto položkách od 01.januára 2013 do 31.decembra 2013 neúčtovala.</w:t>
      </w:r>
    </w:p>
    <w:p>
      <w:pPr>
        <w:pStyle w:val="style0"/>
        <w:jc w:val="both"/>
      </w:pPr>
      <w:r>
        <w:rPr>
          <w:rFonts w:ascii="Arial" w:cs="Arial" w:hAnsi="Arial"/>
          <w:sz w:val="22"/>
          <w:szCs w:val="22"/>
        </w:rPr>
      </w:r>
    </w:p>
    <w:p>
      <w:pPr>
        <w:pStyle w:val="style0"/>
        <w:jc w:val="both"/>
      </w:pPr>
      <w:r>
        <w:rPr>
          <w:rFonts w:ascii="Arial" w:cs="Arial" w:hAnsi="Arial"/>
          <w:sz w:val="22"/>
          <w:szCs w:val="22"/>
        </w:rPr>
        <w:t xml:space="preserve">6. </w:t>
      </w:r>
      <w:r>
        <w:rPr>
          <w:rFonts w:ascii="Arial" w:cs="Arial" w:hAnsi="Arial"/>
          <w:sz w:val="22"/>
          <w:szCs w:val="22"/>
          <w:u w:val="single"/>
        </w:rPr>
        <w:t>Zisk na 1. akciu</w:t>
      </w:r>
      <w:r>
        <w:rPr>
          <w:rFonts w:ascii="Arial" w:cs="Arial" w:hAnsi="Arial"/>
          <w:sz w:val="22"/>
          <w:szCs w:val="22"/>
        </w:rPr>
        <w:t xml:space="preserve"> k 31.12.2013predstavuje  0,26 EUR</w:t>
      </w:r>
      <w:r>
        <w:rPr>
          <w:rFonts w:ascii="Arial" w:cs="Arial" w:hAnsi="Arial"/>
          <w:color w:val="FF0000"/>
          <w:sz w:val="22"/>
          <w:szCs w:val="22"/>
        </w:rPr>
        <w:t>.</w:t>
      </w:r>
    </w:p>
    <w:p>
      <w:pPr>
        <w:pStyle w:val="style0"/>
        <w:jc w:val="both"/>
      </w:pPr>
      <w:r>
        <w:rPr>
          <w:rFonts w:ascii="Arial" w:cs="Arial" w:hAnsi="Arial"/>
          <w:sz w:val="22"/>
          <w:szCs w:val="22"/>
        </w:rPr>
      </w:r>
    </w:p>
    <w:p>
      <w:pPr>
        <w:pStyle w:val="style0"/>
        <w:ind w:hanging="0" w:left="0" w:right="-468"/>
        <w:jc w:val="both"/>
      </w:pPr>
      <w:r>
        <w:rPr>
          <w:rFonts w:ascii="Arial" w:cs="Arial" w:hAnsi="Arial"/>
          <w:b/>
          <w:sz w:val="22"/>
          <w:szCs w:val="22"/>
        </w:rPr>
        <w:t xml:space="preserve">b) </w:t>
      </w:r>
      <w:r>
        <w:rPr>
          <w:rFonts w:ascii="Arial" w:cs="Arial" w:hAnsi="Arial"/>
          <w:b/>
          <w:sz w:val="22"/>
          <w:szCs w:val="22"/>
          <w:u w:val="single"/>
        </w:rPr>
        <w:t>Jednotlivé druhy rezerv</w:t>
      </w:r>
      <w:r>
        <w:rPr>
          <w:rFonts w:ascii="Arial" w:cs="Arial" w:hAnsi="Arial"/>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Pr>
          <w:rFonts w:ascii="Arial" w:cs="Arial" w:hAnsi="Arial"/>
          <w:b/>
          <w:sz w:val="22"/>
          <w:szCs w:val="22"/>
          <w:u w:val="single"/>
        </w:rPr>
        <w:t>rok použitia</w:t>
      </w:r>
      <w:r>
        <w:rPr>
          <w:rFonts w:ascii="Arial" w:cs="Arial" w:hAnsi="Arial"/>
          <w:sz w:val="22"/>
          <w:szCs w:val="22"/>
        </w:rPr>
        <w:t xml:space="preserve"> rezerv:</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sz w:val="22"/>
          <w:szCs w:val="22"/>
        </w:rPr>
        <w:t>Informácie o rezervách sú uvedené v nasledujúcich tabuľkách:</w:t>
      </w:r>
    </w:p>
    <w:p>
      <w:pPr>
        <w:pStyle w:val="style0"/>
      </w:pPr>
      <w:r>
        <w:rPr>
          <w:rFonts w:ascii="Arial" w:cs="Arial" w:hAnsi="Arial"/>
          <w:sz w:val="22"/>
          <w:szCs w:val="22"/>
        </w:rPr>
      </w:r>
    </w:p>
    <w:p>
      <w:pPr>
        <w:pStyle w:val="style0"/>
      </w:pPr>
      <w:r>
        <w:rPr>
          <w:rFonts w:ascii="Arial" w:cs="Arial" w:hAnsi="Arial"/>
          <w:sz w:val="22"/>
          <w:szCs w:val="22"/>
        </w:rPr>
      </w:r>
    </w:p>
    <w:p>
      <w:pPr>
        <w:pStyle w:val="style0"/>
      </w:pPr>
      <w:r>
        <w:rPr>
          <w:rFonts w:ascii="Arial" w:cs="Arial" w:hAnsi="Arial"/>
          <w:sz w:val="22"/>
          <w:szCs w:val="22"/>
        </w:rPr>
      </w:r>
    </w:p>
    <w:p>
      <w:pPr>
        <w:pStyle w:val="style0"/>
      </w:pPr>
      <w:r>
        <w:rPr>
          <w:rFonts w:ascii="Arial" w:cs="Arial" w:hAnsi="Arial"/>
          <w:sz w:val="22"/>
          <w:szCs w:val="22"/>
        </w:rPr>
      </w:r>
    </w:p>
    <w:p>
      <w:pPr>
        <w:pStyle w:val="style0"/>
      </w:pPr>
      <w:r>
        <w:rPr>
          <w:rFonts w:ascii="Arial" w:cs="Arial" w:hAnsi="Arial"/>
          <w:sz w:val="22"/>
          <w:szCs w:val="22"/>
        </w:rPr>
      </w:r>
    </w:p>
    <w:p>
      <w:pPr>
        <w:pStyle w:val="style0"/>
      </w:pPr>
      <w:r>
        <w:rPr>
          <w:rFonts w:ascii="Arial" w:cs="Arial" w:hAnsi="Arial"/>
          <w:sz w:val="22"/>
          <w:szCs w:val="22"/>
        </w:rPr>
      </w:r>
    </w:p>
    <w:p>
      <w:pPr>
        <w:pStyle w:val="style0"/>
      </w:pPr>
      <w:r>
        <w:rPr>
          <w:rFonts w:ascii="Arial" w:cs="Arial" w:hAnsi="Arial"/>
          <w:sz w:val="22"/>
          <w:szCs w:val="22"/>
        </w:rPr>
        <w:t>Tabuľka č. 1</w:t>
      </w:r>
    </w:p>
    <w:p>
      <w:pPr>
        <w:pStyle w:val="style0"/>
      </w:pPr>
      <w:bookmarkStart w:id="15" w:name="_MON_1455904767"/>
      <w:bookmarkEnd w:id="15"/>
      <w:r>
        <w:rPr/>
      </w:r>
    </w:p>
    <w:p>
      <w:pPr>
        <w:pStyle w:val="style0"/>
      </w:pPr>
      <w:r>
        <w:rPr>
          <w:rFonts w:ascii="Arial" w:cs="Arial" w:hAnsi="Arial"/>
          <w:sz w:val="22"/>
          <w:szCs w:val="22"/>
        </w:rPr>
        <w:t>Tabuľka  č. 2</w:t>
      </w:r>
      <w:bookmarkStart w:id="16" w:name="_MON_1455904702"/>
      <w:bookmarkEnd w:id="16"/>
      <w:r>
        <w:rPr/>
      </w:r>
    </w:p>
    <w:p>
      <w:pPr>
        <w:pStyle w:val="style0"/>
        <w:jc w:val="both"/>
      </w:pPr>
      <w:r>
        <w:rPr>
          <w:rFonts w:ascii="Arial" w:cs="Arial" w:hAnsi="Arial"/>
          <w:sz w:val="22"/>
          <w:szCs w:val="22"/>
        </w:rPr>
        <w:t xml:space="preserve">Rezerva na odchodné do dôchodku bola vytvorená s použitím poistnej matematiky a rezerva na odstupné bola vytvorená v súvislosti s dlhodobým plánom zamestnancom aktuárom. </w:t>
      </w:r>
    </w:p>
    <w:p>
      <w:pPr>
        <w:pStyle w:val="style0"/>
        <w:jc w:val="both"/>
      </w:pPr>
      <w:r>
        <w:rPr>
          <w:rFonts w:ascii="Arial" w:cs="Arial" w:hAnsi="Arial"/>
          <w:sz w:val="22"/>
          <w:szCs w:val="22"/>
        </w:rPr>
        <w:t>Krátkodobé rezervy sa vzťahujú na rok 2013. Jedná sa o zákonné rezervy na nevyčerpané dovolenky, zdravotné a sociálne poistenie vzťahujúce sa na nevyčerpané dovolenky vo výške 157 024 EUR a tiež rezerva na vypracovanie výročnej správy  a audítorske služby vo výške 9 180 EUR a rezerva na odmenu aktuára a spoločnosť Onmnitrade vo výške 1 390 EUR. Ostatné krátkodobé rezervy na nevyplatené prémie, zdravotné a sociálne poistenie vytvorené k nevyplateným prémiám a odchodné boli vytvorené vo  výške 38 914 EUR.</w:t>
      </w:r>
    </w:p>
    <w:p>
      <w:pPr>
        <w:pStyle w:val="style0"/>
        <w:jc w:val="both"/>
      </w:pPr>
      <w:r>
        <w:rPr>
          <w:rFonts w:ascii="Arial" w:cs="Arial" w:hAnsi="Arial"/>
          <w:sz w:val="22"/>
          <w:szCs w:val="22"/>
        </w:rPr>
        <w:t>Dlhodobé rezervy boli tvorené na krytie odhadovaného záväzku, týkajúce sa budúceho odchodného pre zamestnancov odchádzajúcich do starobného dôchodku podľa dohodnutej Kolektívnej zmluvy vo výške 512 009 EUR. , na vedené súdne spory s Roľníckym družstvom Stará Bystrica a s p. Behríkovou celkom 206 252 EUR.</w:t>
      </w:r>
    </w:p>
    <w:p>
      <w:pPr>
        <w:pStyle w:val="style0"/>
      </w:pPr>
      <w:r>
        <w:rPr>
          <w:rFonts w:ascii="Arial" w:cs="Arial" w:hAnsi="Arial"/>
          <w:sz w:val="22"/>
          <w:szCs w:val="22"/>
        </w:rPr>
      </w:r>
    </w:p>
    <w:p>
      <w:pPr>
        <w:pStyle w:val="style0"/>
        <w:ind w:hanging="0" w:left="0" w:right="-468"/>
        <w:jc w:val="both"/>
      </w:pPr>
      <w:r>
        <w:rPr>
          <w:rFonts w:ascii="Arial" w:cs="Arial" w:hAnsi="Arial"/>
          <w:b/>
          <w:sz w:val="22"/>
          <w:szCs w:val="22"/>
        </w:rPr>
        <w:t xml:space="preserve">c), d) </w:t>
      </w:r>
      <w:r>
        <w:rPr>
          <w:rFonts w:ascii="Arial" w:cs="Arial" w:hAnsi="Arial"/>
          <w:b/>
          <w:sz w:val="22"/>
          <w:szCs w:val="22"/>
          <w:u w:val="single"/>
        </w:rPr>
        <w:t>Výška záväzkov po lehote splatnosti a štruktúra záväzkov do lehoty splatnosti podľa zostatkovej doby splatnosti</w:t>
      </w:r>
    </w:p>
    <w:p>
      <w:pPr>
        <w:pStyle w:val="style0"/>
        <w:ind w:hanging="0" w:left="0" w:right="-468"/>
        <w:jc w:val="both"/>
      </w:pPr>
      <w:r>
        <w:rPr>
          <w:rFonts w:ascii="Arial" w:cs="Arial" w:hAnsi="Arial"/>
          <w:b/>
          <w:sz w:val="22"/>
          <w:szCs w:val="22"/>
          <w:u w:val="single"/>
        </w:rPr>
      </w:r>
    </w:p>
    <w:p>
      <w:pPr>
        <w:pStyle w:val="style0"/>
        <w:spacing w:after="120" w:before="0"/>
        <w:ind w:hanging="0" w:left="0" w:right="-471"/>
        <w:jc w:val="both"/>
      </w:pPr>
      <w:r>
        <w:rPr>
          <w:rFonts w:ascii="Arial" w:cs="Arial" w:hAnsi="Arial"/>
          <w:sz w:val="22"/>
          <w:szCs w:val="22"/>
        </w:rPr>
        <w:t>Informácie sú uvedené  v nasledujúcej tabuľke:</w:t>
      </w:r>
    </w:p>
    <w:p>
      <w:pPr>
        <w:pStyle w:val="style0"/>
        <w:spacing w:after="120" w:before="0"/>
        <w:ind w:hanging="0" w:left="0" w:right="-471"/>
        <w:jc w:val="both"/>
      </w:pPr>
      <w:bookmarkStart w:id="17" w:name="_MON_1457440337"/>
      <w:bookmarkEnd w:id="17"/>
      <w:r>
        <w:rPr/>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b/>
          <w:sz w:val="22"/>
          <w:szCs w:val="22"/>
        </w:rPr>
        <w:t xml:space="preserve">e) </w:t>
      </w:r>
      <w:r>
        <w:rPr>
          <w:rFonts w:ascii="Arial" w:cs="Arial" w:hAnsi="Arial"/>
          <w:b/>
          <w:sz w:val="22"/>
          <w:szCs w:val="22"/>
          <w:u w:val="single"/>
        </w:rPr>
        <w:t>Hodnota záväzku zabezpečenom záložným právom</w:t>
      </w:r>
      <w:r>
        <w:rPr>
          <w:rFonts w:ascii="Arial" w:cs="Arial" w:hAnsi="Arial"/>
          <w:sz w:val="22"/>
          <w:szCs w:val="22"/>
        </w:rPr>
        <w:t xml:space="preserve"> alebo zabezpečeným inou formou zabezpečenia a to s uvedením formy zabezpečenia. O týchto záväzkoch Spoločnosť neúčtovala. </w:t>
      </w:r>
    </w:p>
    <w:p>
      <w:pPr>
        <w:pStyle w:val="style0"/>
        <w:ind w:hanging="0" w:left="0" w:right="-468"/>
        <w:jc w:val="both"/>
      </w:pPr>
      <w:r>
        <w:rPr>
          <w:rFonts w:ascii="Arial" w:cs="Arial" w:hAnsi="Arial"/>
          <w:sz w:val="22"/>
          <w:szCs w:val="22"/>
        </w:rPr>
      </w:r>
    </w:p>
    <w:p>
      <w:pPr>
        <w:pStyle w:val="style0"/>
        <w:spacing w:after="120" w:before="0"/>
        <w:ind w:hanging="0" w:left="0" w:right="-471"/>
        <w:jc w:val="both"/>
      </w:pPr>
      <w:r>
        <w:rPr>
          <w:rFonts w:ascii="Arial" w:cs="Arial" w:hAnsi="Arial"/>
          <w:b/>
          <w:sz w:val="22"/>
          <w:szCs w:val="22"/>
        </w:rPr>
        <w:t xml:space="preserve">f) </w:t>
      </w:r>
      <w:r>
        <w:rPr>
          <w:rFonts w:ascii="Arial" w:cs="Arial" w:hAnsi="Arial"/>
          <w:b/>
          <w:sz w:val="22"/>
          <w:szCs w:val="22"/>
          <w:u w:val="single"/>
        </w:rPr>
        <w:t>Spôsob vzniku odloženého daňového záväzku</w:t>
      </w:r>
      <w:r>
        <w:rPr>
          <w:rFonts w:ascii="Arial" w:cs="Arial" w:hAnsi="Arial"/>
          <w:sz w:val="22"/>
          <w:szCs w:val="22"/>
        </w:rPr>
        <w:t xml:space="preserve">: </w:t>
      </w:r>
    </w:p>
    <w:p>
      <w:pPr>
        <w:pStyle w:val="style0"/>
        <w:spacing w:after="120" w:before="0"/>
        <w:ind w:hanging="0" w:left="0" w:right="-471"/>
        <w:jc w:val="both"/>
      </w:pPr>
      <w:r>
        <w:rPr>
          <w:rFonts w:ascii="Arial" w:cs="Arial" w:hAnsi="Arial"/>
          <w:sz w:val="22"/>
          <w:szCs w:val="22"/>
        </w:rPr>
        <w:t>Informácie k prílohe o odloženom daňovom záväzku sú uvedené v nasledujúcej tabuľke:</w:t>
      </w:r>
    </w:p>
    <w:p>
      <w:pPr>
        <w:pStyle w:val="style0"/>
        <w:spacing w:after="120" w:before="0"/>
        <w:ind w:hanging="0" w:left="0" w:right="-471"/>
        <w:jc w:val="both"/>
      </w:pPr>
      <w:r>
        <w:rPr>
          <w:rFonts w:ascii="Arial" w:cs="Arial" w:hAnsi="Arial"/>
          <w:sz w:val="22"/>
          <w:szCs w:val="22"/>
          <w:u w:val="single"/>
        </w:rPr>
      </w:r>
    </w:p>
    <w:p>
      <w:pPr>
        <w:pStyle w:val="style0"/>
        <w:spacing w:after="120" w:before="0"/>
        <w:ind w:hanging="0" w:left="0" w:right="-471"/>
        <w:jc w:val="both"/>
      </w:pPr>
      <w:bookmarkStart w:id="18" w:name="_MON_1456032247"/>
      <w:bookmarkEnd w:id="18"/>
      <w:r>
        <w:rPr/>
      </w:r>
    </w:p>
    <w:p>
      <w:pPr>
        <w:pStyle w:val="style0"/>
        <w:ind w:hanging="0" w:left="0" w:right="-468"/>
        <w:jc w:val="both"/>
      </w:pPr>
      <w:r>
        <w:rPr>
          <w:rFonts w:ascii="Arial" w:cs="Arial" w:hAnsi="Arial"/>
          <w:b/>
          <w:sz w:val="22"/>
          <w:szCs w:val="22"/>
        </w:rPr>
      </w:r>
    </w:p>
    <w:p>
      <w:pPr>
        <w:pStyle w:val="style0"/>
        <w:ind w:hanging="0" w:left="0" w:right="-468"/>
        <w:jc w:val="both"/>
      </w:pPr>
      <w:r>
        <w:rPr>
          <w:rFonts w:ascii="Arial" w:cs="Arial" w:hAnsi="Arial"/>
          <w:b/>
          <w:sz w:val="22"/>
          <w:szCs w:val="22"/>
        </w:rPr>
        <w:t xml:space="preserve">g) </w:t>
      </w:r>
      <w:r>
        <w:rPr>
          <w:rFonts w:ascii="Arial" w:cs="Arial" w:hAnsi="Arial"/>
          <w:b/>
          <w:sz w:val="22"/>
          <w:szCs w:val="22"/>
          <w:u w:val="single"/>
        </w:rPr>
        <w:t>Záväzky zo sociálneho fondu</w:t>
      </w:r>
      <w:r>
        <w:rPr>
          <w:rFonts w:ascii="Arial" w:cs="Arial" w:hAnsi="Arial"/>
          <w:b/>
          <w:sz w:val="22"/>
          <w:szCs w:val="22"/>
        </w:rPr>
        <w:t xml:space="preserve">: </w:t>
      </w:r>
    </w:p>
    <w:p>
      <w:pPr>
        <w:pStyle w:val="style0"/>
        <w:ind w:hanging="0" w:left="0" w:right="-468"/>
        <w:jc w:val="both"/>
      </w:pPr>
      <w:r>
        <w:rPr>
          <w:rFonts w:ascii="Arial" w:cs="Arial" w:hAnsi="Arial"/>
          <w:b/>
          <w:sz w:val="22"/>
          <w:szCs w:val="22"/>
        </w:rPr>
        <w:t xml:space="preserve"> </w:t>
      </w:r>
    </w:p>
    <w:p>
      <w:pPr>
        <w:pStyle w:val="style0"/>
        <w:spacing w:after="120" w:before="0"/>
        <w:jc w:val="both"/>
      </w:pPr>
      <w:r>
        <w:rPr>
          <w:rFonts w:ascii="Arial" w:cs="Arial" w:hAnsi="Arial"/>
          <w:sz w:val="22"/>
          <w:szCs w:val="22"/>
        </w:rPr>
        <w:t>Informácie o záväzkoch zo sociálneho fondu sú uvedené v nasledujúcej tabuľke:</w:t>
      </w:r>
    </w:p>
    <w:p>
      <w:pPr>
        <w:pStyle w:val="style0"/>
        <w:spacing w:after="120" w:before="0"/>
        <w:jc w:val="both"/>
      </w:pPr>
      <w:bookmarkStart w:id="19" w:name="_MON_1455946266"/>
      <w:bookmarkEnd w:id="19"/>
      <w:r>
        <w:rPr/>
      </w:r>
    </w:p>
    <w:p>
      <w:pPr>
        <w:pStyle w:val="style0"/>
        <w:spacing w:after="120" w:before="0"/>
        <w:jc w:val="both"/>
      </w:pPr>
      <w:r>
        <w:rPr>
          <w:rFonts w:ascii="Arial" w:cs="Arial" w:hAnsi="Arial"/>
          <w:sz w:val="22"/>
          <w:szCs w:val="22"/>
        </w:rPr>
        <w:t>Spoločnosť časť sociálneho fondu podľa zákona o sociálnom fonde tvorí povinne na ťarchu nákladov a časť môže vytvárať z čistého zisku. Sociálny fond sa podľa zákona o sociálnom fonde čerpá na sociálne, rekreačné a iné potreby zamestnancov.</w:t>
      </w:r>
    </w:p>
    <w:p>
      <w:pPr>
        <w:pStyle w:val="style0"/>
        <w:spacing w:after="120" w:before="0"/>
        <w:ind w:hanging="0" w:left="0" w:right="-468"/>
      </w:pPr>
      <w:r>
        <w:rPr>
          <w:rFonts w:ascii="Arial" w:cs="Arial" w:hAnsi="Arial"/>
          <w:sz w:val="22"/>
          <w:szCs w:val="22"/>
        </w:rPr>
      </w:r>
    </w:p>
    <w:p>
      <w:pPr>
        <w:pStyle w:val="style0"/>
        <w:spacing w:after="120" w:before="0"/>
        <w:ind w:hanging="0" w:left="0" w:right="-468"/>
      </w:pPr>
      <w:r>
        <w:rPr>
          <w:rFonts w:ascii="Arial" w:cs="Arial" w:hAnsi="Arial"/>
          <w:b/>
          <w:sz w:val="22"/>
          <w:szCs w:val="22"/>
        </w:rPr>
        <w:t xml:space="preserve">h) </w:t>
      </w:r>
      <w:r>
        <w:rPr>
          <w:rFonts w:ascii="Arial" w:cs="Arial" w:hAnsi="Arial"/>
          <w:b/>
          <w:sz w:val="22"/>
          <w:szCs w:val="22"/>
          <w:u w:val="single"/>
        </w:rPr>
        <w:t>Vydané dlhopisy</w:t>
      </w:r>
      <w:r>
        <w:rPr>
          <w:rFonts w:ascii="Arial" w:cs="Arial" w:hAnsi="Arial"/>
          <w:sz w:val="22"/>
          <w:szCs w:val="22"/>
        </w:rPr>
        <w:t>:</w:t>
      </w:r>
    </w:p>
    <w:p>
      <w:pPr>
        <w:pStyle w:val="style0"/>
        <w:spacing w:after="120" w:before="0"/>
        <w:jc w:val="both"/>
      </w:pPr>
      <w:r>
        <w:rPr>
          <w:rFonts w:ascii="Arial" w:cs="Arial" w:hAnsi="Arial"/>
          <w:sz w:val="22"/>
          <w:szCs w:val="22"/>
        </w:rPr>
        <w:t>Spoločnosť o  vydaných dlhopisoch neúčtuje.</w:t>
      </w:r>
    </w:p>
    <w:p>
      <w:pPr>
        <w:pStyle w:val="style0"/>
        <w:ind w:hanging="0" w:left="0" w:right="-468"/>
        <w:jc w:val="center"/>
      </w:pPr>
      <w:r>
        <w:rPr>
          <w:rFonts w:ascii="Arial" w:cs="Arial" w:hAnsi="Arial"/>
          <w:sz w:val="22"/>
          <w:szCs w:val="22"/>
        </w:rPr>
      </w:r>
    </w:p>
    <w:p>
      <w:pPr>
        <w:pStyle w:val="style0"/>
        <w:ind w:hanging="0" w:left="0" w:right="-468"/>
      </w:pPr>
      <w:r>
        <w:rPr>
          <w:rFonts w:ascii="Arial" w:cs="Arial" w:hAnsi="Arial"/>
          <w:b/>
          <w:sz w:val="22"/>
          <w:szCs w:val="22"/>
        </w:rPr>
        <w:t xml:space="preserve">i.1) </w:t>
      </w:r>
      <w:r>
        <w:rPr>
          <w:rFonts w:ascii="Arial" w:cs="Arial" w:hAnsi="Arial"/>
          <w:b/>
          <w:sz w:val="22"/>
          <w:szCs w:val="22"/>
          <w:u w:val="single"/>
        </w:rPr>
        <w:t>Bankové úvery, pôžičky a návratné finančné výpomoci</w:t>
      </w:r>
    </w:p>
    <w:p>
      <w:pPr>
        <w:pStyle w:val="style0"/>
        <w:ind w:hanging="0" w:left="0" w:right="-468"/>
      </w:pPr>
      <w:r>
        <w:rPr>
          <w:rFonts w:ascii="Arial" w:cs="Arial" w:hAnsi="Arial"/>
          <w:sz w:val="22"/>
          <w:szCs w:val="22"/>
        </w:rPr>
        <w:t xml:space="preserve"> </w:t>
      </w:r>
    </w:p>
    <w:tbl>
      <w:tblPr>
        <w:jc w:val="left"/>
        <w:tblBorders/>
      </w:tblPr>
      <w:tblGrid>
        <w:gridCol w:w="2662"/>
      </w:tblGrid>
      <w:tr>
        <w:trPr>
          <w:trHeight w:hRule="atLeast" w:val="315"/>
          <w:cantSplit w:val="false"/>
        </w:trPr>
        <w:tc>
          <w:tcPr>
            <w:tcW w:type="dxa" w:w="2662"/>
            <w:gridSpan w:val="7"/>
            <w:tcBorders/>
            <w:shd w:fill="FFFFFF" w:val="clear"/>
            <w:tcMar>
              <w:top w:type="dxa" w:w="0"/>
              <w:left w:type="dxa" w:w="70"/>
              <w:bottom w:type="dxa" w:w="0"/>
              <w:right w:type="dxa" w:w="70"/>
            </w:tcMar>
            <w:vAlign w:val="bottom"/>
          </w:tcPr>
          <w:p>
            <w:pPr>
              <w:pStyle w:val="style0"/>
              <w:jc w:val="both"/>
            </w:pPr>
            <w:r>
              <w:rPr>
                <w:rFonts w:ascii="Arial" w:cs="Arial" w:hAnsi="Arial"/>
                <w:bCs/>
                <w:sz w:val="22"/>
                <w:szCs w:val="22"/>
              </w:rPr>
              <w:t xml:space="preserve">Informácie sú uvedené v nasledujúcej tabuľke: </w:t>
            </w:r>
          </w:p>
        </w:tc>
      </w:tr>
      <w:tr>
        <w:trPr>
          <w:trHeight w:hRule="atLeast" w:val="300"/>
          <w:cantSplit w:val="false"/>
        </w:trPr>
        <w:tc>
          <w:tcPr>
            <w:tcW w:type="dxa" w:w="10316"/>
            <w:tcBorders/>
            <w:shd w:fill="FFFFFF" w:val="clear"/>
            <w:tcMar>
              <w:top w:type="dxa" w:w="0"/>
              <w:left w:type="dxa" w:w="70"/>
              <w:bottom w:type="dxa" w:w="0"/>
              <w:right w:type="dxa" w:w="70"/>
            </w:tcMar>
            <w:vAlign w:val="bottom"/>
          </w:tcPr>
          <w:p>
            <w:pPr>
              <w:pStyle w:val="style0"/>
              <w:jc w:val="both"/>
            </w:pPr>
            <w:r>
              <w:rPr>
                <w:rFonts w:ascii="Arial Narrow" w:cs="Calibri" w:hAnsi="Arial Narrow"/>
                <w:b/>
                <w:bCs/>
                <w:sz w:val="22"/>
                <w:szCs w:val="22"/>
              </w:rPr>
            </w:r>
          </w:p>
          <w:p>
            <w:pPr>
              <w:pStyle w:val="style0"/>
              <w:jc w:val="both"/>
            </w:pPr>
            <w:r>
              <w:rPr>
                <w:rFonts w:ascii="Arial" w:cs="Arial" w:hAnsi="Arial"/>
                <w:bCs/>
                <w:sz w:val="22"/>
                <w:szCs w:val="22"/>
              </w:rPr>
              <w:t>Tabuľka č.1</w:t>
            </w:r>
          </w:p>
          <w:p>
            <w:pPr>
              <w:pStyle w:val="style0"/>
              <w:jc w:val="both"/>
            </w:pPr>
            <w:bookmarkStart w:id="20" w:name="_MON_1455949175"/>
            <w:bookmarkEnd w:id="20"/>
            <w:r>
              <w:rPr/>
            </w:r>
          </w:p>
          <w:p>
            <w:pPr>
              <w:pStyle w:val="style0"/>
              <w:jc w:val="both"/>
            </w:pPr>
            <w:r>
              <w:rPr>
                <w:rFonts w:ascii="Arial Narrow" w:cs="Calibri" w:hAnsi="Arial Narrow"/>
                <w:b/>
                <w:bCs/>
                <w:sz w:val="22"/>
                <w:szCs w:val="22"/>
              </w:rPr>
            </w:r>
          </w:p>
        </w:tc>
        <w:tc>
          <w:tcPr>
            <w:tcW w:type="dxa" w:w="660"/>
            <w:tcBorders/>
            <w:shd w:fill="FFFFFF" w:val="clear"/>
            <w:tcMar>
              <w:top w:type="dxa" w:w="0"/>
              <w:left w:type="dxa" w:w="70"/>
              <w:bottom w:type="dxa" w:w="0"/>
              <w:right w:type="dxa" w:w="70"/>
            </w:tcMar>
            <w:vAlign w:val="bottom"/>
          </w:tcPr>
          <w:p>
            <w:pPr>
              <w:pStyle w:val="style0"/>
            </w:pPr>
            <w:r>
              <w:rPr>
                <w:sz w:val="20"/>
                <w:szCs w:val="20"/>
              </w:rPr>
            </w:r>
          </w:p>
        </w:tc>
        <w:tc>
          <w:tcPr>
            <w:tcW w:type="dxa" w:w="758"/>
            <w:tcBorders/>
            <w:shd w:fill="FFFFFF" w:val="clear"/>
            <w:tcMar>
              <w:top w:type="dxa" w:w="0"/>
              <w:left w:type="dxa" w:w="70"/>
              <w:bottom w:type="dxa" w:w="0"/>
              <w:right w:type="dxa" w:w="70"/>
            </w:tcMar>
            <w:vAlign w:val="bottom"/>
          </w:tcPr>
          <w:p>
            <w:pPr>
              <w:pStyle w:val="style0"/>
            </w:pPr>
            <w:r>
              <w:rPr>
                <w:sz w:val="20"/>
                <w:szCs w:val="20"/>
              </w:rPr>
            </w:r>
          </w:p>
        </w:tc>
        <w:tc>
          <w:tcPr>
            <w:tcW w:type="dxa" w:w="1019"/>
            <w:tcBorders/>
            <w:shd w:fill="FFFFFF" w:val="clear"/>
            <w:tcMar>
              <w:top w:type="dxa" w:w="0"/>
              <w:left w:type="dxa" w:w="70"/>
              <w:bottom w:type="dxa" w:w="0"/>
              <w:right w:type="dxa" w:w="70"/>
            </w:tcMar>
            <w:vAlign w:val="bottom"/>
          </w:tcPr>
          <w:p>
            <w:pPr>
              <w:pStyle w:val="style0"/>
            </w:pPr>
            <w:r>
              <w:rPr>
                <w:sz w:val="20"/>
                <w:szCs w:val="20"/>
              </w:rPr>
            </w:r>
          </w:p>
        </w:tc>
        <w:tc>
          <w:tcPr>
            <w:tcW w:type="dxa" w:w="1540"/>
            <w:tcBorders/>
            <w:shd w:fill="FFFFFF" w:val="clear"/>
            <w:tcMar>
              <w:top w:type="dxa" w:w="0"/>
              <w:left w:type="dxa" w:w="70"/>
              <w:bottom w:type="dxa" w:w="0"/>
              <w:right w:type="dxa" w:w="70"/>
            </w:tcMar>
            <w:vAlign w:val="bottom"/>
          </w:tcPr>
          <w:p>
            <w:pPr>
              <w:pStyle w:val="style0"/>
            </w:pPr>
            <w:r>
              <w:rPr>
                <w:sz w:val="20"/>
                <w:szCs w:val="20"/>
              </w:rPr>
            </w:r>
          </w:p>
        </w:tc>
        <w:tc>
          <w:tcPr>
            <w:tcW w:type="dxa" w:w="3395"/>
            <w:tcBorders/>
            <w:shd w:fill="FFFFFF" w:val="clear"/>
            <w:tcMar>
              <w:top w:type="dxa" w:w="0"/>
              <w:left w:type="dxa" w:w="70"/>
              <w:bottom w:type="dxa" w:w="0"/>
              <w:right w:type="dxa" w:w="70"/>
            </w:tcMar>
            <w:vAlign w:val="bottom"/>
          </w:tcPr>
          <w:p>
            <w:pPr>
              <w:pStyle w:val="style0"/>
            </w:pPr>
            <w:r>
              <w:rPr>
                <w:sz w:val="20"/>
                <w:szCs w:val="20"/>
              </w:rPr>
            </w:r>
          </w:p>
        </w:tc>
        <w:tc>
          <w:tcPr>
            <w:tcW w:type="dxa" w:w="946"/>
            <w:tcBorders/>
            <w:shd w:fill="FFFFFF" w:val="clear"/>
            <w:tcMar>
              <w:top w:type="dxa" w:w="0"/>
              <w:left w:type="dxa" w:w="70"/>
              <w:bottom w:type="dxa" w:w="0"/>
              <w:right w:type="dxa" w:w="70"/>
            </w:tcMar>
            <w:vAlign w:val="bottom"/>
          </w:tcPr>
          <w:p>
            <w:pPr>
              <w:pStyle w:val="style0"/>
            </w:pPr>
            <w:r>
              <w:rPr>
                <w:sz w:val="20"/>
                <w:szCs w:val="20"/>
              </w:rPr>
            </w:r>
          </w:p>
        </w:tc>
      </w:tr>
      <w:tr>
        <w:trPr>
          <w:trHeight w:hRule="atLeast" w:val="345"/>
          <w:cantSplit w:val="false"/>
        </w:trPr>
        <w:tc>
          <w:tcPr>
            <w:tcW w:type="dxa" w:w="10316"/>
            <w:tcBorders/>
            <w:shd w:fill="FFFFFF" w:val="clear"/>
            <w:tcMar>
              <w:top w:type="dxa" w:w="0"/>
              <w:left w:type="dxa" w:w="70"/>
              <w:bottom w:type="dxa" w:w="0"/>
              <w:right w:type="dxa" w:w="70"/>
            </w:tcMar>
            <w:vAlign w:val="bottom"/>
          </w:tcPr>
          <w:p>
            <w:pPr>
              <w:pStyle w:val="style0"/>
            </w:pPr>
            <w:r>
              <w:rPr>
                <w:rFonts w:ascii="Arial Narrow" w:cs="Calibri" w:hAnsi="Arial Narrow"/>
                <w:sz w:val="22"/>
                <w:szCs w:val="22"/>
              </w:rPr>
            </w:r>
          </w:p>
        </w:tc>
        <w:tc>
          <w:tcPr>
            <w:tcW w:type="dxa" w:w="660"/>
            <w:tcBorders/>
            <w:shd w:fill="FFFFFF" w:val="clear"/>
            <w:tcMar>
              <w:top w:type="dxa" w:w="0"/>
              <w:left w:type="dxa" w:w="70"/>
              <w:bottom w:type="dxa" w:w="0"/>
              <w:right w:type="dxa" w:w="70"/>
            </w:tcMar>
            <w:vAlign w:val="bottom"/>
          </w:tcPr>
          <w:p>
            <w:pPr>
              <w:pStyle w:val="style0"/>
            </w:pPr>
            <w:r>
              <w:rPr>
                <w:rFonts w:ascii="Arial Narrow" w:cs="Calibri" w:hAnsi="Arial Narrow"/>
                <w:sz w:val="22"/>
                <w:szCs w:val="22"/>
              </w:rPr>
            </w:r>
          </w:p>
        </w:tc>
        <w:tc>
          <w:tcPr>
            <w:tcW w:type="dxa" w:w="758"/>
            <w:tcBorders/>
            <w:shd w:fill="FFFFFF" w:val="clear"/>
            <w:tcMar>
              <w:top w:type="dxa" w:w="0"/>
              <w:left w:type="dxa" w:w="70"/>
              <w:bottom w:type="dxa" w:w="0"/>
              <w:right w:type="dxa" w:w="70"/>
            </w:tcMar>
            <w:vAlign w:val="bottom"/>
          </w:tcPr>
          <w:p>
            <w:pPr>
              <w:pStyle w:val="style0"/>
            </w:pPr>
            <w:r>
              <w:rPr>
                <w:sz w:val="20"/>
                <w:szCs w:val="20"/>
              </w:rPr>
            </w:r>
          </w:p>
        </w:tc>
        <w:tc>
          <w:tcPr>
            <w:tcW w:type="dxa" w:w="1019"/>
            <w:tcBorders/>
            <w:shd w:fill="FFFFFF" w:val="clear"/>
            <w:tcMar>
              <w:top w:type="dxa" w:w="0"/>
              <w:left w:type="dxa" w:w="70"/>
              <w:bottom w:type="dxa" w:w="0"/>
              <w:right w:type="dxa" w:w="70"/>
            </w:tcMar>
            <w:vAlign w:val="bottom"/>
          </w:tcPr>
          <w:p>
            <w:pPr>
              <w:pStyle w:val="style0"/>
            </w:pPr>
            <w:r>
              <w:rPr>
                <w:sz w:val="20"/>
                <w:szCs w:val="20"/>
              </w:rPr>
            </w:r>
          </w:p>
        </w:tc>
        <w:tc>
          <w:tcPr>
            <w:tcW w:type="dxa" w:w="1540"/>
            <w:tcBorders/>
            <w:shd w:fill="FFFFFF" w:val="clear"/>
            <w:tcMar>
              <w:top w:type="dxa" w:w="0"/>
              <w:left w:type="dxa" w:w="70"/>
              <w:bottom w:type="dxa" w:w="0"/>
              <w:right w:type="dxa" w:w="70"/>
            </w:tcMar>
            <w:vAlign w:val="bottom"/>
          </w:tcPr>
          <w:p>
            <w:pPr>
              <w:pStyle w:val="style0"/>
            </w:pPr>
            <w:r>
              <w:rPr>
                <w:sz w:val="20"/>
                <w:szCs w:val="20"/>
              </w:rPr>
            </w:r>
          </w:p>
        </w:tc>
        <w:tc>
          <w:tcPr>
            <w:tcW w:type="dxa" w:w="3395"/>
            <w:tcBorders/>
            <w:shd w:fill="FFFFFF" w:val="clear"/>
            <w:tcMar>
              <w:top w:type="dxa" w:w="0"/>
              <w:left w:type="dxa" w:w="70"/>
              <w:bottom w:type="dxa" w:w="0"/>
              <w:right w:type="dxa" w:w="70"/>
            </w:tcMar>
            <w:vAlign w:val="bottom"/>
          </w:tcPr>
          <w:p>
            <w:pPr>
              <w:pStyle w:val="style0"/>
            </w:pPr>
            <w:r>
              <w:rPr>
                <w:sz w:val="20"/>
                <w:szCs w:val="20"/>
              </w:rPr>
            </w:r>
          </w:p>
        </w:tc>
        <w:tc>
          <w:tcPr>
            <w:tcW w:type="dxa" w:w="946"/>
            <w:tcBorders/>
            <w:shd w:fill="FFFFFF" w:val="clear"/>
            <w:tcMar>
              <w:top w:type="dxa" w:w="0"/>
              <w:left w:type="dxa" w:w="70"/>
              <w:bottom w:type="dxa" w:w="0"/>
              <w:right w:type="dxa" w:w="70"/>
            </w:tcMar>
            <w:vAlign w:val="bottom"/>
          </w:tcPr>
          <w:p>
            <w:pPr>
              <w:pStyle w:val="style0"/>
            </w:pPr>
            <w:r>
              <w:rPr>
                <w:sz w:val="20"/>
                <w:szCs w:val="20"/>
              </w:rPr>
            </w:r>
          </w:p>
        </w:tc>
      </w:tr>
    </w:tbl>
    <w:p>
      <w:pPr>
        <w:pStyle w:val="style0"/>
        <w:jc w:val="both"/>
      </w:pPr>
      <w:r>
        <w:rPr>
          <w:rFonts w:ascii="Arial" w:cs="Arial" w:hAnsi="Arial"/>
          <w:sz w:val="22"/>
          <w:szCs w:val="22"/>
        </w:rPr>
        <w:t>Dlhodobé úvery Spoločnosť čerpala na financovanie projektov spolufinancovaných z prostriedkov Európskej únie a zo Štátneho rozpočtu: Projekt ISPA Žilina a projekt Kohézneho fondu Dodávka pitnej vody a odkanalizovanie Horných Kysúc, čiastočne z úverov financovala projekt Verejná kanalizácia Rajec, rekonštrukcia stokovej siete a ČOV. Úvery boli ručené nehnuteľným majetkom a pohľadávkami. Podrobná informácia je uvedená</w:t>
      </w:r>
    </w:p>
    <w:p>
      <w:pPr>
        <w:pStyle w:val="style0"/>
        <w:jc w:val="both"/>
      </w:pPr>
      <w:r>
        <w:rPr>
          <w:rFonts w:ascii="Arial" w:cs="Arial" w:hAnsi="Arial"/>
          <w:sz w:val="22"/>
          <w:szCs w:val="22"/>
        </w:rPr>
        <w:t>v prehľade Údaje o záložnom práve k dlhodobému hmotnému majetku na strane č. 11 a  12. Spoločnosť má s ČSOB  podpísanú Zmluvu o pravidlách úverovania č. 7633/12/44698 upravujúcu pravidlá pre rokovanie zmluvných strán o možnosti uzatvorenia úveru s limitom do výšky 1 659 000 EUR.</w:t>
      </w:r>
    </w:p>
    <w:p>
      <w:pPr>
        <w:pStyle w:val="style0"/>
        <w:jc w:val="both"/>
      </w:pPr>
      <w:r>
        <w:rPr>
          <w:rFonts w:ascii="Arial" w:cs="Arial" w:hAnsi="Arial"/>
          <w:sz w:val="22"/>
          <w:szCs w:val="22"/>
        </w:rPr>
      </w:r>
    </w:p>
    <w:p>
      <w:pPr>
        <w:pStyle w:val="style0"/>
        <w:ind w:hanging="0" w:left="0" w:right="-468"/>
      </w:pPr>
      <w:r>
        <w:rPr>
          <w:rFonts w:ascii="Arial" w:cs="Arial" w:hAnsi="Arial"/>
          <w:b/>
          <w:sz w:val="22"/>
          <w:szCs w:val="22"/>
        </w:rPr>
        <w:t>i.2)</w:t>
      </w:r>
      <w:r>
        <w:rPr>
          <w:rFonts w:ascii="Arial" w:cs="Arial" w:hAnsi="Arial"/>
          <w:sz w:val="22"/>
          <w:szCs w:val="22"/>
        </w:rPr>
        <w:t xml:space="preserve"> </w:t>
      </w:r>
      <w:r>
        <w:rPr>
          <w:rFonts w:ascii="Arial" w:cs="Arial" w:hAnsi="Arial"/>
          <w:b/>
          <w:sz w:val="22"/>
          <w:szCs w:val="22"/>
          <w:u w:val="single"/>
        </w:rPr>
        <w:t>Bankové úvery, pôžičky a návratné finančné výpomoci - hodnota a forma zabezpečenia</w:t>
      </w:r>
    </w:p>
    <w:p>
      <w:pPr>
        <w:pStyle w:val="style0"/>
        <w:ind w:hanging="0" w:left="0" w:right="-468"/>
      </w:pPr>
      <w:r>
        <w:rPr>
          <w:rFonts w:ascii="Arial" w:cs="Arial" w:hAnsi="Arial"/>
          <w:b/>
          <w:sz w:val="22"/>
          <w:szCs w:val="22"/>
          <w:u w:val="single"/>
        </w:rPr>
      </w:r>
    </w:p>
    <w:p>
      <w:pPr>
        <w:pStyle w:val="style0"/>
        <w:ind w:hanging="0" w:left="0" w:right="-468"/>
      </w:pPr>
      <w:r>
        <w:rPr>
          <w:rFonts w:ascii="Arial" w:cs="Arial" w:hAnsi="Arial"/>
          <w:sz w:val="22"/>
          <w:szCs w:val="22"/>
        </w:rPr>
        <w:t xml:space="preserve">Podrobné informácie o forme zabezpečenia bankových úverov , hodnota v eurách sú uvedené v časti F, bod c2). </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b/>
          <w:sz w:val="22"/>
          <w:szCs w:val="22"/>
        </w:rPr>
        <w:t>j)</w:t>
      </w:r>
      <w:r>
        <w:rPr>
          <w:rFonts w:ascii="Arial" w:cs="Arial" w:hAnsi="Arial"/>
          <w:sz w:val="22"/>
          <w:szCs w:val="22"/>
        </w:rPr>
        <w:t xml:space="preserve"> </w:t>
      </w:r>
      <w:r>
        <w:rPr>
          <w:rFonts w:ascii="Arial" w:cs="Arial" w:hAnsi="Arial"/>
          <w:b/>
          <w:sz w:val="22"/>
          <w:szCs w:val="22"/>
          <w:u w:val="single"/>
        </w:rPr>
        <w:t xml:space="preserve">Významné položky časového rozlíšenia výdavkov budúcich období a výnosov budúcich </w:t>
      </w:r>
    </w:p>
    <w:p>
      <w:pPr>
        <w:pStyle w:val="style0"/>
        <w:ind w:hanging="0" w:left="0" w:right="-468"/>
        <w:jc w:val="both"/>
      </w:pPr>
      <w:r>
        <w:rPr>
          <w:rFonts w:ascii="Arial" w:cs="Arial" w:hAnsi="Arial"/>
          <w:b/>
          <w:sz w:val="22"/>
          <w:szCs w:val="22"/>
          <w:u w:val="single"/>
        </w:rPr>
        <w:t>období</w:t>
      </w:r>
    </w:p>
    <w:p>
      <w:pPr>
        <w:pStyle w:val="style0"/>
        <w:ind w:hanging="0" w:left="0" w:right="-468"/>
        <w:jc w:val="both"/>
      </w:pPr>
      <w:r>
        <w:rPr>
          <w:rFonts w:ascii="Arial" w:cs="Arial" w:hAnsi="Arial"/>
          <w:b/>
          <w:sz w:val="22"/>
          <w:szCs w:val="22"/>
          <w:u w:val="single"/>
        </w:rPr>
      </w:r>
    </w:p>
    <w:p>
      <w:pPr>
        <w:pStyle w:val="style0"/>
        <w:ind w:hanging="0" w:left="0" w:right="-468"/>
        <w:jc w:val="both"/>
      </w:pPr>
      <w:r>
        <w:rPr>
          <w:rFonts w:ascii="Arial" w:cs="Arial" w:hAnsi="Arial"/>
          <w:sz w:val="22"/>
          <w:szCs w:val="22"/>
        </w:rPr>
        <w:t>Informácie sú uvedené v nasledujúcej tabuľke:</w:t>
      </w:r>
    </w:p>
    <w:p>
      <w:pPr>
        <w:pStyle w:val="style0"/>
        <w:ind w:hanging="0" w:left="0" w:right="-468"/>
        <w:jc w:val="both"/>
      </w:pPr>
      <w:bookmarkStart w:id="21" w:name="_MON_1456744647"/>
      <w:bookmarkEnd w:id="21"/>
      <w:r>
        <w:rPr/>
      </w:r>
    </w:p>
    <w:p>
      <w:pPr>
        <w:pStyle w:val="style0"/>
        <w:ind w:hanging="0" w:left="0" w:right="-468"/>
        <w:jc w:val="both"/>
      </w:pPr>
      <w:r>
        <w:rPr>
          <w:rFonts w:ascii="Arial" w:cs="Arial" w:hAnsi="Arial"/>
          <w:color w:val="FF0000"/>
          <w:sz w:val="22"/>
          <w:szCs w:val="22"/>
        </w:rPr>
      </w:r>
    </w:p>
    <w:p>
      <w:pPr>
        <w:pStyle w:val="style0"/>
        <w:ind w:hanging="0" w:left="0" w:right="-468"/>
        <w:jc w:val="both"/>
      </w:pPr>
      <w:r>
        <w:rPr>
          <w:rFonts w:ascii="Arial" w:cs="Arial" w:hAnsi="Arial"/>
          <w:b/>
          <w:sz w:val="22"/>
          <w:szCs w:val="22"/>
        </w:rPr>
        <w:t xml:space="preserve">k) </w:t>
      </w:r>
      <w:r>
        <w:rPr>
          <w:rFonts w:ascii="Arial" w:cs="Arial" w:hAnsi="Arial"/>
          <w:b/>
          <w:sz w:val="22"/>
          <w:szCs w:val="22"/>
          <w:u w:val="single"/>
        </w:rPr>
        <w:t>Významné položky derivátov</w:t>
      </w:r>
    </w:p>
    <w:p>
      <w:pPr>
        <w:pStyle w:val="style0"/>
        <w:ind w:hanging="0" w:left="0" w:right="-468"/>
        <w:jc w:val="both"/>
      </w:pPr>
      <w:r>
        <w:rPr>
          <w:rFonts w:ascii="Arial" w:cs="Arial" w:hAnsi="Arial"/>
          <w:b/>
          <w:sz w:val="22"/>
          <w:szCs w:val="22"/>
          <w:u w:val="single"/>
        </w:rPr>
      </w:r>
    </w:p>
    <w:p>
      <w:pPr>
        <w:pStyle w:val="style0"/>
        <w:ind w:hanging="0" w:left="0" w:right="-468"/>
        <w:jc w:val="both"/>
      </w:pPr>
      <w:r>
        <w:rPr>
          <w:rFonts w:ascii="Arial" w:cs="Arial" w:hAnsi="Arial"/>
          <w:sz w:val="22"/>
          <w:szCs w:val="22"/>
        </w:rPr>
        <w:t>Spoločnosť o derivátoch neúčtuje.</w:t>
      </w:r>
    </w:p>
    <w:p>
      <w:pPr>
        <w:pStyle w:val="style0"/>
        <w:ind w:hanging="0" w:left="0" w:right="-468"/>
        <w:jc w:val="both"/>
      </w:pPr>
      <w:r>
        <w:rPr>
          <w:rFonts w:ascii="Arial" w:cs="Arial" w:hAnsi="Arial"/>
          <w:sz w:val="22"/>
          <w:szCs w:val="22"/>
        </w:rPr>
      </w:r>
    </w:p>
    <w:p>
      <w:pPr>
        <w:pStyle w:val="style0"/>
        <w:spacing w:after="120" w:before="0"/>
        <w:ind w:hanging="0" w:left="0" w:right="-471"/>
        <w:jc w:val="both"/>
      </w:pPr>
      <w:r>
        <w:rPr>
          <w:rFonts w:ascii="Arial" w:cs="Arial" w:hAnsi="Arial"/>
          <w:b/>
          <w:bCs/>
          <w:sz w:val="22"/>
          <w:szCs w:val="22"/>
        </w:rPr>
        <w:t xml:space="preserve">H. INFORMÁCIE O VÝNOSOCH </w:t>
      </w:r>
    </w:p>
    <w:p>
      <w:pPr>
        <w:pStyle w:val="style0"/>
        <w:spacing w:after="120" w:before="0"/>
        <w:ind w:hanging="0" w:left="0" w:right="-471"/>
        <w:jc w:val="both"/>
      </w:pPr>
      <w:r>
        <w:rPr>
          <w:rFonts w:ascii="Arial" w:cs="Arial" w:hAnsi="Arial"/>
          <w:b/>
          <w:bCs/>
          <w:sz w:val="22"/>
          <w:szCs w:val="22"/>
        </w:rPr>
      </w:r>
    </w:p>
    <w:p>
      <w:pPr>
        <w:pStyle w:val="style0"/>
        <w:jc w:val="both"/>
      </w:pPr>
      <w:r>
        <w:rPr>
          <w:rFonts w:ascii="Arial" w:cs="Arial" w:hAnsi="Arial"/>
          <w:b/>
          <w:sz w:val="22"/>
          <w:szCs w:val="22"/>
        </w:rPr>
        <w:t xml:space="preserve">a) </w:t>
      </w:r>
      <w:r>
        <w:rPr>
          <w:rFonts w:ascii="Arial" w:cs="Arial" w:hAnsi="Arial"/>
          <w:b/>
          <w:sz w:val="22"/>
          <w:szCs w:val="22"/>
          <w:u w:val="single"/>
        </w:rPr>
        <w:t>Sumy tržieb za vlastné výkony a tovar</w:t>
      </w:r>
      <w:r>
        <w:rPr>
          <w:rFonts w:ascii="Arial" w:cs="Arial" w:hAnsi="Arial"/>
          <w:sz w:val="22"/>
          <w:szCs w:val="22"/>
        </w:rPr>
        <w:t xml:space="preserve"> </w:t>
      </w:r>
    </w:p>
    <w:p>
      <w:pPr>
        <w:pStyle w:val="style0"/>
        <w:jc w:val="both"/>
      </w:pPr>
      <w:r>
        <w:rPr>
          <w:rFonts w:ascii="Arial" w:cs="Arial" w:hAnsi="Arial"/>
          <w:sz w:val="22"/>
          <w:szCs w:val="22"/>
        </w:rPr>
      </w:r>
    </w:p>
    <w:p>
      <w:pPr>
        <w:pStyle w:val="style0"/>
        <w:jc w:val="both"/>
      </w:pPr>
      <w:r>
        <w:rPr>
          <w:rFonts w:ascii="Arial" w:cs="Arial" w:hAnsi="Arial"/>
          <w:sz w:val="22"/>
          <w:szCs w:val="22"/>
        </w:rPr>
        <w:t>Tržby za vlastné výkony a podľa jednotlivých segmentov, t. j. výrobkov a služieb sú uvedené v nasledujúcom prehľade:</w:t>
      </w:r>
    </w:p>
    <w:p>
      <w:pPr>
        <w:pStyle w:val="style0"/>
        <w:jc w:val="both"/>
      </w:pPr>
      <w:bookmarkStart w:id="22" w:name="_MON_1457446998"/>
      <w:bookmarkEnd w:id="22"/>
      <w:r>
        <w:rPr/>
      </w:r>
    </w:p>
    <w:p>
      <w:pPr>
        <w:pStyle w:val="style0"/>
        <w:jc w:val="both"/>
      </w:pPr>
      <w:r>
        <w:rPr>
          <w:rFonts w:ascii="Arial" w:cs="Arial" w:hAnsi="Arial"/>
          <w:sz w:val="22"/>
          <w:szCs w:val="22"/>
        </w:rPr>
      </w:r>
    </w:p>
    <w:p>
      <w:pPr>
        <w:pStyle w:val="style0"/>
        <w:jc w:val="both"/>
      </w:pPr>
      <w:r>
        <w:rPr>
          <w:rFonts w:ascii="Arial" w:cs="Arial" w:hAnsi="Arial"/>
          <w:b/>
          <w:sz w:val="22"/>
          <w:szCs w:val="22"/>
        </w:rPr>
        <w:t xml:space="preserve">b) Zmeny stavu zásob vlastnej výroby </w:t>
      </w:r>
    </w:p>
    <w:p>
      <w:pPr>
        <w:pStyle w:val="style0"/>
        <w:jc w:val="both"/>
      </w:pPr>
      <w:r>
        <w:rPr>
          <w:rFonts w:ascii="Arial" w:cs="Arial" w:hAnsi="Arial"/>
          <w:sz w:val="22"/>
          <w:szCs w:val="22"/>
        </w:rPr>
      </w:r>
    </w:p>
    <w:p>
      <w:pPr>
        <w:pStyle w:val="style0"/>
        <w:jc w:val="both"/>
      </w:pPr>
      <w:r>
        <w:rPr>
          <w:rFonts w:ascii="Arial" w:cs="Arial" w:hAnsi="Arial"/>
          <w:sz w:val="22"/>
          <w:szCs w:val="22"/>
        </w:rPr>
        <w:t xml:space="preserve">Zmenu stavu zásob vlastnej výroby Spoločnosť nevykazuje. </w:t>
      </w:r>
    </w:p>
    <w:p>
      <w:pPr>
        <w:pStyle w:val="style0"/>
        <w:jc w:val="both"/>
      </w:pPr>
      <w:r>
        <w:rPr>
          <w:rFonts w:ascii="Arial" w:cs="Arial" w:hAnsi="Arial"/>
          <w:sz w:val="22"/>
          <w:szCs w:val="22"/>
        </w:rPr>
      </w:r>
    </w:p>
    <w:p>
      <w:pPr>
        <w:pStyle w:val="style0"/>
        <w:jc w:val="both"/>
      </w:pPr>
      <w:r>
        <w:rPr>
          <w:rFonts w:ascii="Arial" w:cs="Arial" w:hAnsi="Arial"/>
          <w:sz w:val="22"/>
          <w:szCs w:val="22"/>
        </w:rPr>
        <w:t>c) Opis a sumu významných položiek výnosov pri aktivácii nákladov</w:t>
      </w:r>
    </w:p>
    <w:p>
      <w:pPr>
        <w:pStyle w:val="style0"/>
        <w:jc w:val="both"/>
      </w:pPr>
      <w:bookmarkStart w:id="23" w:name="_MON_1457527873"/>
      <w:bookmarkEnd w:id="23"/>
      <w:r>
        <w:rPr/>
      </w:r>
    </w:p>
    <w:p>
      <w:pPr>
        <w:pStyle w:val="style0"/>
        <w:jc w:val="both"/>
      </w:pPr>
      <w:r>
        <w:rPr>
          <w:rFonts w:ascii="Arial" w:cs="Arial" w:hAnsi="Arial"/>
          <w:sz w:val="22"/>
          <w:szCs w:val="22"/>
        </w:rPr>
        <w:t xml:space="preserve">f) Sumu položiek </w:t>
      </w:r>
      <w:r>
        <w:rPr>
          <w:rFonts w:ascii="Arial" w:cs="Arial" w:hAnsi="Arial"/>
          <w:sz w:val="22"/>
          <w:szCs w:val="22"/>
          <w:u w:val="single"/>
        </w:rPr>
        <w:t>mimoriadnych výnosov</w:t>
      </w:r>
      <w:r>
        <w:rPr>
          <w:rFonts w:ascii="Arial" w:cs="Arial" w:hAnsi="Arial"/>
          <w:sz w:val="22"/>
          <w:szCs w:val="22"/>
        </w:rPr>
        <w:t xml:space="preserve"> týkajúcich sa bežného účtovného obdobia a ich opis a sumu položiek mimoriadnych výnosov týkajúcich sa predchádzajúcich účtovných období a ich opi Spoločnosť nevykazuje.</w:t>
      </w:r>
    </w:p>
    <w:p>
      <w:pPr>
        <w:pStyle w:val="style0"/>
        <w:jc w:val="both"/>
      </w:pPr>
      <w:r>
        <w:rPr>
          <w:rFonts w:ascii="Arial" w:cs="Arial" w:hAnsi="Arial"/>
          <w:sz w:val="22"/>
          <w:szCs w:val="22"/>
        </w:rPr>
      </w:r>
    </w:p>
    <w:p>
      <w:pPr>
        <w:pStyle w:val="style0"/>
        <w:jc w:val="both"/>
      </w:pPr>
      <w:r>
        <w:rPr>
          <w:rFonts w:ascii="Arial" w:cs="Arial" w:hAnsi="Arial"/>
          <w:sz w:val="22"/>
          <w:szCs w:val="22"/>
        </w:rPr>
        <w:t xml:space="preserve">g) </w:t>
      </w:r>
      <w:r>
        <w:rPr>
          <w:rFonts w:ascii="Arial" w:cs="Arial" w:hAnsi="Arial"/>
          <w:sz w:val="22"/>
          <w:szCs w:val="22"/>
          <w:u w:val="single"/>
        </w:rPr>
        <w:t>Suma čistého obratu</w:t>
      </w:r>
      <w:r>
        <w:rPr>
          <w:rFonts w:ascii="Arial" w:cs="Arial" w:hAnsi="Arial"/>
          <w:sz w:val="22"/>
          <w:szCs w:val="22"/>
        </w:rPr>
        <w:t xml:space="preserve"> podľa § 19 ods.1 písm. a)  zákona o účtovníctve ,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pPr>
        <w:pStyle w:val="style0"/>
        <w:spacing w:after="120" w:before="0"/>
        <w:ind w:hanging="0" w:left="0" w:right="-471"/>
        <w:jc w:val="both"/>
      </w:pPr>
      <w:r>
        <w:rPr>
          <w:rFonts w:ascii="Arial" w:cs="Arial" w:hAnsi="Arial"/>
          <w:sz w:val="22"/>
          <w:szCs w:val="22"/>
        </w:rPr>
      </w:r>
    </w:p>
    <w:p>
      <w:pPr>
        <w:pStyle w:val="style0"/>
        <w:spacing w:after="120" w:before="0"/>
        <w:ind w:hanging="0" w:left="0" w:right="-471"/>
        <w:jc w:val="both"/>
      </w:pPr>
      <w:r>
        <w:rPr>
          <w:rFonts w:ascii="Arial" w:cs="Arial" w:hAnsi="Arial"/>
          <w:sz w:val="22"/>
          <w:szCs w:val="22"/>
        </w:rPr>
        <w:t>Informácie o čistom obrate sú v nasledujúcej tabuľke:</w:t>
      </w:r>
    </w:p>
    <w:p>
      <w:pPr>
        <w:pStyle w:val="style0"/>
        <w:spacing w:after="120" w:before="0"/>
        <w:ind w:hanging="0" w:left="0" w:right="-471"/>
        <w:jc w:val="both"/>
      </w:pPr>
      <w:bookmarkStart w:id="24" w:name="_MON_1455949689"/>
      <w:bookmarkEnd w:id="24"/>
      <w:r>
        <w:rPr/>
      </w:r>
    </w:p>
    <w:p>
      <w:pPr>
        <w:pStyle w:val="style0"/>
        <w:spacing w:after="120" w:before="0"/>
        <w:ind w:hanging="0" w:left="0" w:right="-471"/>
        <w:jc w:val="both"/>
      </w:pPr>
      <w:r>
        <w:rPr>
          <w:rFonts w:ascii="Arial" w:cs="Arial" w:hAnsi="Arial"/>
          <w:sz w:val="22"/>
          <w:szCs w:val="22"/>
        </w:rPr>
      </w:r>
    </w:p>
    <w:p>
      <w:pPr>
        <w:pStyle w:val="style0"/>
        <w:spacing w:after="120" w:before="0"/>
        <w:ind w:hanging="0" w:left="0" w:right="-471"/>
        <w:jc w:val="both"/>
      </w:pPr>
      <w:r>
        <w:rPr>
          <w:rFonts w:ascii="Arial" w:cs="Arial" w:hAnsi="Arial"/>
          <w:b/>
          <w:bCs/>
          <w:sz w:val="22"/>
          <w:szCs w:val="22"/>
        </w:rPr>
        <w:t xml:space="preserve">I. INFORMÁCIE O NÁKLADOCH </w:t>
      </w:r>
    </w:p>
    <w:p>
      <w:pPr>
        <w:pStyle w:val="style0"/>
        <w:spacing w:after="120" w:before="0"/>
        <w:ind w:hanging="0" w:left="0" w:right="-471"/>
        <w:jc w:val="both"/>
      </w:pPr>
      <w:r>
        <w:rPr>
          <w:rFonts w:ascii="Arial" w:cs="Arial" w:hAnsi="Arial"/>
          <w:b/>
          <w:bCs/>
          <w:sz w:val="22"/>
          <w:szCs w:val="22"/>
        </w:rPr>
      </w:r>
    </w:p>
    <w:p>
      <w:pPr>
        <w:pStyle w:val="style0"/>
        <w:ind w:hanging="0" w:left="0" w:right="-468"/>
        <w:jc w:val="both"/>
      </w:pPr>
      <w:r>
        <w:rPr>
          <w:rFonts w:ascii="Arial" w:cs="Arial" w:hAnsi="Arial"/>
          <w:b/>
          <w:sz w:val="22"/>
          <w:szCs w:val="22"/>
        </w:rPr>
        <w:t xml:space="preserve">a) </w:t>
      </w:r>
      <w:r>
        <w:rPr>
          <w:rFonts w:ascii="Arial" w:cs="Arial" w:hAnsi="Arial"/>
          <w:b/>
          <w:sz w:val="22"/>
          <w:szCs w:val="22"/>
          <w:u w:val="single"/>
        </w:rPr>
        <w:t>Opis a suma významných položiek</w:t>
      </w:r>
      <w:r>
        <w:rPr>
          <w:rFonts w:ascii="Arial" w:cs="Arial" w:hAnsi="Arial"/>
          <w:b/>
          <w:sz w:val="22"/>
          <w:szCs w:val="22"/>
        </w:rPr>
        <w:t xml:space="preserve"> </w:t>
      </w:r>
      <w:r>
        <w:rPr>
          <w:rFonts w:ascii="Arial" w:cs="Arial" w:hAnsi="Arial"/>
          <w:b/>
          <w:sz w:val="22"/>
          <w:szCs w:val="22"/>
          <w:u w:val="single"/>
        </w:rPr>
        <w:t>nákladov za poskytnuté služby</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b/>
          <w:sz w:val="22"/>
          <w:szCs w:val="22"/>
        </w:rPr>
        <w:t xml:space="preserve">b) </w:t>
      </w:r>
      <w:r>
        <w:rPr>
          <w:rFonts w:ascii="Arial" w:cs="Arial" w:hAnsi="Arial"/>
          <w:b/>
          <w:sz w:val="22"/>
          <w:szCs w:val="22"/>
          <w:u w:val="single"/>
        </w:rPr>
        <w:t>Opis a suma významných položiek</w:t>
      </w:r>
      <w:r>
        <w:rPr>
          <w:rFonts w:ascii="Arial" w:cs="Arial" w:hAnsi="Arial"/>
          <w:b/>
          <w:sz w:val="22"/>
          <w:szCs w:val="22"/>
        </w:rPr>
        <w:t xml:space="preserve"> </w:t>
      </w:r>
      <w:r>
        <w:rPr>
          <w:rFonts w:ascii="Arial" w:cs="Arial" w:hAnsi="Arial"/>
          <w:b/>
          <w:sz w:val="22"/>
          <w:szCs w:val="22"/>
          <w:u w:val="single"/>
        </w:rPr>
        <w:t>ostatných nákladov z hospodárskej činnosti</w:t>
      </w:r>
    </w:p>
    <w:p>
      <w:pPr>
        <w:pStyle w:val="style0"/>
        <w:ind w:hanging="0" w:left="0" w:right="-468"/>
        <w:jc w:val="both"/>
      </w:pPr>
      <w:r>
        <w:rPr>
          <w:rFonts w:ascii="Arial" w:cs="Arial" w:hAnsi="Arial"/>
          <w:b/>
          <w:sz w:val="22"/>
          <w:szCs w:val="22"/>
        </w:rPr>
      </w:r>
    </w:p>
    <w:p>
      <w:pPr>
        <w:pStyle w:val="style0"/>
        <w:ind w:hanging="0" w:left="0" w:right="-468"/>
        <w:jc w:val="both"/>
      </w:pPr>
      <w:r>
        <w:rPr>
          <w:rFonts w:ascii="Arial" w:cs="Arial" w:hAnsi="Arial"/>
          <w:b/>
          <w:sz w:val="22"/>
          <w:szCs w:val="22"/>
        </w:rPr>
        <w:t>c)</w:t>
      </w:r>
      <w:r>
        <w:rPr>
          <w:rFonts w:ascii="Arial" w:cs="Arial" w:hAnsi="Arial"/>
          <w:b/>
          <w:sz w:val="22"/>
          <w:szCs w:val="22"/>
          <w:u w:val="single"/>
        </w:rPr>
        <w:t xml:space="preserve"> Opis a suma významných položiek finančných nákladov</w:t>
      </w:r>
      <w:r>
        <w:rPr>
          <w:rFonts w:ascii="Arial" w:cs="Arial" w:hAnsi="Arial"/>
          <w:sz w:val="22"/>
          <w:szCs w:val="22"/>
        </w:rPr>
        <w:t xml:space="preserve"> a celková suma kurzových strát; osobitne sa uvádza suma kurzových strát účtovaná ku dňu, ku ktorému sa zostavuje účtovná závierka:</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sz w:val="22"/>
          <w:szCs w:val="22"/>
        </w:rPr>
        <w:t xml:space="preserve">d) </w:t>
      </w:r>
      <w:r>
        <w:rPr>
          <w:rFonts w:ascii="Arial" w:cs="Arial" w:hAnsi="Arial"/>
          <w:b/>
          <w:sz w:val="22"/>
          <w:szCs w:val="22"/>
          <w:u w:val="single"/>
        </w:rPr>
        <w:t>Opis a suma položiek mimoriadnych nákladov</w:t>
      </w:r>
      <w:r>
        <w:rPr>
          <w:rFonts w:ascii="Arial" w:cs="Arial" w:hAnsi="Arial"/>
          <w:b/>
          <w:sz w:val="22"/>
          <w:szCs w:val="22"/>
        </w:rPr>
        <w:t xml:space="preserve"> týkajúcich sa bežného účtovného obdobia a položiek mimoriadnych nákladov tkajúcich sa predchádzajúcich účtovných období</w:t>
      </w:r>
    </w:p>
    <w:p>
      <w:pPr>
        <w:pStyle w:val="style0"/>
        <w:ind w:hanging="0" w:left="0" w:right="-468"/>
        <w:jc w:val="both"/>
      </w:pPr>
      <w:r>
        <w:rPr>
          <w:rFonts w:ascii="Arial" w:cs="Arial" w:hAnsi="Arial"/>
          <w:b/>
          <w:sz w:val="22"/>
          <w:szCs w:val="22"/>
        </w:rPr>
      </w:r>
    </w:p>
    <w:p>
      <w:pPr>
        <w:pStyle w:val="style0"/>
        <w:spacing w:after="120" w:before="0"/>
        <w:ind w:hanging="0" w:left="0" w:right="-471"/>
        <w:jc w:val="both"/>
      </w:pPr>
      <w:r>
        <w:rPr>
          <w:rFonts w:ascii="Arial" w:cs="Arial" w:hAnsi="Arial"/>
          <w:b/>
          <w:sz w:val="22"/>
          <w:szCs w:val="22"/>
        </w:rPr>
        <w:t xml:space="preserve">e) </w:t>
      </w:r>
      <w:r>
        <w:rPr>
          <w:rFonts w:ascii="Arial" w:cs="Arial" w:hAnsi="Arial"/>
          <w:b/>
          <w:sz w:val="22"/>
          <w:szCs w:val="22"/>
          <w:u w:val="single"/>
        </w:rPr>
        <w:t>Opis a celková suma nákladov za overenie individuálnej účtovnej závierky audítorom</w:t>
      </w:r>
      <w:r>
        <w:rPr>
          <w:rFonts w:ascii="Arial" w:cs="Arial" w:hAnsi="Arial"/>
          <w:b/>
          <w:sz w:val="22"/>
          <w:szCs w:val="22"/>
        </w:rPr>
        <w:t>:</w:t>
      </w:r>
    </w:p>
    <w:p>
      <w:pPr>
        <w:pStyle w:val="style0"/>
        <w:spacing w:after="120" w:before="0"/>
        <w:ind w:hanging="0" w:left="0" w:right="-471"/>
        <w:jc w:val="both"/>
      </w:pPr>
      <w:r>
        <w:rPr>
          <w:rFonts w:ascii="Arial" w:cs="Arial" w:hAnsi="Arial"/>
          <w:sz w:val="22"/>
          <w:szCs w:val="22"/>
        </w:rPr>
      </w:r>
    </w:p>
    <w:p>
      <w:pPr>
        <w:pStyle w:val="style0"/>
        <w:spacing w:after="120" w:before="0"/>
        <w:ind w:hanging="0" w:left="0" w:right="-471"/>
        <w:jc w:val="both"/>
      </w:pPr>
      <w:r>
        <w:rPr>
          <w:rFonts w:ascii="Arial" w:cs="Arial" w:hAnsi="Arial"/>
          <w:sz w:val="22"/>
          <w:szCs w:val="22"/>
        </w:rPr>
        <w:t>Informácie sú uvedené v nasledujúcej tabuľke:</w:t>
      </w:r>
    </w:p>
    <w:p>
      <w:pPr>
        <w:pStyle w:val="style0"/>
        <w:spacing w:after="120" w:before="0"/>
        <w:ind w:hanging="0" w:left="0" w:right="-471"/>
        <w:jc w:val="both"/>
      </w:pPr>
      <w:r>
        <w:rPr>
          <w:rFonts w:ascii="Arial" w:cs="Arial" w:hAnsi="Arial"/>
          <w:sz w:val="22"/>
          <w:szCs w:val="22"/>
          <w:u w:val="single"/>
        </w:rPr>
      </w:r>
    </w:p>
    <w:p>
      <w:pPr>
        <w:pStyle w:val="style0"/>
        <w:spacing w:after="120" w:before="0"/>
        <w:ind w:hanging="0" w:left="0" w:right="-471"/>
        <w:jc w:val="both"/>
      </w:pPr>
      <w:r>
        <w:rPr>
          <w:rFonts w:ascii="Arial" w:cs="Arial" w:hAnsi="Arial"/>
          <w:sz w:val="22"/>
          <w:szCs w:val="22"/>
          <w:u w:val="single"/>
        </w:rPr>
      </w:r>
    </w:p>
    <w:p>
      <w:pPr>
        <w:pStyle w:val="style0"/>
        <w:spacing w:after="120" w:before="0"/>
        <w:ind w:hanging="0" w:left="0" w:right="-471"/>
        <w:jc w:val="both"/>
      </w:pPr>
      <w:r>
        <w:rPr>
          <w:rFonts w:ascii="Arial" w:cs="Arial" w:hAnsi="Arial"/>
          <w:sz w:val="22"/>
          <w:szCs w:val="22"/>
          <w:u w:val="single"/>
        </w:rPr>
      </w:r>
    </w:p>
    <w:p>
      <w:pPr>
        <w:pStyle w:val="style0"/>
        <w:spacing w:after="120" w:before="0"/>
        <w:ind w:hanging="0" w:left="0" w:right="-471"/>
        <w:jc w:val="both"/>
      </w:pPr>
      <w:bookmarkStart w:id="25" w:name="_MON_1457449133"/>
      <w:bookmarkEnd w:id="25"/>
      <w:r>
        <w:rPr/>
      </w:r>
    </w:p>
    <w:p>
      <w:pPr>
        <w:pStyle w:val="style0"/>
        <w:spacing w:after="120" w:before="0"/>
        <w:ind w:hanging="0" w:left="0" w:right="-471"/>
        <w:jc w:val="both"/>
      </w:pPr>
      <w:r>
        <w:rPr>
          <w:rFonts w:ascii="Arial" w:cs="Arial" w:hAnsi="Arial"/>
          <w:b/>
          <w:bCs/>
          <w:sz w:val="22"/>
          <w:szCs w:val="22"/>
        </w:rPr>
        <w:t xml:space="preserve">J. INFORMÁCIE O DANIACH Z PRÍJMOV </w:t>
      </w:r>
    </w:p>
    <w:p>
      <w:pPr>
        <w:pStyle w:val="style0"/>
        <w:spacing w:after="120" w:before="0"/>
        <w:jc w:val="both"/>
      </w:pPr>
      <w:r>
        <w:rPr>
          <w:rFonts w:ascii="Arial" w:cs="Arial" w:hAnsi="Arial"/>
          <w:b/>
          <w:bCs/>
          <w:sz w:val="22"/>
          <w:szCs w:val="22"/>
        </w:rPr>
      </w:r>
    </w:p>
    <w:p>
      <w:pPr>
        <w:pStyle w:val="style0"/>
        <w:spacing w:after="120" w:before="0"/>
        <w:jc w:val="both"/>
      </w:pPr>
      <w:r>
        <w:rPr>
          <w:rFonts w:ascii="Arial" w:cs="Arial" w:hAnsi="Arial"/>
          <w:b/>
          <w:sz w:val="22"/>
          <w:szCs w:val="22"/>
        </w:rPr>
        <w:t xml:space="preserve">a,b,c,d,e) </w:t>
      </w:r>
      <w:r>
        <w:rPr>
          <w:rFonts w:ascii="Arial" w:cs="Arial" w:hAnsi="Arial"/>
          <w:b/>
          <w:sz w:val="22"/>
          <w:szCs w:val="22"/>
          <w:u w:val="single"/>
        </w:rPr>
        <w:t>Informácie o daniach z príjmov</w:t>
      </w:r>
      <w:r>
        <w:rPr>
          <w:rFonts w:ascii="Arial" w:cs="Arial" w:hAnsi="Arial"/>
          <w:sz w:val="22"/>
          <w:szCs w:val="22"/>
          <w:u w:val="single"/>
        </w:rPr>
        <w:t>:</w:t>
      </w:r>
    </w:p>
    <w:p>
      <w:pPr>
        <w:pStyle w:val="style0"/>
        <w:spacing w:after="120" w:before="0"/>
        <w:ind w:hanging="0" w:left="0" w:right="-468"/>
        <w:jc w:val="both"/>
      </w:pPr>
      <w:r>
        <w:rPr>
          <w:rFonts w:ascii="Arial" w:cs="Arial" w:hAnsi="Arial"/>
          <w:sz w:val="22"/>
          <w:szCs w:val="22"/>
        </w:rPr>
        <w:t>Informácie o daniach z príjmov sú uvedené v nasledujúcej tabuľke:</w:t>
      </w:r>
    </w:p>
    <w:p>
      <w:pPr>
        <w:pStyle w:val="style0"/>
        <w:spacing w:after="120" w:before="0"/>
        <w:ind w:hanging="0" w:left="0" w:right="-468"/>
        <w:jc w:val="both"/>
      </w:pPr>
      <w:r>
        <w:rPr>
          <w:rFonts w:ascii="Arial" w:cs="Arial" w:hAnsi="Arial"/>
          <w:sz w:val="22"/>
          <w:szCs w:val="22"/>
        </w:rPr>
        <w:t xml:space="preserve">Spoločnosť o odloženom daňovom záväzku  ako   náklad alebo o výnos vyplývajúci zo zmeny sadzby dane z príjmov k 31.12.2013 neúčtovala. </w:t>
      </w:r>
    </w:p>
    <w:p>
      <w:pPr>
        <w:pStyle w:val="style0"/>
        <w:spacing w:after="120" w:before="0"/>
        <w:ind w:hanging="0" w:left="0" w:right="-468"/>
        <w:jc w:val="both"/>
      </w:pPr>
      <w:bookmarkStart w:id="26" w:name="_MON_1455951349"/>
      <w:bookmarkEnd w:id="26"/>
      <w:r>
        <w:rPr/>
      </w:r>
    </w:p>
    <w:p>
      <w:pPr>
        <w:pStyle w:val="style0"/>
        <w:spacing w:after="120" w:before="0"/>
        <w:jc w:val="both"/>
      </w:pPr>
      <w:r>
        <w:rPr>
          <w:rFonts w:ascii="Arial" w:cs="Arial" w:hAnsi="Arial"/>
          <w:b/>
          <w:sz w:val="22"/>
          <w:szCs w:val="22"/>
        </w:rPr>
      </w:r>
    </w:p>
    <w:p>
      <w:pPr>
        <w:pStyle w:val="style0"/>
        <w:spacing w:after="120" w:before="0"/>
        <w:jc w:val="both"/>
      </w:pPr>
      <w:r>
        <w:rPr>
          <w:rFonts w:ascii="Arial" w:cs="Arial" w:hAnsi="Arial"/>
          <w:b/>
          <w:sz w:val="22"/>
          <w:szCs w:val="22"/>
        </w:rPr>
        <w:t xml:space="preserve">f,g) </w:t>
      </w:r>
      <w:r>
        <w:rPr>
          <w:rFonts w:ascii="Arial" w:cs="Arial" w:hAnsi="Arial"/>
          <w:b/>
          <w:sz w:val="22"/>
          <w:szCs w:val="22"/>
          <w:u w:val="single"/>
        </w:rPr>
        <w:t>Informácie o daniach z príjmov:</w:t>
      </w:r>
    </w:p>
    <w:p>
      <w:pPr>
        <w:pStyle w:val="style0"/>
        <w:spacing w:after="120" w:before="0"/>
        <w:ind w:hanging="0" w:left="0" w:right="-468"/>
        <w:jc w:val="both"/>
      </w:pPr>
      <w:r>
        <w:rPr>
          <w:rFonts w:ascii="Arial" w:cs="Arial" w:hAnsi="Arial"/>
          <w:sz w:val="22"/>
          <w:szCs w:val="22"/>
          <w:shd w:fill="FFFF00" w:val="clear"/>
        </w:rPr>
      </w:r>
    </w:p>
    <w:p>
      <w:pPr>
        <w:pStyle w:val="style0"/>
        <w:spacing w:after="120" w:before="0"/>
        <w:ind w:hanging="0" w:left="0" w:right="-468"/>
        <w:jc w:val="both"/>
      </w:pPr>
      <w:r>
        <w:rPr>
          <w:rFonts w:ascii="Arial" w:cs="Arial" w:hAnsi="Arial"/>
          <w:sz w:val="22"/>
          <w:szCs w:val="22"/>
        </w:rPr>
        <w:t>Informácie  o daniach z príjmov sú uvedené v nasledujúcej tabuľke:</w:t>
      </w:r>
    </w:p>
    <w:p>
      <w:pPr>
        <w:pStyle w:val="style0"/>
        <w:spacing w:after="120" w:before="0"/>
        <w:ind w:hanging="0" w:left="0" w:right="-468"/>
        <w:jc w:val="both"/>
      </w:pPr>
      <w:r>
        <w:rPr>
          <w:rFonts w:ascii="Arial" w:cs="Arial" w:hAnsi="Arial"/>
          <w:sz w:val="22"/>
          <w:szCs w:val="22"/>
        </w:rPr>
      </w:r>
    </w:p>
    <w:p>
      <w:pPr>
        <w:pStyle w:val="style0"/>
        <w:spacing w:after="120" w:before="0"/>
        <w:ind w:hanging="0" w:left="0" w:right="-468"/>
        <w:jc w:val="both"/>
      </w:pPr>
      <w:bookmarkStart w:id="27" w:name="_MON_1456033674"/>
      <w:bookmarkEnd w:id="27"/>
      <w:r>
        <w:rPr/>
      </w:r>
    </w:p>
    <w:p>
      <w:pPr>
        <w:pStyle w:val="style0"/>
        <w:spacing w:after="120" w:before="0"/>
        <w:ind w:hanging="0" w:left="0" w:right="-471"/>
        <w:jc w:val="both"/>
      </w:pPr>
      <w:r>
        <w:rPr>
          <w:rFonts w:ascii="Arial" w:cs="Arial" w:hAnsi="Arial"/>
          <w:b/>
          <w:bCs/>
          <w:sz w:val="22"/>
          <w:szCs w:val="22"/>
        </w:rPr>
        <w:t>K. ÚDAJE NA PODSÚVAHOVÝCH ÚČTOCH</w:t>
      </w:r>
    </w:p>
    <w:p>
      <w:pPr>
        <w:pStyle w:val="style0"/>
        <w:spacing w:after="120" w:before="0"/>
        <w:ind w:hanging="0" w:left="0" w:right="-471"/>
        <w:jc w:val="both"/>
      </w:pPr>
      <w:r>
        <w:rPr>
          <w:rFonts w:ascii="Arial" w:cs="Arial" w:hAnsi="Arial"/>
          <w:b/>
          <w:bCs/>
          <w:sz w:val="22"/>
          <w:szCs w:val="22"/>
        </w:rPr>
      </w:r>
    </w:p>
    <w:p>
      <w:pPr>
        <w:pStyle w:val="style0"/>
        <w:ind w:hanging="0" w:left="0" w:right="-468"/>
        <w:jc w:val="both"/>
      </w:pPr>
      <w:r>
        <w:rPr>
          <w:rFonts w:ascii="Arial" w:cs="Arial" w:hAnsi="Arial"/>
          <w:bCs/>
          <w:sz w:val="22"/>
          <w:szCs w:val="22"/>
        </w:rPr>
        <w:t xml:space="preserve">Tu sa </w:t>
      </w:r>
      <w:r>
        <w:rPr>
          <w:rFonts w:ascii="Arial" w:cs="Arial" w:hAnsi="Arial"/>
          <w:sz w:val="22"/>
          <w:szCs w:val="22"/>
        </w:rPr>
        <w:t>uvádzajú informácie o</w:t>
      </w:r>
      <w:r>
        <w:rPr>
          <w:rFonts w:ascii="Arial" w:cs="Arial" w:hAnsi="Arial"/>
          <w:b/>
          <w:bCs/>
          <w:sz w:val="22"/>
          <w:szCs w:val="22"/>
        </w:rPr>
        <w:t xml:space="preserve"> </w:t>
      </w:r>
      <w:r>
        <w:rPr>
          <w:rFonts w:ascii="Arial" w:cs="Arial" w:hAnsi="Arial"/>
          <w:sz w:val="22"/>
          <w:szCs w:val="22"/>
        </w:rPr>
        <w:t>významných položkách prenajatého majetku, majetku prijatého do úschovy, o pohľadávkach a záväzkoch z opcií, o odpísaných pohľadávkach a pohľadávkach a záväzkoch.</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b/>
          <w:bCs/>
          <w:sz w:val="22"/>
          <w:szCs w:val="22"/>
        </w:rPr>
      </w:r>
    </w:p>
    <w:p>
      <w:pPr>
        <w:pStyle w:val="style0"/>
        <w:ind w:hanging="0" w:left="0" w:right="-468"/>
        <w:jc w:val="both"/>
      </w:pPr>
      <w:r>
        <w:rPr>
          <w:rFonts w:ascii="Arial" w:cs="Arial" w:hAnsi="Arial"/>
          <w:b/>
          <w:bCs/>
          <w:sz w:val="22"/>
          <w:szCs w:val="22"/>
        </w:rPr>
        <w:t>L. INFORMÁCIE O INÝCH AKTÍVACH A INÝCH PASÍVACH</w:t>
      </w:r>
    </w:p>
    <w:p>
      <w:pPr>
        <w:pStyle w:val="style0"/>
        <w:ind w:hanging="0" w:left="0" w:right="-468"/>
        <w:jc w:val="both"/>
      </w:pPr>
      <w:r>
        <w:rPr>
          <w:rFonts w:ascii="Arial" w:cs="Arial" w:hAnsi="Arial"/>
          <w:b/>
          <w:bCs/>
          <w:sz w:val="22"/>
          <w:szCs w:val="22"/>
        </w:rPr>
      </w:r>
    </w:p>
    <w:p>
      <w:pPr>
        <w:pStyle w:val="style0"/>
        <w:ind w:hanging="0" w:left="0" w:right="-468"/>
        <w:jc w:val="both"/>
      </w:pPr>
      <w:r>
        <w:rPr>
          <w:rFonts w:ascii="Arial" w:cs="Arial" w:hAnsi="Arial"/>
          <w:b/>
          <w:bCs/>
          <w:sz w:val="22"/>
          <w:szCs w:val="22"/>
        </w:rPr>
      </w:r>
    </w:p>
    <w:p>
      <w:pPr>
        <w:pStyle w:val="style0"/>
        <w:jc w:val="both"/>
      </w:pPr>
      <w:r>
        <w:rPr>
          <w:rFonts w:ascii="Arial" w:cs="Arial" w:hAnsi="Arial"/>
          <w:sz w:val="22"/>
          <w:szCs w:val="22"/>
        </w:rPr>
        <w:t xml:space="preserve">a)  </w:t>
      </w:r>
      <w:r>
        <w:rPr>
          <w:rFonts w:ascii="Arial" w:cs="Arial" w:hAnsi="Arial"/>
          <w:b/>
          <w:sz w:val="22"/>
          <w:szCs w:val="22"/>
          <w:u w:val="single"/>
        </w:rPr>
        <w:t>Podmienené záväzky</w:t>
      </w:r>
      <w:r>
        <w:rPr>
          <w:rFonts w:ascii="Arial" w:cs="Arial" w:hAnsi="Arial"/>
          <w:sz w:val="22"/>
          <w:szCs w:val="22"/>
        </w:rPr>
        <w:t xml:space="preserve"> Spoločnosť od 01. januára 2013 do 31.12.2013 nevykazuje.</w:t>
      </w:r>
    </w:p>
    <w:p>
      <w:pPr>
        <w:pStyle w:val="style0"/>
        <w:jc w:val="both"/>
      </w:pPr>
      <w:r>
        <w:rPr>
          <w:rFonts w:ascii="Arial" w:cs="Arial" w:hAnsi="Arial"/>
          <w:sz w:val="22"/>
          <w:szCs w:val="22"/>
        </w:rPr>
      </w:r>
    </w:p>
    <w:p>
      <w:pPr>
        <w:pStyle w:val="style0"/>
        <w:jc w:val="both"/>
      </w:pPr>
      <w:r>
        <w:rPr>
          <w:rFonts w:ascii="Arial" w:cs="Arial" w:hAnsi="Arial"/>
          <w:sz w:val="22"/>
          <w:szCs w:val="22"/>
        </w:rPr>
        <w:t xml:space="preserve">b)  </w:t>
      </w:r>
      <w:r>
        <w:rPr>
          <w:rFonts w:ascii="Arial" w:cs="Arial" w:hAnsi="Arial"/>
          <w:b/>
          <w:sz w:val="22"/>
          <w:szCs w:val="22"/>
          <w:u w:val="single"/>
        </w:rPr>
        <w:t xml:space="preserve">O podmienených záväzkov voči spriazneným osobám </w:t>
      </w:r>
      <w:r>
        <w:rPr>
          <w:rFonts w:ascii="Arial" w:cs="Arial" w:hAnsi="Arial"/>
          <w:sz w:val="22"/>
          <w:szCs w:val="22"/>
        </w:rPr>
        <w:t>Spoločnosť neúčtuje.</w:t>
      </w:r>
    </w:p>
    <w:p>
      <w:pPr>
        <w:pStyle w:val="style0"/>
        <w:jc w:val="both"/>
      </w:pPr>
      <w:r>
        <w:rPr>
          <w:rFonts w:ascii="Arial" w:cs="Arial" w:hAnsi="Arial"/>
          <w:sz w:val="22"/>
          <w:szCs w:val="22"/>
        </w:rPr>
        <w:t xml:space="preserve"> </w:t>
      </w:r>
    </w:p>
    <w:p>
      <w:pPr>
        <w:pStyle w:val="style0"/>
        <w:jc w:val="both"/>
      </w:pPr>
      <w:r>
        <w:rPr>
          <w:rFonts w:ascii="Arial" w:cs="Arial" w:hAnsi="Arial"/>
          <w:sz w:val="22"/>
          <w:szCs w:val="22"/>
        </w:rPr>
        <w:t xml:space="preserve">c)  </w:t>
      </w:r>
      <w:r>
        <w:rPr>
          <w:rFonts w:ascii="Arial" w:cs="Arial" w:hAnsi="Arial"/>
          <w:b/>
          <w:sz w:val="22"/>
          <w:szCs w:val="22"/>
          <w:u w:val="single"/>
        </w:rPr>
        <w:t xml:space="preserve">Podmienený majetok  </w:t>
      </w:r>
      <w:r>
        <w:rPr>
          <w:rFonts w:ascii="Arial" w:cs="Arial" w:hAnsi="Arial"/>
          <w:sz w:val="22"/>
          <w:szCs w:val="22"/>
        </w:rPr>
        <w:t>Spoločnosť neeviduje.</w:t>
      </w:r>
    </w:p>
    <w:p>
      <w:pPr>
        <w:pStyle w:val="style0"/>
        <w:ind w:hanging="0" w:left="0" w:right="-468"/>
        <w:jc w:val="both"/>
      </w:pPr>
      <w:r>
        <w:rPr>
          <w:rFonts w:ascii="Arial" w:cs="Arial" w:hAnsi="Arial"/>
          <w:b/>
          <w:bCs/>
          <w:sz w:val="22"/>
          <w:szCs w:val="22"/>
        </w:rPr>
      </w:r>
    </w:p>
    <w:p>
      <w:pPr>
        <w:pStyle w:val="style0"/>
        <w:spacing w:after="120" w:before="0"/>
        <w:ind w:hanging="0" w:left="0" w:right="-471"/>
        <w:jc w:val="both"/>
      </w:pPr>
      <w:r>
        <w:rPr>
          <w:rFonts w:ascii="Arial" w:cs="Arial" w:hAnsi="Arial"/>
          <w:b/>
          <w:bCs/>
          <w:sz w:val="22"/>
          <w:szCs w:val="22"/>
        </w:rPr>
        <w:t xml:space="preserve">M. PRÍJMY A VÝHODY ČLENOV ŠTATUTÁRNEHO ORGÁNU, DOZORNÉHO ORGÁNU </w:t>
      </w:r>
    </w:p>
    <w:p>
      <w:pPr>
        <w:pStyle w:val="style0"/>
        <w:spacing w:after="120" w:before="0"/>
        <w:ind w:hanging="0" w:left="0" w:right="-471"/>
        <w:jc w:val="both"/>
      </w:pPr>
      <w:r>
        <w:rPr>
          <w:rFonts w:ascii="Arial" w:cs="Arial" w:hAnsi="Arial"/>
          <w:b/>
          <w:bCs/>
          <w:sz w:val="22"/>
          <w:szCs w:val="22"/>
        </w:rPr>
        <w:t xml:space="preserve">     </w:t>
      </w:r>
      <w:r>
        <w:rPr>
          <w:rFonts w:ascii="Arial" w:cs="Arial" w:hAnsi="Arial"/>
          <w:b/>
          <w:bCs/>
          <w:sz w:val="22"/>
          <w:szCs w:val="22"/>
        </w:rPr>
        <w:t>A INÉHO ORGÁNU ÚČTOVNEJ JEDNOTKY</w:t>
      </w:r>
    </w:p>
    <w:p>
      <w:pPr>
        <w:pStyle w:val="style0"/>
        <w:spacing w:after="120" w:before="0"/>
        <w:ind w:hanging="0" w:left="0" w:right="-471"/>
        <w:jc w:val="both"/>
      </w:pPr>
      <w:r>
        <w:rPr>
          <w:rFonts w:ascii="Arial" w:cs="Arial" w:hAnsi="Arial"/>
          <w:b/>
          <w:bCs/>
          <w:sz w:val="22"/>
          <w:szCs w:val="22"/>
        </w:rPr>
      </w:r>
    </w:p>
    <w:p>
      <w:pPr>
        <w:pStyle w:val="style0"/>
        <w:spacing w:after="120" w:before="0"/>
        <w:ind w:hanging="0" w:left="0" w:right="-471"/>
        <w:jc w:val="both"/>
      </w:pPr>
      <w:r>
        <w:rPr>
          <w:rFonts w:ascii="Arial" w:cs="Arial" w:hAnsi="Arial"/>
          <w:b/>
          <w:bCs/>
          <w:sz w:val="22"/>
          <w:szCs w:val="22"/>
        </w:rPr>
        <w:t xml:space="preserve">a,b,c,d,e) </w:t>
      </w:r>
      <w:r>
        <w:rPr>
          <w:rFonts w:ascii="Arial" w:cs="Arial" w:hAnsi="Arial"/>
          <w:b/>
          <w:bCs/>
          <w:sz w:val="22"/>
          <w:szCs w:val="22"/>
          <w:u w:val="single"/>
        </w:rPr>
        <w:t>Priznané odmeny (záruky, pôžičky – istina a úroky, iné plnenia)</w:t>
      </w:r>
      <w:r>
        <w:rPr>
          <w:rFonts w:ascii="Arial" w:cs="Arial" w:hAnsi="Arial"/>
          <w:b/>
          <w:bCs/>
          <w:sz w:val="22"/>
          <w:szCs w:val="22"/>
        </w:rPr>
        <w:t xml:space="preserve"> </w:t>
      </w:r>
    </w:p>
    <w:p>
      <w:pPr>
        <w:pStyle w:val="style0"/>
        <w:spacing w:after="120" w:before="0"/>
        <w:ind w:hanging="0" w:left="0" w:right="-471"/>
        <w:jc w:val="both"/>
      </w:pPr>
      <w:r>
        <w:rPr>
          <w:rFonts w:ascii="Arial" w:cs="Arial" w:hAnsi="Arial"/>
          <w:bCs/>
          <w:sz w:val="22"/>
          <w:szCs w:val="22"/>
        </w:rPr>
        <w:t>Priznané odmeny členov štatutárnych orgánov a dozorných orgánov za ich činnosť za obdobie od 1. januára 2013 do 31. decembra 2013:</w:t>
      </w:r>
    </w:p>
    <w:p>
      <w:pPr>
        <w:pStyle w:val="style0"/>
        <w:spacing w:after="120" w:before="0"/>
        <w:ind w:hanging="0" w:left="0" w:right="-471"/>
        <w:jc w:val="both"/>
      </w:pPr>
      <w:r>
        <w:rPr>
          <w:rFonts w:ascii="Arial" w:cs="Arial" w:hAnsi="Arial"/>
          <w:bCs/>
          <w:sz w:val="22"/>
          <w:szCs w:val="22"/>
        </w:rPr>
        <w:t>Štatutárny orgán:         41 205,64 EUR</w:t>
      </w:r>
    </w:p>
    <w:p>
      <w:pPr>
        <w:pStyle w:val="style0"/>
        <w:spacing w:after="120" w:before="0"/>
        <w:ind w:hanging="0" w:left="0" w:right="-471"/>
        <w:jc w:val="both"/>
      </w:pPr>
      <w:r>
        <w:rPr>
          <w:rFonts w:ascii="Arial" w:cs="Arial" w:hAnsi="Arial"/>
          <w:bCs/>
          <w:sz w:val="22"/>
          <w:szCs w:val="22"/>
        </w:rPr>
        <w:t>Dozorný orgán:              9 840,00 EUR</w:t>
      </w:r>
    </w:p>
    <w:p>
      <w:pPr>
        <w:pStyle w:val="style0"/>
        <w:spacing w:after="120" w:before="0"/>
        <w:ind w:hanging="0" w:left="0" w:right="-471"/>
        <w:jc w:val="both"/>
      </w:pPr>
      <w:r>
        <w:rPr>
          <w:rFonts w:ascii="Arial" w:cs="Arial" w:hAnsi="Arial"/>
          <w:bCs/>
          <w:sz w:val="22"/>
          <w:szCs w:val="22"/>
        </w:rPr>
        <w:t>Iný orgán:                             0,00 EUR</w:t>
      </w:r>
    </w:p>
    <w:p>
      <w:pPr>
        <w:pStyle w:val="style0"/>
        <w:jc w:val="both"/>
      </w:pPr>
      <w:r>
        <w:rPr>
          <w:rFonts w:ascii="Arial" w:cs="Arial" w:hAnsi="Arial"/>
          <w:b/>
          <w:bCs/>
          <w:sz w:val="22"/>
          <w:szCs w:val="22"/>
        </w:rPr>
      </w:r>
    </w:p>
    <w:p>
      <w:pPr>
        <w:pStyle w:val="style0"/>
        <w:jc w:val="both"/>
      </w:pPr>
      <w:r>
        <w:rPr>
          <w:rFonts w:ascii="Arial" w:cs="Arial" w:hAnsi="Arial"/>
          <w:b/>
          <w:bCs/>
          <w:sz w:val="22"/>
          <w:szCs w:val="22"/>
        </w:rPr>
      </w:r>
    </w:p>
    <w:p>
      <w:pPr>
        <w:pStyle w:val="style0"/>
        <w:jc w:val="both"/>
      </w:pPr>
      <w:r>
        <w:rPr>
          <w:rFonts w:ascii="Arial" w:cs="Arial" w:hAnsi="Arial"/>
          <w:b/>
          <w:bCs/>
          <w:sz w:val="22"/>
          <w:szCs w:val="22"/>
        </w:rPr>
        <w:t>N. INFORMÁCIE O EKONOMICKÝCH VZTAHOCH ÚĆTOVNEJ JEDNOTKY</w:t>
      </w:r>
    </w:p>
    <w:p>
      <w:pPr>
        <w:pStyle w:val="style0"/>
        <w:jc w:val="both"/>
      </w:pPr>
      <w:r>
        <w:rPr>
          <w:rFonts w:ascii="Arial" w:cs="Arial" w:hAnsi="Arial"/>
          <w:b/>
          <w:bCs/>
          <w:sz w:val="22"/>
          <w:szCs w:val="22"/>
        </w:rPr>
        <w:t xml:space="preserve">    </w:t>
      </w:r>
      <w:r>
        <w:rPr>
          <w:rFonts w:ascii="Arial" w:cs="Arial" w:hAnsi="Arial"/>
          <w:b/>
          <w:bCs/>
          <w:sz w:val="22"/>
          <w:szCs w:val="22"/>
        </w:rPr>
        <w:t>A SPRIAZNENÝCH OSôB</w:t>
      </w:r>
    </w:p>
    <w:p>
      <w:pPr>
        <w:pStyle w:val="style0"/>
        <w:ind w:hanging="0" w:left="964" w:right="-468"/>
        <w:jc w:val="both"/>
      </w:pPr>
      <w:r>
        <w:rPr>
          <w:rFonts w:ascii="Arial" w:cs="Arial" w:hAnsi="Arial"/>
          <w:sz w:val="22"/>
          <w:szCs w:val="22"/>
        </w:rPr>
      </w:r>
    </w:p>
    <w:p>
      <w:pPr>
        <w:pStyle w:val="style0"/>
        <w:jc w:val="both"/>
      </w:pPr>
      <w:r>
        <w:rPr>
          <w:rFonts w:ascii="Arial" w:cs="Arial" w:hAnsi="Arial"/>
          <w:b/>
          <w:sz w:val="22"/>
          <w:szCs w:val="22"/>
        </w:rPr>
        <w:t>a,b,c)</w:t>
      </w:r>
      <w:r>
        <w:rPr>
          <w:rFonts w:ascii="Arial" w:cs="Arial" w:hAnsi="Arial"/>
          <w:b/>
          <w:sz w:val="22"/>
          <w:szCs w:val="22"/>
          <w:u w:val="single"/>
        </w:rPr>
        <w:t>Zoznam obchodov, neuzavretých na základe obvyklých obchodných podmienok, medzi účtovnou jednotkou a spriaznenými osobami</w:t>
      </w:r>
    </w:p>
    <w:p>
      <w:pPr>
        <w:pStyle w:val="style0"/>
        <w:jc w:val="both"/>
      </w:pPr>
      <w:r>
        <w:rPr>
          <w:rFonts w:ascii="Arial" w:cs="Arial" w:hAnsi="Arial"/>
          <w:sz w:val="22"/>
          <w:szCs w:val="22"/>
          <w:u w:val="single"/>
        </w:rPr>
      </w:r>
    </w:p>
    <w:p>
      <w:pPr>
        <w:pStyle w:val="style0"/>
        <w:jc w:val="both"/>
      </w:pPr>
      <w:r>
        <w:rPr>
          <w:rFonts w:ascii="Arial" w:cs="Arial" w:hAnsi="Arial"/>
          <w:sz w:val="22"/>
          <w:szCs w:val="22"/>
        </w:rPr>
        <w:t>Spoločnosť od 01. januára 2013  do 31. decembra 2013 neuzatvorila zmluvy so spriaznenými osobami.</w:t>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sz w:val="22"/>
          <w:szCs w:val="22"/>
        </w:rPr>
      </w:r>
    </w:p>
    <w:p>
      <w:pPr>
        <w:pStyle w:val="style0"/>
        <w:ind w:hanging="0" w:left="0" w:right="-468"/>
        <w:jc w:val="both"/>
      </w:pPr>
      <w:r>
        <w:rPr>
          <w:rFonts w:ascii="Arial" w:cs="Arial" w:hAnsi="Arial"/>
          <w:b/>
          <w:bCs/>
          <w:sz w:val="22"/>
          <w:szCs w:val="22"/>
        </w:rPr>
        <w:t>O. INFORMÁCIE O SKUTOĆNOSTIACH, KTORÉ NASTALI PO DNI, KU KTORÉMU SA</w:t>
      </w:r>
    </w:p>
    <w:p>
      <w:pPr>
        <w:pStyle w:val="style0"/>
        <w:ind w:hanging="0" w:left="0" w:right="-468"/>
        <w:jc w:val="both"/>
      </w:pPr>
      <w:r>
        <w:rPr>
          <w:rFonts w:ascii="Arial" w:cs="Arial" w:hAnsi="Arial"/>
          <w:b/>
          <w:bCs/>
          <w:sz w:val="22"/>
          <w:szCs w:val="22"/>
        </w:rPr>
        <w:t xml:space="preserve">     </w:t>
      </w:r>
      <w:r>
        <w:rPr>
          <w:rFonts w:ascii="Arial" w:cs="Arial" w:hAnsi="Arial"/>
          <w:b/>
          <w:bCs/>
          <w:sz w:val="22"/>
          <w:szCs w:val="22"/>
        </w:rPr>
        <w:t>ZOSTAVUJE ÚĆTOVNÁ ZÁVIERKA DO DŃA ZOSTAVENIA ÚĆTOVNEJ  ZÁVIERKY</w:t>
      </w:r>
    </w:p>
    <w:p>
      <w:pPr>
        <w:pStyle w:val="style0"/>
        <w:ind w:hanging="0" w:left="0" w:right="-468"/>
        <w:jc w:val="both"/>
      </w:pPr>
      <w:r>
        <w:rPr>
          <w:rFonts w:ascii="Arial" w:cs="Arial" w:hAnsi="Arial"/>
          <w:b/>
          <w:bCs/>
          <w:sz w:val="22"/>
          <w:szCs w:val="22"/>
        </w:rPr>
      </w:r>
    </w:p>
    <w:p>
      <w:pPr>
        <w:pStyle w:val="style0"/>
        <w:ind w:hanging="0" w:left="0" w:right="-468"/>
        <w:jc w:val="both"/>
      </w:pPr>
      <w:r>
        <w:rPr>
          <w:rFonts w:ascii="Arial" w:cs="Arial" w:hAnsi="Arial"/>
          <w:b/>
          <w:bCs/>
          <w:sz w:val="22"/>
          <w:szCs w:val="22"/>
        </w:rPr>
      </w:r>
    </w:p>
    <w:p>
      <w:pPr>
        <w:pStyle w:val="style0"/>
        <w:ind w:hanging="0" w:left="0" w:right="-468"/>
        <w:jc w:val="both"/>
      </w:pPr>
      <w:r>
        <w:rPr>
          <w:rFonts w:ascii="Arial" w:cs="Arial" w:hAnsi="Arial"/>
          <w:bCs/>
          <w:sz w:val="22"/>
          <w:szCs w:val="22"/>
        </w:rPr>
        <w:t xml:space="preserve">Po 31.decembri 2013 nenastali udalosti majúce významný vplyv na verné zobrazenie skutočností, ktoré sú predmetom účtovníctva. </w:t>
      </w:r>
    </w:p>
    <w:p>
      <w:pPr>
        <w:pStyle w:val="style0"/>
        <w:spacing w:after="120" w:before="0"/>
        <w:ind w:hanging="0" w:left="0" w:right="-471"/>
        <w:jc w:val="both"/>
      </w:pPr>
      <w:r>
        <w:rPr>
          <w:rFonts w:ascii="Arial" w:cs="Arial" w:hAnsi="Arial"/>
          <w:b/>
          <w:bCs/>
          <w:sz w:val="22"/>
          <w:szCs w:val="22"/>
          <w:shd w:fill="FFFF00" w:val="clear"/>
        </w:rPr>
      </w:r>
    </w:p>
    <w:p>
      <w:pPr>
        <w:pStyle w:val="style0"/>
        <w:spacing w:after="120" w:before="0"/>
        <w:ind w:hanging="0" w:left="0" w:right="-471"/>
        <w:jc w:val="both"/>
      </w:pPr>
      <w:r>
        <w:rPr>
          <w:rFonts w:ascii="Arial" w:cs="Arial" w:hAnsi="Arial"/>
          <w:b/>
          <w:bCs/>
          <w:sz w:val="22"/>
          <w:szCs w:val="22"/>
        </w:rPr>
        <w:t>P. PREHĹAD ZMIEN  VLASTNÉHO IMANIA</w:t>
      </w:r>
    </w:p>
    <w:p>
      <w:pPr>
        <w:pStyle w:val="style0"/>
        <w:spacing w:after="120" w:before="0"/>
        <w:ind w:hanging="0" w:left="0" w:right="-471"/>
        <w:jc w:val="both"/>
      </w:pPr>
      <w:r>
        <w:rPr>
          <w:rFonts w:ascii="Arial" w:cs="Arial" w:hAnsi="Arial"/>
          <w:b/>
          <w:bCs/>
          <w:sz w:val="22"/>
          <w:szCs w:val="22"/>
        </w:rPr>
      </w:r>
    </w:p>
    <w:p>
      <w:pPr>
        <w:pStyle w:val="style0"/>
        <w:spacing w:after="120" w:before="0"/>
        <w:ind w:hanging="0" w:left="0" w:right="-471"/>
        <w:jc w:val="both"/>
      </w:pPr>
      <w:r>
        <w:rPr>
          <w:rFonts w:ascii="Arial" w:cs="Arial" w:hAnsi="Arial"/>
          <w:sz w:val="22"/>
          <w:szCs w:val="22"/>
        </w:rPr>
        <w:t>Informácie o výške základného imania účtovnej jednotky sú popísané v časti C.</w:t>
      </w:r>
    </w:p>
    <w:p>
      <w:pPr>
        <w:pStyle w:val="style0"/>
        <w:spacing w:after="120" w:before="0"/>
        <w:ind w:hanging="0" w:left="0" w:right="-471"/>
        <w:jc w:val="both"/>
      </w:pPr>
      <w:r>
        <w:rPr>
          <w:rFonts w:ascii="Arial" w:cs="Arial" w:hAnsi="Arial"/>
          <w:sz w:val="22"/>
          <w:szCs w:val="22"/>
        </w:rPr>
        <w:t>Informácie o zmenách vlastného imania sú uvedené v nasledujúcich tabuľkách</w:t>
      </w:r>
    </w:p>
    <w:p>
      <w:pPr>
        <w:pStyle w:val="style0"/>
        <w:spacing w:after="120" w:before="0"/>
        <w:ind w:hanging="0" w:left="0" w:right="-471"/>
        <w:jc w:val="both"/>
      </w:pPr>
      <w:r>
        <w:rPr>
          <w:rFonts w:ascii="Arial" w:cs="Arial" w:hAnsi="Arial"/>
          <w:sz w:val="22"/>
          <w:szCs w:val="22"/>
        </w:rPr>
        <w:t>Tabuľka č. 1</w:t>
      </w:r>
    </w:p>
    <w:p>
      <w:pPr>
        <w:pStyle w:val="style0"/>
        <w:tabs>
          <w:tab w:leader="none" w:pos="1276" w:val="left"/>
        </w:tabs>
      </w:pPr>
      <w:bookmarkStart w:id="28" w:name="_MON_1457442090"/>
      <w:bookmarkEnd w:id="28"/>
      <w:r>
        <w:rPr/>
      </w:r>
    </w:p>
    <w:p>
      <w:pPr>
        <w:pStyle w:val="style0"/>
      </w:pPr>
      <w:r>
        <w:rPr>
          <w:rFonts w:ascii="Arial" w:cs="Arial" w:hAnsi="Arial"/>
          <w:sz w:val="22"/>
          <w:szCs w:val="22"/>
        </w:rPr>
      </w:r>
    </w:p>
    <w:p>
      <w:pPr>
        <w:pStyle w:val="style0"/>
      </w:pPr>
      <w:bookmarkStart w:id="29" w:name="_GoBack"/>
      <w:bookmarkEnd w:id="29"/>
      <w:r>
        <w:rPr>
          <w:rFonts w:ascii="Arial" w:cs="Arial" w:hAnsi="Arial"/>
          <w:sz w:val="22"/>
          <w:szCs w:val="22"/>
        </w:rPr>
        <w:t>Tabuľka č.2</w:t>
      </w:r>
    </w:p>
    <w:p>
      <w:pPr>
        <w:pStyle w:val="style0"/>
        <w:tabs>
          <w:tab w:leader="none" w:pos="1276" w:val="left"/>
        </w:tabs>
      </w:pPr>
      <w:bookmarkStart w:id="30" w:name="_MON_1455952300"/>
      <w:bookmarkEnd w:id="30"/>
      <w:r>
        <w:rPr/>
      </w:r>
    </w:p>
    <w:p>
      <w:pPr>
        <w:pStyle w:val="style0"/>
        <w:tabs>
          <w:tab w:leader="none" w:pos="1276" w:val="left"/>
        </w:tabs>
      </w:pPr>
      <w:r>
        <w:rPr>
          <w:rFonts w:ascii="Arial" w:cs="Arial" w:hAnsi="Arial"/>
          <w:b/>
          <w:bCs/>
          <w:sz w:val="22"/>
          <w:szCs w:val="22"/>
        </w:rPr>
        <w:t xml:space="preserve">R. PREHĹAD PEŃAŹNÝCH TOKOV   </w:t>
      </w:r>
    </w:p>
    <w:p>
      <w:pPr>
        <w:pStyle w:val="style0"/>
        <w:tabs>
          <w:tab w:leader="none" w:pos="1276" w:val="left"/>
        </w:tabs>
      </w:pPr>
      <w:r>
        <w:rPr>
          <w:rFonts w:ascii="Arial" w:cs="Arial" w:hAnsi="Arial"/>
          <w:sz w:val="22"/>
          <w:szCs w:val="22"/>
        </w:rPr>
      </w:r>
    </w:p>
    <w:p>
      <w:pPr>
        <w:pStyle w:val="style0"/>
        <w:spacing w:after="120" w:before="0"/>
        <w:ind w:hanging="0" w:left="0" w:right="-471"/>
        <w:jc w:val="both"/>
      </w:pPr>
      <w:bookmarkStart w:id="31" w:name="_MON_1457424145"/>
      <w:bookmarkEnd w:id="31"/>
      <w:r>
        <w:rPr/>
      </w:r>
    </w:p>
    <w:p>
      <w:pPr>
        <w:pStyle w:val="style0"/>
        <w:spacing w:after="120" w:before="0"/>
        <w:ind w:hanging="0" w:left="0" w:right="-471"/>
        <w:jc w:val="both"/>
      </w:pPr>
      <w:r>
        <w:rPr>
          <w:rFonts w:ascii="Arial" w:cs="Arial" w:hAnsi="Arial"/>
          <w:b/>
          <w:bCs/>
          <w:sz w:val="22"/>
          <w:szCs w:val="22"/>
        </w:rPr>
      </w:r>
    </w:p>
    <w:p>
      <w:pPr>
        <w:pStyle w:val="style0"/>
        <w:spacing w:after="120" w:before="0"/>
        <w:ind w:hanging="0" w:left="0" w:right="-471"/>
        <w:jc w:val="both"/>
      </w:pPr>
      <w:r>
        <w:rPr>
          <w:rFonts w:ascii="Arial" w:cs="Arial" w:hAnsi="Arial"/>
          <w:b/>
          <w:bCs/>
          <w:sz w:val="22"/>
          <w:szCs w:val="22"/>
        </w:rPr>
      </w:r>
    </w:p>
    <w:p>
      <w:pPr>
        <w:pStyle w:val="style0"/>
        <w:spacing w:after="120" w:before="0"/>
        <w:ind w:hanging="0" w:left="0" w:right="-471"/>
        <w:jc w:val="both"/>
      </w:pPr>
      <w:bookmarkStart w:id="32" w:name="_MON_1457424288"/>
      <w:bookmarkEnd w:id="32"/>
      <w:r>
        <w:rPr/>
      </w:r>
    </w:p>
    <w:sectPr>
      <w:headerReference r:id="rId2" w:type="default"/>
      <w:footerReference r:id="rId3" w:type="default"/>
      <w:type w:val="nextPage"/>
      <w:pgSz w:h="16838" w:w="11906"/>
      <w:pgMar w:bottom="1418" w:footer="567" w:gutter="0" w:header="567" w:left="1418" w:right="1418" w:top="1418"/>
      <w:pgNumType w:fmt="decimal"/>
      <w:formProt w:val="false"/>
      <w:textDirection w:val="lrTb"/>
      <w:docGrid w:charSpace="0" w:linePitch="326"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5"/>
      <w:jc w:val="right"/>
    </w:pPr>
    <w:r>
      <w:rPr/>
      <w:fldChar w:fldCharType="begin"/>
    </w:r>
    <w:r>
      <w:instrText> PAGE </w:instrText>
    </w:r>
    <w:r>
      <w:fldChar w:fldCharType="separate"/>
    </w:r>
    <w:r>
      <w:t>27</w:t>
    </w:r>
    <w:r>
      <w:fldChar w:fldCharType="end"/>
    </w:r>
  </w:p>
  <w:p>
    <w:pPr>
      <w:pStyle w:val="style35"/>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0"/>
    </w:pPr>
    <w:r>
      <w:rPr>
        <w:rFonts w:ascii="Arial" w:cs="Arial" w:hAnsi="Arial"/>
        <w:color w:val="000000"/>
        <w:sz w:val="22"/>
        <w:szCs w:val="22"/>
      </w:rPr>
      <w:t>Poznámky Úč POD 3 - 04</w:t>
    </w:r>
  </w:p>
  <w:p>
    <w:pPr>
      <w:pStyle w:val="style0"/>
      <w:jc w:val="center"/>
    </w:pPr>
    <w:r>
      <w:rPr>
        <w:rFonts w:ascii="Arial" w:cs="Arial" w:hAnsi="Arial"/>
        <w:color w:val="000000"/>
        <w:sz w:val="22"/>
        <w:szCs w:val="22"/>
      </w:rPr>
    </w:r>
  </w:p>
  <w:p>
    <w:pPr>
      <w:pStyle w:val="style0"/>
    </w:pPr>
    <w:r>
      <w:rPr>
        <w:rFonts w:ascii="Arial" w:cs="Arial" w:hAnsi="Arial"/>
        <w:color w:val="000000"/>
        <w:sz w:val="22"/>
        <w:szCs w:val="22"/>
      </w:rPr>
      <w:t>DIČ</w:t>
    </w:r>
  </w:p>
  <w:p>
    <w:pPr>
      <w:pStyle w:val="style0"/>
      <w:jc w:val="center"/>
    </w:pPr>
    <w:r>
      <w:rPr>
        <w:rFonts w:ascii="Arial" w:cs="Arial" w:hAnsi="Arial"/>
        <w:sz w:val="22"/>
        <w:szCs w:val="22"/>
      </w:rPr>
      <w:t>2</w:t>
    </w:r>
  </w:p>
  <w:p>
    <w:pPr>
      <w:pStyle w:val="style0"/>
      <w:jc w:val="center"/>
    </w:pPr>
    <w:r>
      <w:rPr>
        <w:rFonts w:ascii="Arial" w:cs="Arial" w:hAnsi="Arial"/>
        <w:sz w:val="22"/>
        <w:szCs w:val="22"/>
      </w:rPr>
      <w:t>0</w:t>
    </w:r>
  </w:p>
  <w:p>
    <w:pPr>
      <w:pStyle w:val="style0"/>
      <w:jc w:val="center"/>
    </w:pPr>
    <w:r>
      <w:rPr>
        <w:rFonts w:ascii="Arial" w:cs="Arial" w:hAnsi="Arial"/>
        <w:sz w:val="22"/>
        <w:szCs w:val="22"/>
      </w:rPr>
      <w:t>2</w:t>
    </w:r>
  </w:p>
  <w:p>
    <w:pPr>
      <w:pStyle w:val="style0"/>
      <w:jc w:val="center"/>
    </w:pPr>
    <w:r>
      <w:rPr>
        <w:rFonts w:ascii="Arial" w:cs="Arial" w:hAnsi="Arial"/>
        <w:sz w:val="22"/>
        <w:szCs w:val="22"/>
      </w:rPr>
      <w:t>2</w:t>
    </w:r>
  </w:p>
  <w:p>
    <w:pPr>
      <w:pStyle w:val="style0"/>
      <w:jc w:val="center"/>
    </w:pPr>
    <w:r>
      <w:rPr>
        <w:rFonts w:ascii="Arial" w:cs="Arial" w:hAnsi="Arial"/>
        <w:sz w:val="22"/>
        <w:szCs w:val="22"/>
      </w:rPr>
      <w:t>2</w:t>
    </w:r>
  </w:p>
  <w:p>
    <w:pPr>
      <w:pStyle w:val="style0"/>
      <w:jc w:val="center"/>
    </w:pPr>
    <w:r>
      <w:rPr>
        <w:rFonts w:ascii="Arial" w:cs="Arial" w:hAnsi="Arial"/>
        <w:sz w:val="22"/>
        <w:szCs w:val="22"/>
      </w:rPr>
      <w:t>3</w:t>
    </w:r>
  </w:p>
  <w:p>
    <w:pPr>
      <w:pStyle w:val="style0"/>
      <w:jc w:val="center"/>
    </w:pPr>
    <w:r>
      <w:rPr>
        <w:rFonts w:ascii="Arial" w:cs="Arial" w:hAnsi="Arial"/>
        <w:sz w:val="22"/>
        <w:szCs w:val="22"/>
      </w:rPr>
      <w:t>8</w:t>
    </w:r>
  </w:p>
  <w:p>
    <w:pPr>
      <w:pStyle w:val="style0"/>
      <w:jc w:val="center"/>
    </w:pPr>
    <w:r>
      <w:rPr>
        <w:rFonts w:ascii="Arial" w:cs="Arial" w:hAnsi="Arial"/>
        <w:sz w:val="22"/>
        <w:szCs w:val="22"/>
      </w:rPr>
      <w:t>9</w:t>
    </w:r>
  </w:p>
  <w:p>
    <w:pPr>
      <w:pStyle w:val="style0"/>
      <w:jc w:val="center"/>
    </w:pPr>
    <w:r>
      <w:rPr>
        <w:rFonts w:ascii="Arial" w:cs="Arial" w:hAnsi="Arial"/>
        <w:sz w:val="22"/>
        <w:szCs w:val="22"/>
      </w:rPr>
      <w:t>0</w:t>
    </w:r>
  </w:p>
  <w:p>
    <w:pPr>
      <w:pStyle w:val="style0"/>
      <w:jc w:val="center"/>
    </w:pPr>
    <w:r>
      <w:rPr>
        <w:rFonts w:ascii="Arial" w:cs="Arial" w:hAnsi="Arial"/>
        <w:sz w:val="22"/>
        <w:szCs w:val="22"/>
      </w:rPr>
      <w:t>0</w:t>
    </w:r>
  </w:p>
  <w:p>
    <w:pPr>
      <w:pStyle w:val="style39"/>
    </w:pPr>
    <w:r>
      <w:rPr/>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abstractNum w:abstractNumId="2">
    <w:lvl w:ilvl="0">
      <w:start w:val="1"/>
      <w:numFmt w:val="lowerLetter"/>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num w:numId="1">
    <w:abstractNumId w:val="1"/>
  </w:num>
  <w:num w:numId="2">
    <w:abstractNumId w:val="2"/>
  </w:num>
</w:numbering>
</file>

<file path=word/styles.xml><?xml version="1.0" encoding="utf-8"?>
<w:styles xmlns:w="http://schemas.openxmlformats.org/wordprocessingml/2006/main">
  <w:style w:styleId="style0" w:type="paragraph">
    <w:name w:val="Východzie"/>
    <w:next w:val="style0"/>
    <w:pPr>
      <w:widowControl/>
      <w:tabs>
        <w:tab w:leader="none" w:pos="708" w:val="left"/>
      </w:tabs>
      <w:suppressAutoHyphens w:val="true"/>
    </w:pPr>
    <w:rPr>
      <w:rFonts w:ascii="Times New Roman" w:cs="Times New Roman" w:eastAsia="Times New Roman" w:hAnsi="Times New Roman"/>
      <w:color w:val="auto"/>
      <w:sz w:val="24"/>
      <w:szCs w:val="24"/>
      <w:lang w:bidi="ar-SA" w:eastAsia="sk-SK" w:val="sk-SK"/>
    </w:rPr>
  </w:style>
  <w:style w:styleId="style1" w:type="paragraph">
    <w:name w:val="Nadpis 1"/>
    <w:basedOn w:val="style0"/>
    <w:next w:val="style29"/>
    <w:pPr>
      <w:keepNext/>
      <w:spacing w:after="60" w:before="240"/>
      <w:jc w:val="center"/>
    </w:pPr>
    <w:rPr>
      <w:b/>
      <w:bCs/>
    </w:rPr>
  </w:style>
  <w:style w:styleId="style2" w:type="paragraph">
    <w:name w:val="Nadpis 2"/>
    <w:basedOn w:val="style0"/>
    <w:next w:val="style29"/>
    <w:pPr>
      <w:keepNext/>
      <w:numPr>
        <w:ilvl w:val="1"/>
        <w:numId w:val="1"/>
      </w:numPr>
      <w:spacing w:after="120" w:before="0"/>
      <w:jc w:val="center"/>
      <w:outlineLvl w:val="1"/>
    </w:pPr>
    <w:rPr>
      <w:b/>
      <w:bCs/>
    </w:rPr>
  </w:style>
  <w:style w:styleId="style15" w:type="character">
    <w:name w:val="Default Paragraph Font"/>
    <w:next w:val="style15"/>
    <w:rPr/>
  </w:style>
  <w:style w:styleId="style16" w:type="character">
    <w:name w:val="Nadpis 1 Char"/>
    <w:next w:val="style16"/>
    <w:rPr>
      <w:b/>
      <w:bCs/>
      <w:sz w:val="24"/>
      <w:szCs w:val="24"/>
      <w:lang w:eastAsia="sk-SK" w:val="sk-SK"/>
    </w:rPr>
  </w:style>
  <w:style w:styleId="style17" w:type="character">
    <w:name w:val="Nadpis 2 Char"/>
    <w:next w:val="style17"/>
    <w:rPr>
      <w:rFonts w:ascii="Cambria" w:cs="Cambria" w:eastAsia="Times New Roman" w:hAnsi="Cambria"/>
      <w:b/>
      <w:bCs/>
      <w:i/>
      <w:iCs/>
      <w:sz w:val="28"/>
      <w:szCs w:val="28"/>
    </w:rPr>
  </w:style>
  <w:style w:styleId="style18" w:type="character">
    <w:name w:val="Text poznámky pod čiarou Char"/>
    <w:next w:val="style18"/>
    <w:rPr>
      <w:sz w:val="20"/>
      <w:szCs w:val="20"/>
    </w:rPr>
  </w:style>
  <w:style w:styleId="style19" w:type="character">
    <w:name w:val="footnote reference"/>
    <w:next w:val="style19"/>
    <w:rPr>
      <w:vertAlign w:val="superscript"/>
    </w:rPr>
  </w:style>
  <w:style w:styleId="style20" w:type="character">
    <w:name w:val="Päta Char"/>
    <w:next w:val="style20"/>
    <w:rPr>
      <w:sz w:val="24"/>
      <w:szCs w:val="24"/>
    </w:rPr>
  </w:style>
  <w:style w:styleId="style21" w:type="character">
    <w:name w:val="page number"/>
    <w:basedOn w:val="style15"/>
    <w:next w:val="style21"/>
    <w:rPr/>
  </w:style>
  <w:style w:styleId="style22" w:type="character">
    <w:name w:val="Názov Char"/>
    <w:next w:val="style22"/>
    <w:rPr>
      <w:rFonts w:ascii="Arial Narrow" w:cs="Arial Narrow" w:hAnsi="Arial Narrow"/>
      <w:b/>
      <w:bCs/>
      <w:sz w:val="32"/>
      <w:szCs w:val="32"/>
      <w:lang w:val="sk-SK"/>
    </w:rPr>
  </w:style>
  <w:style w:styleId="style23" w:type="character">
    <w:name w:val="Hlavička Char"/>
    <w:next w:val="style23"/>
    <w:rPr>
      <w:sz w:val="24"/>
      <w:szCs w:val="24"/>
      <w:lang w:eastAsia="sk-SK" w:val="sk-SK"/>
    </w:rPr>
  </w:style>
  <w:style w:styleId="style24" w:type="character">
    <w:name w:val="Text bubliny Char"/>
    <w:basedOn w:val="style15"/>
    <w:next w:val="style24"/>
    <w:rPr>
      <w:rFonts w:ascii="Segoe UI" w:cs="Segoe UI" w:hAnsi="Segoe UI"/>
      <w:sz w:val="18"/>
      <w:szCs w:val="18"/>
    </w:rPr>
  </w:style>
  <w:style w:styleId="style25" w:type="character">
    <w:name w:val="ListLabel 1"/>
    <w:next w:val="style25"/>
    <w:rPr>
      <w:rFonts w:cs="Times New Roman"/>
      <w:b w:val="false"/>
      <w:bCs w:val="false"/>
      <w:i w:val="false"/>
      <w:iCs w:val="false"/>
      <w:caps w:val="false"/>
      <w:smallCaps w:val="false"/>
      <w:strike w:val="false"/>
      <w:dstrike w:val="false"/>
      <w:vanish w:val="false"/>
      <w:color w:val="00000A"/>
      <w:spacing w:val="0"/>
      <w:w w:val="100"/>
      <w:position w:val="0"/>
      <w:sz w:val="24"/>
      <w:sz w:val="24"/>
      <w:szCs w:val="24"/>
      <w:u w:val="none"/>
      <w:vertAlign w:val="baseline"/>
    </w:rPr>
  </w:style>
  <w:style w:styleId="style26" w:type="character">
    <w:name w:val="ListLabel 2"/>
    <w:next w:val="style26"/>
    <w:rPr>
      <w:rFonts w:cs="Times New Roman"/>
    </w:rPr>
  </w:style>
  <w:style w:styleId="style27" w:type="character">
    <w:name w:val="ListLabel 3"/>
    <w:next w:val="style27"/>
    <w:rPr>
      <w:rFonts w:cs="Courier New"/>
    </w:rPr>
  </w:style>
  <w:style w:styleId="style28" w:type="paragraph">
    <w:name w:val="Nadpis"/>
    <w:basedOn w:val="style0"/>
    <w:next w:val="style29"/>
    <w:pPr>
      <w:keepNext/>
      <w:spacing w:after="120" w:before="240"/>
    </w:pPr>
    <w:rPr>
      <w:rFonts w:ascii="Arial" w:cs="Mangal" w:eastAsia="Microsoft YaHei" w:hAnsi="Arial"/>
      <w:sz w:val="28"/>
      <w:szCs w:val="28"/>
    </w:rPr>
  </w:style>
  <w:style w:styleId="style29" w:type="paragraph">
    <w:name w:val="Telo textu"/>
    <w:basedOn w:val="style0"/>
    <w:next w:val="style29"/>
    <w:pPr>
      <w:spacing w:after="120" w:before="0"/>
    </w:pPr>
    <w:rPr/>
  </w:style>
  <w:style w:styleId="style30" w:type="paragraph">
    <w:name w:val="Zoznam"/>
    <w:basedOn w:val="style29"/>
    <w:next w:val="style30"/>
    <w:pPr/>
    <w:rPr>
      <w:rFonts w:cs="Mangal"/>
    </w:rPr>
  </w:style>
  <w:style w:styleId="style31" w:type="paragraph">
    <w:name w:val="Popis"/>
    <w:basedOn w:val="style0"/>
    <w:next w:val="style31"/>
    <w:pPr>
      <w:suppressLineNumbers/>
      <w:spacing w:after="120" w:before="120"/>
    </w:pPr>
    <w:rPr>
      <w:rFonts w:cs="Mangal"/>
      <w:i/>
      <w:iCs/>
      <w:sz w:val="24"/>
      <w:szCs w:val="24"/>
    </w:rPr>
  </w:style>
  <w:style w:styleId="style32" w:type="paragraph">
    <w:name w:val="Index"/>
    <w:basedOn w:val="style0"/>
    <w:next w:val="style32"/>
    <w:pPr>
      <w:suppressLineNumbers/>
    </w:pPr>
    <w:rPr>
      <w:rFonts w:cs="Mangal"/>
    </w:rPr>
  </w:style>
  <w:style w:styleId="style33" w:type="paragraph">
    <w:name w:val="Základní text"/>
    <w:next w:val="style33"/>
    <w:pPr>
      <w:widowControl/>
      <w:tabs>
        <w:tab w:leader="none" w:pos="708" w:val="left"/>
      </w:tabs>
      <w:suppressAutoHyphens w:val="true"/>
      <w:spacing w:after="240" w:before="0"/>
      <w:jc w:val="both"/>
    </w:pPr>
    <w:rPr>
      <w:rFonts w:ascii="Times New Roman" w:cs="Times New Roman" w:eastAsia="Times New Roman" w:hAnsi="Times New Roman"/>
      <w:color w:val="000000"/>
      <w:sz w:val="24"/>
      <w:szCs w:val="24"/>
      <w:lang w:bidi="ar-SA" w:eastAsia="sk-SK" w:val="sk-SK"/>
    </w:rPr>
  </w:style>
  <w:style w:styleId="style34" w:type="paragraph">
    <w:name w:val="footnote text"/>
    <w:basedOn w:val="style0"/>
    <w:next w:val="style34"/>
    <w:pPr/>
    <w:rPr>
      <w:sz w:val="20"/>
      <w:szCs w:val="20"/>
    </w:rPr>
  </w:style>
  <w:style w:styleId="style35" w:type="paragraph">
    <w:name w:val="Päta"/>
    <w:basedOn w:val="style0"/>
    <w:next w:val="style35"/>
    <w:pPr>
      <w:suppressLineNumbers/>
      <w:tabs>
        <w:tab w:leader="none" w:pos="4536" w:val="center"/>
        <w:tab w:leader="none" w:pos="9072" w:val="right"/>
      </w:tabs>
    </w:pPr>
    <w:rPr/>
  </w:style>
  <w:style w:styleId="style36" w:type="paragraph">
    <w:name w:val="Názov"/>
    <w:basedOn w:val="style0"/>
    <w:next w:val="style37"/>
    <w:pPr>
      <w:keepNext/>
      <w:spacing w:after="220" w:before="28"/>
      <w:jc w:val="center"/>
    </w:pPr>
    <w:rPr>
      <w:rFonts w:ascii="Arial Narrow" w:cs="Arial Narrow" w:hAnsi="Arial Narrow"/>
      <w:b/>
      <w:bCs/>
      <w:sz w:val="22"/>
      <w:szCs w:val="22"/>
      <w:lang w:eastAsia="en-US"/>
    </w:rPr>
  </w:style>
  <w:style w:styleId="style37" w:type="paragraph">
    <w:name w:val="Podnázov"/>
    <w:basedOn w:val="style28"/>
    <w:next w:val="style29"/>
    <w:pPr>
      <w:jc w:val="center"/>
    </w:pPr>
    <w:rPr>
      <w:i/>
      <w:iCs/>
      <w:sz w:val="28"/>
      <w:szCs w:val="28"/>
    </w:rPr>
  </w:style>
  <w:style w:styleId="style38" w:type="paragraph">
    <w:name w:val="Top Header"/>
    <w:basedOn w:val="style0"/>
    <w:next w:val="style38"/>
    <w:pPr>
      <w:jc w:val="center"/>
    </w:pPr>
    <w:rPr>
      <w:rFonts w:ascii="Arial Narrow" w:cs="Arial Narrow" w:hAnsi="Arial Narrow"/>
      <w:b/>
      <w:bCs/>
      <w:sz w:val="22"/>
      <w:szCs w:val="22"/>
      <w:lang w:eastAsia="en-US"/>
    </w:rPr>
  </w:style>
  <w:style w:styleId="style39" w:type="paragraph">
    <w:name w:val="Hlavička"/>
    <w:basedOn w:val="style0"/>
    <w:next w:val="style39"/>
    <w:pPr>
      <w:suppressLineNumbers/>
      <w:tabs>
        <w:tab w:leader="none" w:pos="4703" w:val="center"/>
        <w:tab w:leader="none" w:pos="9406" w:val="right"/>
      </w:tabs>
    </w:pPr>
    <w:rPr/>
  </w:style>
  <w:style w:styleId="style40" w:type="paragraph">
    <w:name w:val="List Paragraph"/>
    <w:basedOn w:val="style0"/>
    <w:next w:val="style40"/>
    <w:pPr>
      <w:ind w:hanging="0" w:left="720" w:right="0"/>
    </w:pPr>
    <w:rPr/>
  </w:style>
  <w:style w:styleId="style41" w:type="paragraph">
    <w:name w:val="Balloon Text"/>
    <w:basedOn w:val="style0"/>
    <w:next w:val="style41"/>
    <w:pPr/>
    <w:rPr>
      <w:rFonts w:ascii="Segoe UI" w:cs="Segoe UI" w:hAnsi="Segoe UI"/>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emplate>Normal</Template>
  <TotalTime>3481</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2014-01-17T13:17:00.00Z</dcterms:created>
  <dc:creator>user</dc:creator>
  <cp:lastModifiedBy>Mária KORENČIAKOVÁ Ing.</cp:lastModifiedBy>
  <cp:lastPrinted>2014-03-28T06:09:00.00Z</cp:lastPrinted>
  <dcterms:modified xsi:type="dcterms:W3CDTF">2014-03-28T15:28:00.00Z</dcterms:modified>
  <cp:revision>723</cp:revision>
  <dc:title>Návrh</dc:title>
</cp:coreProperties>
</file>