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pPr>
      <w:r>
        <w:rPr>
          <w:rFonts w:ascii="Arial" w:cs="Arial" w:hAnsi="Arial"/>
          <w:sz w:val="22"/>
          <w:szCs w:val="22"/>
        </w:rPr>
      </w:r>
    </w:p>
    <w:tbl>
      <w:tblPr>
        <w:jc w:val="left"/>
        <w:tblInd w:type="dxa" w:w="1"/>
        <w:tblBorders/>
      </w:tblPr>
      <w:tblGrid>
        <w:gridCol w:w="4589"/>
      </w:tblGrid>
      <w:tr>
        <w:trPr>
          <w:trHeight w:hRule="atLeast" w:val="80"/>
          <w:cantSplit w:val="false"/>
        </w:trPr>
        <w:tc>
          <w:tcPr>
            <w:tcW w:type="dxa" w:w="4589"/>
            <w:gridSpan w:val="2"/>
            <w:tcBorders/>
            <w:shd w:fill="auto" w:val="clear"/>
            <w:tcMar>
              <w:top w:type="dxa" w:w="0"/>
              <w:left w:type="dxa" w:w="108"/>
              <w:bottom w:type="dxa" w:w="0"/>
              <w:right w:type="dxa" w:w="108"/>
            </w:tcMar>
            <w:vAlign w:val="bottom"/>
          </w:tcPr>
          <w:p>
            <w:pPr>
              <w:pStyle w:val="style0"/>
              <w:jc w:val="both"/>
            </w:pPr>
            <w:r>
              <w:rPr>
                <w:rFonts w:ascii="Arial" w:cs="Arial" w:hAnsi="Arial"/>
                <w:b/>
                <w:sz w:val="22"/>
                <w:szCs w:val="22"/>
              </w:rPr>
              <w:t>A. ZÁKLADNÉ INFORMÁCIE O ÚČTOVNEJ JEDNOTKE</w:t>
            </w:r>
          </w:p>
          <w:p>
            <w:pPr>
              <w:pStyle w:val="style0"/>
            </w:pPr>
            <w:r>
              <w:rPr/>
              <w:t xml:space="preserve"> </w:t>
            </w:r>
          </w:p>
          <w:p>
            <w:pPr>
              <w:pStyle w:val="style0"/>
            </w:pPr>
            <w:r>
              <w:rPr>
                <w:rFonts w:ascii="Arial" w:cs="Arial" w:hAnsi="Arial"/>
                <w:b/>
                <w:sz w:val="22"/>
                <w:szCs w:val="22"/>
              </w:rPr>
              <w:t>1.  Založenie spoločnosti</w:t>
            </w:r>
          </w:p>
          <w:p>
            <w:pPr>
              <w:pStyle w:val="style0"/>
            </w:pPr>
            <w:r>
              <w:rPr>
                <w:rFonts w:ascii="Arial" w:cs="Arial" w:hAnsi="Arial"/>
                <w:b/>
                <w:sz w:val="22"/>
                <w:szCs w:val="22"/>
              </w:rPr>
            </w:r>
          </w:p>
          <w:p>
            <w:pPr>
              <w:pStyle w:val="style0"/>
              <w:jc w:val="both"/>
            </w:pPr>
            <w:r>
              <w:rPr>
                <w:rFonts w:ascii="Arial" w:cs="Arial" w:hAnsi="Arial"/>
                <w:bCs/>
                <w:sz w:val="22"/>
                <w:szCs w:val="22"/>
              </w:rPr>
              <w:t>Obchodná spoločnosť Severoslovenské vodárne a kanalizácie, a. s. ( ďalej len Spoločnosť) vznikla ako nástupnícka spoločnosť obchodnej spoločnosti Severoslovenská vodárenská spoločnosť, a.s. so sídlom Bôrická cesta 107 Žilina 010 01, IČO: 36411256 v dôsledku rozdelenia.</w:t>
            </w:r>
          </w:p>
        </w:tc>
      </w:tr>
      <w:tr>
        <w:trPr>
          <w:trHeight w:hRule="atLeast" w:val="80"/>
          <w:cantSplit w:val="false"/>
        </w:trPr>
        <w:tc>
          <w:tcPr>
            <w:tcW w:type="dxa" w:w="2039"/>
            <w:tcBorders>
              <w:bottom w:color="00000A" w:space="0" w:sz="4"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r>
          </w:p>
        </w:tc>
        <w:tc>
          <w:tcPr>
            <w:tcW w:type="dxa" w:w="7139"/>
            <w:tcBorders>
              <w:bottom w:color="00000A" w:space="0" w:sz="4"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r>
          </w:p>
        </w:tc>
      </w:tr>
      <w:tr>
        <w:trPr>
          <w:trHeight w:hRule="atLeast" w:val="390"/>
          <w:cantSplit w:val="false"/>
        </w:trPr>
        <w:tc>
          <w:tcPr>
            <w:tcW w:type="dxa" w:w="2039"/>
            <w:tcBorders>
              <w:top w:color="00000A" w:space="0" w:sz="4" w:val="single"/>
              <w:left w:color="00000A" w:space="0" w:sz="4" w:val="single"/>
              <w:bottom w:color="00000A" w:space="0" w:sz="4" w:val="single"/>
              <w:right w:color="00000A" w:space="0" w:sz="4"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t>Obchodné meno:</w:t>
            </w:r>
          </w:p>
        </w:tc>
        <w:tc>
          <w:tcPr>
            <w:tcW w:type="dxa" w:w="7139"/>
            <w:tcBorders>
              <w:top w:color="00000A" w:space="0" w:sz="4" w:val="single"/>
              <w:left w:color="00000A" w:space="0" w:sz="4" w:val="single"/>
              <w:bottom w:color="00000A" w:space="0" w:sz="4" w:val="single"/>
              <w:right w:color="00000A" w:space="0" w:sz="4"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t xml:space="preserve">Severoslovenské vodárne a kanalizácie, a .s.  </w:t>
            </w:r>
          </w:p>
        </w:tc>
      </w:tr>
      <w:tr>
        <w:trPr>
          <w:trHeight w:hRule="atLeast" w:val="390"/>
          <w:cantSplit w:val="false"/>
        </w:trPr>
        <w:tc>
          <w:tcPr>
            <w:tcW w:type="dxa" w:w="2039"/>
            <w:tcBorders>
              <w:top w:color="00000A" w:space="0" w:sz="4" w:val="single"/>
              <w:left w:color="00000A" w:space="0" w:sz="4" w:val="single"/>
              <w:bottom w:color="00000A" w:space="0" w:sz="4" w:val="single"/>
              <w:right w:color="00000A" w:space="0" w:sz="4"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t>Sídlo:</w:t>
            </w:r>
          </w:p>
        </w:tc>
        <w:tc>
          <w:tcPr>
            <w:tcW w:type="dxa" w:w="7139"/>
            <w:tcBorders>
              <w:top w:color="00000A" w:space="0" w:sz="4" w:val="single"/>
              <w:left w:color="00000A" w:space="0" w:sz="4" w:val="single"/>
              <w:bottom w:color="00000A" w:space="0" w:sz="4" w:val="single"/>
              <w:right w:color="00000A" w:space="0" w:sz="4"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t>Bôrická cesta 1960,  010 57  Žilina</w:t>
            </w:r>
          </w:p>
        </w:tc>
      </w:tr>
      <w:tr>
        <w:trPr>
          <w:trHeight w:hRule="atLeast" w:val="390"/>
          <w:cantSplit w:val="false"/>
        </w:trPr>
        <w:tc>
          <w:tcPr>
            <w:tcW w:type="dxa" w:w="2039"/>
            <w:tcBorders>
              <w:top w:color="00000A" w:space="0" w:sz="4" w:val="single"/>
              <w:left w:color="00000A" w:space="0" w:sz="4" w:val="single"/>
              <w:bottom w:color="00000A" w:space="0" w:sz="4" w:val="single"/>
              <w:right w:color="00000A" w:space="0" w:sz="4"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t>Dátum založenia:</w:t>
            </w:r>
          </w:p>
        </w:tc>
        <w:tc>
          <w:tcPr>
            <w:tcW w:type="dxa" w:w="7139"/>
            <w:tcBorders>
              <w:top w:color="00000A" w:space="0" w:sz="4" w:val="single"/>
              <w:left w:color="00000A" w:space="0" w:sz="4" w:val="single"/>
              <w:bottom w:color="00000A" w:space="0" w:sz="4" w:val="single"/>
              <w:right w:color="00000A" w:space="0" w:sz="4"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t>01.06.2006</w:t>
            </w:r>
          </w:p>
        </w:tc>
      </w:tr>
      <w:tr>
        <w:trPr>
          <w:trHeight w:hRule="atLeast" w:val="390"/>
          <w:cantSplit w:val="false"/>
        </w:trPr>
        <w:tc>
          <w:tcPr>
            <w:tcW w:type="dxa" w:w="2039"/>
            <w:tcBorders>
              <w:top w:color="00000A" w:space="0" w:sz="4" w:val="single"/>
              <w:left w:color="00000A" w:space="0" w:sz="8" w:val="single"/>
              <w:bottom w:color="00000A" w:space="0" w:sz="4" w:val="single"/>
              <w:right w:color="00000A" w:space="0" w:sz="8"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t>Dátum vzniku:</w:t>
            </w:r>
          </w:p>
        </w:tc>
        <w:tc>
          <w:tcPr>
            <w:tcW w:type="dxa" w:w="7139"/>
            <w:tcBorders>
              <w:top w:color="00000A" w:space="0" w:sz="4" w:val="single"/>
              <w:bottom w:color="00000A" w:space="0" w:sz="4" w:val="single"/>
              <w:right w:color="00000A" w:space="0" w:sz="8" w:val="single"/>
            </w:tcBorders>
            <w:shd w:fill="auto" w:val="clear"/>
            <w:tcMar>
              <w:top w:type="dxa" w:w="0"/>
              <w:left w:type="dxa" w:w="108"/>
              <w:bottom w:type="dxa" w:w="0"/>
              <w:right w:type="dxa" w:w="108"/>
            </w:tcMar>
            <w:vAlign w:val="bottom"/>
          </w:tcPr>
          <w:p>
            <w:pPr>
              <w:pStyle w:val="style0"/>
              <w:jc w:val="both"/>
            </w:pPr>
            <w:r>
              <w:rPr>
                <w:rFonts w:ascii="Arial" w:cs="Arial" w:hAnsi="Arial"/>
                <w:sz w:val="22"/>
                <w:szCs w:val="22"/>
              </w:rPr>
              <w:t>07.09.2006, zápisom do OR OS v Žiline, odd. Sa, vložka číslo 10546/L</w:t>
            </w:r>
          </w:p>
        </w:tc>
      </w:tr>
    </w:tbl>
    <w:p>
      <w:pPr>
        <w:pStyle w:val="style0"/>
        <w:jc w:val="both"/>
      </w:pPr>
      <w:r>
        <w:rPr>
          <w:rFonts w:ascii="Arial" w:cs="Arial" w:hAnsi="Arial"/>
          <w:bCs/>
          <w:sz w:val="22"/>
          <w:szCs w:val="22"/>
        </w:rPr>
      </w:r>
    </w:p>
    <w:p>
      <w:pPr>
        <w:pStyle w:val="style0"/>
        <w:jc w:val="both"/>
      </w:pPr>
      <w:r>
        <w:rPr>
          <w:rFonts w:ascii="Arial" w:cs="Arial" w:hAnsi="Arial"/>
          <w:b/>
          <w:sz w:val="22"/>
          <w:szCs w:val="22"/>
        </w:rPr>
        <w:t>2. Opis hospodárskej činnosti účtovnej jednotky:</w:t>
      </w:r>
    </w:p>
    <w:p>
      <w:pPr>
        <w:pStyle w:val="style0"/>
        <w:spacing w:after="120" w:before="0"/>
        <w:jc w:val="both"/>
      </w:pPr>
      <w:r>
        <w:rPr>
          <w:rFonts w:ascii="Arial" w:cs="Arial" w:hAnsi="Arial"/>
          <w:sz w:val="22"/>
          <w:szCs w:val="22"/>
        </w:rPr>
      </w:r>
    </w:p>
    <w:p>
      <w:pPr>
        <w:pStyle w:val="style0"/>
        <w:spacing w:after="120" w:before="0"/>
        <w:jc w:val="both"/>
      </w:pPr>
      <w:r>
        <w:rPr>
          <w:rFonts w:ascii="Arial" w:cs="Arial" w:hAnsi="Arial"/>
          <w:sz w:val="22"/>
          <w:szCs w:val="22"/>
        </w:rPr>
        <w:t>1. prenájom strojov, prístrojov a zariadení</w:t>
      </w:r>
    </w:p>
    <w:p>
      <w:pPr>
        <w:pStyle w:val="style0"/>
        <w:spacing w:after="120" w:before="0"/>
        <w:jc w:val="both"/>
      </w:pPr>
      <w:r>
        <w:rPr>
          <w:rFonts w:ascii="Arial" w:cs="Arial" w:hAnsi="Arial"/>
          <w:sz w:val="22"/>
          <w:szCs w:val="22"/>
        </w:rPr>
        <w:t>2. prenájom nehnuteľností s poskytovaním iných, než základných služieb</w:t>
      </w:r>
    </w:p>
    <w:p>
      <w:pPr>
        <w:pStyle w:val="style0"/>
        <w:spacing w:after="120" w:before="0"/>
        <w:jc w:val="both"/>
      </w:pPr>
      <w:r>
        <w:rPr>
          <w:rFonts w:ascii="Arial" w:cs="Arial" w:hAnsi="Arial"/>
          <w:sz w:val="22"/>
          <w:szCs w:val="22"/>
        </w:rPr>
        <w:t xml:space="preserve">3. ubytovacie služby v ubytovacích zariadeniach, bez poskytovania pohostinských činností   </w:t>
      </w:r>
    </w:p>
    <w:p>
      <w:pPr>
        <w:pStyle w:val="style0"/>
        <w:spacing w:after="120" w:before="0"/>
        <w:jc w:val="both"/>
      </w:pPr>
      <w:r>
        <w:rPr>
          <w:rFonts w:ascii="Arial" w:cs="Arial" w:hAnsi="Arial"/>
          <w:sz w:val="22"/>
          <w:szCs w:val="22"/>
        </w:rPr>
        <w:t xml:space="preserve">    </w:t>
      </w:r>
      <w:r>
        <w:rPr>
          <w:rFonts w:ascii="Arial" w:cs="Arial" w:hAnsi="Arial"/>
          <w:sz w:val="22"/>
          <w:szCs w:val="22"/>
        </w:rPr>
        <w:t>v týchto zariadeniach</w:t>
      </w:r>
    </w:p>
    <w:p>
      <w:pPr>
        <w:pStyle w:val="style0"/>
        <w:spacing w:after="120" w:before="0"/>
        <w:jc w:val="both"/>
      </w:pPr>
      <w:r>
        <w:rPr>
          <w:rFonts w:ascii="Arial" w:cs="Arial" w:hAnsi="Arial"/>
          <w:sz w:val="22"/>
          <w:szCs w:val="22"/>
        </w:rPr>
        <w:t>4. prevádzkovanie verejného vodovodu pre kategóriu V-1</w:t>
      </w:r>
    </w:p>
    <w:p>
      <w:pPr>
        <w:pStyle w:val="style0"/>
        <w:spacing w:after="120" w:before="0"/>
        <w:jc w:val="both"/>
      </w:pPr>
      <w:r>
        <w:rPr>
          <w:rFonts w:ascii="Arial" w:cs="Arial" w:hAnsi="Arial"/>
          <w:sz w:val="22"/>
          <w:szCs w:val="22"/>
        </w:rPr>
        <w:t>5. prevádzkovanie verejnej kanalizácie pre kategóriu K-1</w:t>
      </w:r>
    </w:p>
    <w:p>
      <w:pPr>
        <w:pStyle w:val="style0"/>
        <w:spacing w:after="120" w:before="0"/>
        <w:jc w:val="both"/>
      </w:pPr>
      <w:r>
        <w:rPr>
          <w:rFonts w:ascii="Arial" w:cs="Arial" w:hAnsi="Arial"/>
          <w:sz w:val="22"/>
          <w:szCs w:val="22"/>
        </w:rPr>
        <w:t>6. inžinierske činnosti a súvisiace technické poradenstvo</w:t>
      </w:r>
    </w:p>
    <w:p>
      <w:pPr>
        <w:pStyle w:val="style0"/>
        <w:spacing w:after="120" w:before="0"/>
        <w:jc w:val="both"/>
      </w:pPr>
      <w:r>
        <w:rPr>
          <w:rFonts w:ascii="Arial" w:cs="Arial" w:hAnsi="Arial"/>
          <w:sz w:val="22"/>
          <w:szCs w:val="22"/>
        </w:rPr>
        <w:t>7. montáž vodomerov na teplú a studenú úžitkovú vodu</w:t>
      </w:r>
    </w:p>
    <w:p>
      <w:pPr>
        <w:pStyle w:val="style0"/>
        <w:spacing w:after="120" w:before="0"/>
        <w:jc w:val="both"/>
      </w:pPr>
      <w:r>
        <w:rPr>
          <w:rFonts w:ascii="Arial" w:cs="Arial" w:hAnsi="Arial"/>
          <w:sz w:val="22"/>
          <w:szCs w:val="22"/>
        </w:rPr>
        <w:t>8. veľkoobchod v rozsahu voľných živností</w:t>
      </w:r>
    </w:p>
    <w:p>
      <w:pPr>
        <w:pStyle w:val="style0"/>
        <w:spacing w:after="120" w:before="0"/>
        <w:jc w:val="both"/>
      </w:pPr>
      <w:r>
        <w:rPr>
          <w:rFonts w:ascii="Arial" w:cs="Arial" w:hAnsi="Arial"/>
          <w:sz w:val="22"/>
          <w:szCs w:val="22"/>
        </w:rPr>
        <w:t>9. maloobchod v rozsahu voľných živností</w:t>
      </w:r>
    </w:p>
    <w:p>
      <w:pPr>
        <w:pStyle w:val="style0"/>
        <w:spacing w:after="120" w:before="0"/>
        <w:jc w:val="both"/>
      </w:pPr>
      <w:r>
        <w:rPr>
          <w:rFonts w:ascii="Arial" w:cs="Arial" w:hAnsi="Arial"/>
          <w:sz w:val="22"/>
          <w:szCs w:val="22"/>
        </w:rPr>
        <w:t>10. technické testovanie, meranie a analýzy</w:t>
      </w:r>
    </w:p>
    <w:p>
      <w:pPr>
        <w:pStyle w:val="style0"/>
        <w:spacing w:after="120" w:before="0"/>
        <w:jc w:val="both"/>
      </w:pPr>
      <w:r>
        <w:rPr>
          <w:rFonts w:ascii="Arial" w:cs="Arial" w:hAnsi="Arial"/>
          <w:sz w:val="22"/>
          <w:szCs w:val="22"/>
        </w:rPr>
        <w:t>11.vytyčovanie vodovodnej a kanalizačnej siete</w:t>
      </w:r>
    </w:p>
    <w:p>
      <w:pPr>
        <w:pStyle w:val="style0"/>
        <w:spacing w:after="120" w:before="0"/>
        <w:jc w:val="both"/>
      </w:pPr>
      <w:r>
        <w:rPr>
          <w:rFonts w:ascii="Arial" w:cs="Arial" w:hAnsi="Arial"/>
          <w:sz w:val="22"/>
          <w:szCs w:val="22"/>
        </w:rPr>
        <w:t>12.vykonávanie prehliadok kanalizácií prístrojovou technikou</w:t>
      </w:r>
    </w:p>
    <w:p>
      <w:pPr>
        <w:pStyle w:val="style0"/>
        <w:spacing w:after="120" w:before="0"/>
        <w:jc w:val="both"/>
      </w:pPr>
      <w:r>
        <w:rPr>
          <w:rFonts w:ascii="Arial" w:cs="Arial" w:hAnsi="Arial"/>
          <w:sz w:val="22"/>
          <w:szCs w:val="22"/>
        </w:rPr>
        <w:t>13. vykonávanie technických prehliadok potrubí</w:t>
      </w:r>
    </w:p>
    <w:p>
      <w:pPr>
        <w:pStyle w:val="style0"/>
        <w:spacing w:after="120" w:before="0"/>
        <w:jc w:val="both"/>
      </w:pPr>
      <w:r>
        <w:rPr>
          <w:rFonts w:ascii="Arial" w:cs="Arial" w:hAnsi="Arial"/>
          <w:sz w:val="22"/>
          <w:szCs w:val="22"/>
        </w:rPr>
        <w:t>14. vyhľadávanie skrytých únikov vôd korelačnou a elektroakustickou technikou</w:t>
      </w:r>
    </w:p>
    <w:p>
      <w:pPr>
        <w:pStyle w:val="style0"/>
        <w:spacing w:after="120" w:before="0"/>
        <w:jc w:val="both"/>
      </w:pPr>
      <w:r>
        <w:rPr>
          <w:rFonts w:ascii="Arial" w:cs="Arial" w:hAnsi="Arial"/>
          <w:sz w:val="22"/>
          <w:szCs w:val="22"/>
        </w:rPr>
        <w:t>15. výroba priemyselných hnojív</w:t>
      </w:r>
    </w:p>
    <w:p>
      <w:pPr>
        <w:pStyle w:val="style0"/>
        <w:spacing w:after="120" w:before="0"/>
        <w:jc w:val="both"/>
      </w:pPr>
      <w:r>
        <w:rPr>
          <w:rFonts w:ascii="Arial" w:cs="Arial" w:hAnsi="Arial"/>
          <w:sz w:val="22"/>
          <w:szCs w:val="22"/>
        </w:rPr>
        <w:t>16. podnikanie v oblasti nakladania s odpadmi</w:t>
      </w:r>
    </w:p>
    <w:p>
      <w:pPr>
        <w:pStyle w:val="style0"/>
        <w:spacing w:after="120" w:before="0"/>
        <w:jc w:val="both"/>
      </w:pPr>
      <w:r>
        <w:rPr>
          <w:rFonts w:ascii="Arial" w:cs="Arial" w:hAnsi="Arial"/>
          <w:sz w:val="22"/>
          <w:szCs w:val="22"/>
        </w:rPr>
        <w:t>17. čistenie vodovodných a kanalizačných potrubí</w:t>
      </w:r>
    </w:p>
    <w:p>
      <w:pPr>
        <w:pStyle w:val="style0"/>
        <w:spacing w:after="120" w:before="0"/>
        <w:jc w:val="both"/>
      </w:pPr>
      <w:r>
        <w:rPr>
          <w:rFonts w:ascii="Arial" w:cs="Arial" w:hAnsi="Arial"/>
          <w:sz w:val="22"/>
          <w:szCs w:val="22"/>
        </w:rPr>
        <w:t>18. meranie množstva pitných, úžitkových a odpadových vôd</w:t>
      </w:r>
    </w:p>
    <w:p>
      <w:pPr>
        <w:pStyle w:val="style0"/>
        <w:spacing w:after="120" w:before="0"/>
        <w:jc w:val="both"/>
      </w:pPr>
      <w:r>
        <w:rPr>
          <w:rFonts w:ascii="Arial" w:cs="Arial" w:hAnsi="Arial"/>
          <w:sz w:val="22"/>
          <w:szCs w:val="22"/>
        </w:rPr>
        <w:t>19. výkon činnosti stavbyvedúceho</w:t>
      </w:r>
    </w:p>
    <w:p>
      <w:pPr>
        <w:pStyle w:val="style0"/>
        <w:spacing w:after="120" w:before="0"/>
        <w:jc w:val="both"/>
      </w:pPr>
      <w:r>
        <w:rPr>
          <w:rFonts w:ascii="Arial" w:cs="Arial" w:hAnsi="Arial"/>
          <w:sz w:val="22"/>
          <w:szCs w:val="22"/>
        </w:rPr>
        <w:t>20. uskutočňovanie stavieb a ich zmien</w:t>
      </w:r>
    </w:p>
    <w:p>
      <w:pPr>
        <w:pStyle w:val="style0"/>
        <w:spacing w:after="120" w:before="0"/>
        <w:jc w:val="both"/>
      </w:pPr>
      <w:r>
        <w:rPr>
          <w:rFonts w:ascii="Arial" w:cs="Arial" w:hAnsi="Arial"/>
          <w:sz w:val="22"/>
          <w:szCs w:val="22"/>
        </w:rPr>
        <w:t>21. výkon činnosti stavebného dozoru</w:t>
      </w:r>
    </w:p>
    <w:p>
      <w:pPr>
        <w:pStyle w:val="style0"/>
        <w:spacing w:after="120" w:before="0"/>
        <w:jc w:val="both"/>
      </w:pPr>
      <w:r>
        <w:rPr>
          <w:rFonts w:ascii="Arial" w:cs="Arial" w:hAnsi="Arial"/>
          <w:sz w:val="22"/>
          <w:szCs w:val="22"/>
        </w:rPr>
        <w:t>22. podnikanie v oblasti nakladania s nebezpečným odpadom</w:t>
      </w:r>
    </w:p>
    <w:p>
      <w:pPr>
        <w:pStyle w:val="style0"/>
        <w:spacing w:after="120" w:before="0"/>
        <w:jc w:val="both"/>
      </w:pPr>
      <w:r>
        <w:rPr>
          <w:rFonts w:ascii="Arial" w:cs="Arial" w:hAnsi="Arial"/>
          <w:sz w:val="22"/>
          <w:szCs w:val="22"/>
        </w:rPr>
        <w:t>23. vnútroštátna nákladná cestná doprava</w:t>
      </w:r>
    </w:p>
    <w:p>
      <w:pPr>
        <w:pStyle w:val="style0"/>
        <w:spacing w:after="120" w:before="0"/>
        <w:jc w:val="both"/>
      </w:pPr>
      <w:r>
        <w:rPr>
          <w:rFonts w:ascii="Arial" w:cs="Arial" w:hAnsi="Arial"/>
          <w:sz w:val="22"/>
          <w:szCs w:val="22"/>
        </w:rPr>
        <w:t>24 protikorózna ochrana</w:t>
      </w:r>
    </w:p>
    <w:p>
      <w:pPr>
        <w:pStyle w:val="style0"/>
        <w:spacing w:after="120" w:before="0"/>
        <w:jc w:val="both"/>
      </w:pPr>
      <w:r>
        <w:rPr>
          <w:rFonts w:ascii="Arial" w:cs="Arial" w:hAnsi="Arial"/>
          <w:sz w:val="22"/>
          <w:szCs w:val="22"/>
        </w:rPr>
        <w:t>25. dodávka elektriny</w:t>
      </w:r>
    </w:p>
    <w:p>
      <w:pPr>
        <w:pStyle w:val="style0"/>
        <w:spacing w:after="120" w:before="0"/>
        <w:jc w:val="both"/>
      </w:pPr>
      <w:r>
        <w:rPr>
          <w:rFonts w:ascii="Arial" w:cs="Arial" w:hAnsi="Arial"/>
          <w:sz w:val="22"/>
          <w:szCs w:val="22"/>
        </w:rPr>
        <w:t>Rozhodujúcou činnosťou Spoločnosti je výroba a rozvod pitnej vody a odkanalizovanie a čistenie odpadových vôd. Z tejto činnosti dosiahla Spoločnosť  73,59   % všetkých výnosov.</w:t>
      </w:r>
    </w:p>
    <w:p>
      <w:pPr>
        <w:pStyle w:val="style0"/>
        <w:spacing w:after="120" w:before="0"/>
        <w:jc w:val="both"/>
      </w:pPr>
      <w:r>
        <w:rPr>
          <w:rFonts w:ascii="Arial" w:cs="Arial" w:hAnsi="Arial"/>
          <w:b/>
          <w:sz w:val="22"/>
          <w:szCs w:val="22"/>
        </w:rPr>
        <w:t>3.  Informácie o počte zamestnancov</w:t>
      </w:r>
    </w:p>
    <w:p>
      <w:pPr>
        <w:pStyle w:val="style0"/>
        <w:spacing w:after="120" w:before="0"/>
        <w:jc w:val="both"/>
      </w:pPr>
      <w:r>
        <w:rPr>
          <w:rFonts w:ascii="Arial" w:cs="Arial" w:hAnsi="Arial"/>
          <w:sz w:val="22"/>
          <w:szCs w:val="22"/>
        </w:rPr>
        <w:t>Údaje o počte zamestnancov za bežné účtovné obdobie a bezprostredne predchádzajúce účtovné obdobie sú uvedené v nasledujúcom prehľade:</w:t>
      </w:r>
    </w:p>
    <w:tbl>
      <w:tblPr>
        <w:jc w:val="left"/>
        <w:tblInd w:type="dxa" w:w="-10"/>
        <w:tblBorders/>
      </w:tblPr>
      <w:tblGrid>
        <w:gridCol w:w="2820"/>
      </w:tblGrid>
      <w:tr>
        <w:trPr>
          <w:trHeight w:hRule="atLeast" w:val="330"/>
          <w:cantSplit w:val="false"/>
        </w:trPr>
        <w:tc>
          <w:tcPr>
            <w:tcW w:type="dxa" w:w="2820"/>
            <w:gridSpan w:val="3"/>
            <w:tcBorders/>
            <w:shd w:fill="FFFFFF" w:val="clear"/>
            <w:tcMar>
              <w:top w:type="dxa" w:w="0"/>
              <w:left w:type="dxa" w:w="0"/>
              <w:bottom w:type="dxa" w:w="0"/>
              <w:right w:type="dxa" w:w="0"/>
            </w:tcMar>
            <w:vAlign w:val="bottom"/>
          </w:tcPr>
          <w:p>
            <w:pPr>
              <w:pStyle w:val="style0"/>
            </w:pPr>
            <w:r>
              <w:rPr>
                <w:rFonts w:ascii="Arial Narrow" w:cs="Calibri" w:hAnsi="Arial Narrow"/>
                <w:b/>
                <w:bCs/>
                <w:sz w:val="22"/>
                <w:szCs w:val="22"/>
              </w:rPr>
            </w:r>
          </w:p>
        </w:tc>
      </w:tr>
      <w:tr>
        <w:trPr>
          <w:trHeight w:hRule="atLeast" w:val="315"/>
          <w:cantSplit w:val="false"/>
        </w:trPr>
        <w:tc>
          <w:tcPr>
            <w:tcW w:type="dxa" w:w="3339"/>
            <w:tcBorders/>
            <w:shd w:fill="FFFFFF" w:val="clear"/>
            <w:tcMar>
              <w:top w:type="dxa" w:w="0"/>
              <w:left w:type="dxa" w:w="0"/>
              <w:bottom w:type="dxa" w:w="0"/>
              <w:right w:type="dxa" w:w="0"/>
            </w:tcMar>
            <w:vAlign w:val="bottom"/>
          </w:tcPr>
          <w:p>
            <w:pPr>
              <w:pStyle w:val="style0"/>
            </w:pPr>
            <w:r>
              <w:rPr>
                <w:rFonts w:ascii="Arial Narrow" w:cs="Calibri" w:hAnsi="Arial Narrow"/>
                <w:b/>
                <w:bCs/>
                <w:sz w:val="22"/>
                <w:szCs w:val="22"/>
              </w:rPr>
            </w:r>
          </w:p>
        </w:tc>
        <w:tc>
          <w:tcPr>
            <w:tcW w:type="dxa" w:w="2379"/>
            <w:tcBorders/>
            <w:shd w:fill="FFFFFF" w:val="clear"/>
            <w:tcMar>
              <w:top w:type="dxa" w:w="0"/>
              <w:left w:type="dxa" w:w="0"/>
              <w:bottom w:type="dxa" w:w="0"/>
              <w:right w:type="dxa" w:w="0"/>
            </w:tcMar>
            <w:vAlign w:val="bottom"/>
          </w:tcPr>
          <w:p>
            <w:pPr>
              <w:pStyle w:val="style0"/>
            </w:pPr>
            <w:r>
              <w:rPr>
                <w:sz w:val="20"/>
                <w:szCs w:val="20"/>
              </w:rPr>
            </w:r>
          </w:p>
        </w:tc>
        <w:tc>
          <w:tcPr>
            <w:tcW w:type="dxa" w:w="2742"/>
            <w:tcBorders/>
            <w:shd w:fill="FFFFFF" w:val="clear"/>
            <w:tcMar>
              <w:top w:type="dxa" w:w="0"/>
              <w:left w:type="dxa" w:w="0"/>
              <w:bottom w:type="dxa" w:w="0"/>
              <w:right w:type="dxa" w:w="0"/>
            </w:tcMar>
            <w:vAlign w:val="bottom"/>
          </w:tcPr>
          <w:p>
            <w:pPr>
              <w:pStyle w:val="style0"/>
            </w:pPr>
            <w:r>
              <w:rPr>
                <w:sz w:val="20"/>
                <w:szCs w:val="20"/>
              </w:rPr>
            </w:r>
          </w:p>
        </w:tc>
      </w:tr>
      <w:tr>
        <w:trPr>
          <w:trHeight w:hRule="atLeast" w:val="555"/>
          <w:cantSplit w:val="false"/>
        </w:trPr>
        <w:tc>
          <w:tcPr>
            <w:tcW w:type="dxa" w:w="3339"/>
            <w:tcBorders>
              <w:top w:color="00000A" w:space="0" w:sz="8" w:val="single"/>
              <w:left w:color="00000A" w:space="0" w:sz="8" w:val="single"/>
              <w:right w:color="00000A" w:space="0" w:sz="8" w:val="single"/>
            </w:tcBorders>
            <w:shd w:fill="FFFFFF" w:val="clear"/>
            <w:tcMar>
              <w:top w:type="dxa" w:w="0"/>
              <w:left w:type="dxa" w:w="0"/>
              <w:bottom w:type="dxa" w:w="0"/>
              <w:right w:type="dxa" w:w="0"/>
            </w:tcMar>
            <w:vAlign w:val="center"/>
          </w:tcPr>
          <w:p>
            <w:pPr>
              <w:pStyle w:val="style0"/>
              <w:jc w:val="center"/>
            </w:pPr>
            <w:r>
              <w:rPr>
                <w:rFonts w:ascii="Arial Narrow" w:cs="Calibri" w:hAnsi="Arial Narrow"/>
                <w:b/>
                <w:bCs/>
                <w:sz w:val="21"/>
                <w:szCs w:val="21"/>
              </w:rPr>
              <w:t>Názov položky</w:t>
            </w:r>
          </w:p>
        </w:tc>
        <w:tc>
          <w:tcPr>
            <w:tcW w:type="dxa" w:w="2379"/>
            <w:tcBorders>
              <w:top w:color="00000A" w:space="0" w:sz="8" w:val="single"/>
              <w:right w:color="00000A" w:space="0" w:sz="8" w:val="single"/>
            </w:tcBorders>
            <w:shd w:fill="FFFFFF" w:val="clear"/>
            <w:tcMar>
              <w:top w:type="dxa" w:w="0"/>
              <w:left w:type="dxa" w:w="0"/>
              <w:bottom w:type="dxa" w:w="0"/>
              <w:right w:type="dxa" w:w="0"/>
            </w:tcMar>
            <w:vAlign w:val="center"/>
          </w:tcPr>
          <w:p>
            <w:pPr>
              <w:pStyle w:val="style0"/>
              <w:jc w:val="center"/>
            </w:pPr>
            <w:r>
              <w:rPr>
                <w:rFonts w:ascii="Arial Narrow" w:cs="Calibri" w:hAnsi="Arial Narrow"/>
                <w:b/>
                <w:bCs/>
                <w:sz w:val="21"/>
                <w:szCs w:val="21"/>
              </w:rPr>
              <w:t>Bežné účtovné obdobie</w:t>
            </w:r>
          </w:p>
        </w:tc>
        <w:tc>
          <w:tcPr>
            <w:tcW w:type="dxa" w:w="2742"/>
            <w:tcBorders>
              <w:top w:color="00000A" w:space="0" w:sz="8" w:val="single"/>
              <w:right w:color="00000A" w:space="0" w:sz="8" w:val="single"/>
            </w:tcBorders>
            <w:shd w:fill="FFFFFF" w:val="clear"/>
            <w:tcMar>
              <w:top w:type="dxa" w:w="0"/>
              <w:left w:type="dxa" w:w="0"/>
              <w:bottom w:type="dxa" w:w="0"/>
              <w:right w:type="dxa" w:w="0"/>
            </w:tcMar>
            <w:vAlign w:val="center"/>
          </w:tcPr>
          <w:p>
            <w:pPr>
              <w:pStyle w:val="style0"/>
              <w:jc w:val="center"/>
            </w:pPr>
            <w:r>
              <w:rPr>
                <w:rFonts w:ascii="Arial Narrow" w:cs="Calibri" w:hAnsi="Arial Narrow"/>
                <w:b/>
                <w:bCs/>
                <w:sz w:val="21"/>
                <w:szCs w:val="21"/>
              </w:rPr>
              <w:t>Bezprostredne predchádzajúce účtovné obdobie</w:t>
            </w:r>
          </w:p>
        </w:tc>
      </w:tr>
      <w:tr>
        <w:trPr>
          <w:trHeight w:hRule="atLeast" w:val="570"/>
          <w:cantSplit w:val="false"/>
        </w:trPr>
        <w:tc>
          <w:tcPr>
            <w:tcW w:type="dxa" w:w="3339"/>
            <w:tcBorders>
              <w:top w:color="00000A" w:space="0" w:sz="12" w:val="single"/>
              <w:left w:color="00000A" w:space="0" w:sz="8" w:val="single"/>
              <w:bottom w:color="00000A" w:space="0" w:sz="4" w:val="single"/>
              <w:right w:color="00000A" w:space="0" w:sz="8" w:val="single"/>
            </w:tcBorders>
            <w:shd w:fill="FFFFFF" w:val="clear"/>
            <w:tcMar>
              <w:top w:type="dxa" w:w="0"/>
              <w:left w:type="dxa" w:w="0"/>
              <w:bottom w:type="dxa" w:w="0"/>
              <w:right w:type="dxa" w:w="0"/>
            </w:tcMar>
            <w:vAlign w:val="bottom"/>
          </w:tcPr>
          <w:p>
            <w:pPr>
              <w:pStyle w:val="style0"/>
            </w:pPr>
            <w:r>
              <w:rPr>
                <w:rFonts w:ascii="Arial Narrow" w:cs="Calibri" w:hAnsi="Arial Narrow"/>
                <w:sz w:val="21"/>
                <w:szCs w:val="21"/>
              </w:rPr>
              <w:t>Priemerný prepočítaný počet zamestnancov</w:t>
            </w:r>
          </w:p>
        </w:tc>
        <w:tc>
          <w:tcPr>
            <w:tcW w:type="dxa" w:w="2379"/>
            <w:tcBorders>
              <w:top w:color="00000A" w:space="0" w:sz="12" w:val="single"/>
              <w:bottom w:color="00000A" w:space="0" w:sz="4" w:val="single"/>
              <w:right w:color="00000A" w:space="0" w:sz="8" w:val="single"/>
            </w:tcBorders>
            <w:shd w:fill="FFFFFF" w:val="clear"/>
            <w:tcMar>
              <w:top w:type="dxa" w:w="0"/>
              <w:left w:type="dxa" w:w="0"/>
              <w:bottom w:type="dxa" w:w="0"/>
              <w:right w:type="dxa" w:w="0"/>
            </w:tcMar>
            <w:vAlign w:val="bottom"/>
          </w:tcPr>
          <w:p>
            <w:pPr>
              <w:pStyle w:val="style0"/>
              <w:jc w:val="center"/>
            </w:pPr>
            <w:r>
              <w:rPr>
                <w:rFonts w:ascii="Arial Narrow" w:cs="Calibri" w:hAnsi="Arial Narrow"/>
                <w:sz w:val="21"/>
                <w:szCs w:val="21"/>
              </w:rPr>
              <w:t>411</w:t>
            </w:r>
          </w:p>
        </w:tc>
        <w:tc>
          <w:tcPr>
            <w:tcW w:type="dxa" w:w="2742"/>
            <w:tcBorders>
              <w:top w:color="00000A" w:space="0" w:sz="12" w:val="single"/>
              <w:bottom w:color="00000A" w:space="0" w:sz="4" w:val="single"/>
              <w:right w:color="00000A" w:space="0" w:sz="8" w:val="single"/>
            </w:tcBorders>
            <w:shd w:fill="FFFFFF" w:val="clear"/>
            <w:tcMar>
              <w:top w:type="dxa" w:w="0"/>
              <w:left w:type="dxa" w:w="0"/>
              <w:bottom w:type="dxa" w:w="0"/>
              <w:right w:type="dxa" w:w="0"/>
            </w:tcMar>
            <w:vAlign w:val="bottom"/>
          </w:tcPr>
          <w:p>
            <w:pPr>
              <w:pStyle w:val="style0"/>
              <w:jc w:val="center"/>
            </w:pPr>
            <w:r>
              <w:rPr>
                <w:rFonts w:ascii="Arial Narrow" w:cs="Calibri" w:hAnsi="Arial Narrow"/>
                <w:sz w:val="21"/>
                <w:szCs w:val="21"/>
              </w:rPr>
              <w:t>413</w:t>
            </w:r>
          </w:p>
        </w:tc>
      </w:tr>
      <w:tr>
        <w:trPr>
          <w:trHeight w:hRule="atLeast" w:val="555"/>
          <w:cantSplit w:val="false"/>
        </w:trPr>
        <w:tc>
          <w:tcPr>
            <w:tcW w:type="dxa" w:w="3339"/>
            <w:tcBorders>
              <w:left w:color="00000A" w:space="0" w:sz="8" w:val="single"/>
              <w:bottom w:color="00000A" w:space="0" w:sz="4" w:val="single"/>
              <w:right w:color="00000A" w:space="0" w:sz="8" w:val="single"/>
            </w:tcBorders>
            <w:shd w:fill="FFFFFF" w:val="clear"/>
            <w:tcMar>
              <w:top w:type="dxa" w:w="0"/>
              <w:left w:type="dxa" w:w="0"/>
              <w:bottom w:type="dxa" w:w="0"/>
              <w:right w:type="dxa" w:w="0"/>
            </w:tcMar>
            <w:vAlign w:val="bottom"/>
          </w:tcPr>
          <w:p>
            <w:pPr>
              <w:pStyle w:val="style0"/>
            </w:pPr>
            <w:r>
              <w:rPr>
                <w:rFonts w:ascii="Arial Narrow" w:cs="Calibri" w:hAnsi="Arial Narrow"/>
                <w:sz w:val="21"/>
                <w:szCs w:val="21"/>
              </w:rPr>
              <w:t>Stav zamestnancov ku dňu, ku ktorému sa zostavuje účtovná závierka, z toho:</w:t>
            </w:r>
          </w:p>
        </w:tc>
        <w:tc>
          <w:tcPr>
            <w:tcW w:type="dxa" w:w="2379"/>
            <w:tcBorders>
              <w:bottom w:color="00000A" w:space="0" w:sz="4" w:val="single"/>
              <w:right w:color="00000A" w:space="0" w:sz="8" w:val="single"/>
            </w:tcBorders>
            <w:shd w:fill="FFFFFF" w:val="clear"/>
            <w:tcMar>
              <w:top w:type="dxa" w:w="0"/>
              <w:left w:type="dxa" w:w="0"/>
              <w:bottom w:type="dxa" w:w="0"/>
              <w:right w:type="dxa" w:w="0"/>
            </w:tcMar>
            <w:vAlign w:val="bottom"/>
          </w:tcPr>
          <w:p>
            <w:pPr>
              <w:pStyle w:val="style0"/>
              <w:jc w:val="center"/>
            </w:pPr>
            <w:r>
              <w:rPr>
                <w:rFonts w:ascii="Arial Narrow" w:cs="Calibri" w:hAnsi="Arial Narrow"/>
                <w:sz w:val="21"/>
                <w:szCs w:val="21"/>
              </w:rPr>
              <w:t>410</w:t>
            </w:r>
          </w:p>
        </w:tc>
        <w:tc>
          <w:tcPr>
            <w:tcW w:type="dxa" w:w="2742"/>
            <w:tcBorders>
              <w:bottom w:color="00000A" w:space="0" w:sz="4" w:val="single"/>
              <w:right w:color="00000A" w:space="0" w:sz="8" w:val="single"/>
            </w:tcBorders>
            <w:shd w:fill="FFFFFF" w:val="clear"/>
            <w:tcMar>
              <w:top w:type="dxa" w:w="0"/>
              <w:left w:type="dxa" w:w="0"/>
              <w:bottom w:type="dxa" w:w="0"/>
              <w:right w:type="dxa" w:w="0"/>
            </w:tcMar>
            <w:vAlign w:val="bottom"/>
          </w:tcPr>
          <w:p>
            <w:pPr>
              <w:pStyle w:val="style0"/>
              <w:jc w:val="center"/>
            </w:pPr>
            <w:r>
              <w:rPr>
                <w:rFonts w:ascii="Arial Narrow" w:cs="Calibri" w:hAnsi="Arial Narrow"/>
                <w:sz w:val="21"/>
                <w:szCs w:val="21"/>
              </w:rPr>
              <w:t>414</w:t>
            </w:r>
          </w:p>
        </w:tc>
      </w:tr>
      <w:tr>
        <w:trPr>
          <w:trHeight w:hRule="atLeast" w:val="390"/>
          <w:cantSplit w:val="false"/>
        </w:trPr>
        <w:tc>
          <w:tcPr>
            <w:tcW w:type="dxa" w:w="3339"/>
            <w:tcBorders>
              <w:left w:color="00000A" w:space="0" w:sz="8" w:val="single"/>
              <w:bottom w:color="00000A" w:space="0" w:sz="8" w:val="single"/>
              <w:right w:color="00000A" w:space="0" w:sz="8" w:val="single"/>
            </w:tcBorders>
            <w:shd w:fill="FFFFFF" w:val="clear"/>
            <w:tcMar>
              <w:top w:type="dxa" w:w="0"/>
              <w:left w:type="dxa" w:w="0"/>
              <w:bottom w:type="dxa" w:w="0"/>
              <w:right w:type="dxa" w:w="0"/>
            </w:tcMar>
            <w:vAlign w:val="bottom"/>
          </w:tcPr>
          <w:p>
            <w:pPr>
              <w:pStyle w:val="style0"/>
            </w:pPr>
            <w:r>
              <w:rPr>
                <w:rFonts w:ascii="Arial Narrow" w:cs="Calibri" w:hAnsi="Arial Narrow"/>
                <w:sz w:val="21"/>
                <w:szCs w:val="21"/>
              </w:rPr>
              <w:t>počet vedúcich zamestnancov</w:t>
            </w:r>
          </w:p>
        </w:tc>
        <w:tc>
          <w:tcPr>
            <w:tcW w:type="dxa" w:w="2379"/>
            <w:tcBorders>
              <w:bottom w:color="00000A" w:space="0" w:sz="8" w:val="single"/>
              <w:right w:color="00000A" w:space="0" w:sz="8" w:val="single"/>
            </w:tcBorders>
            <w:shd w:fill="FFFFFF" w:val="clear"/>
            <w:tcMar>
              <w:top w:type="dxa" w:w="0"/>
              <w:left w:type="dxa" w:w="0"/>
              <w:bottom w:type="dxa" w:w="0"/>
              <w:right w:type="dxa" w:w="0"/>
            </w:tcMar>
            <w:vAlign w:val="bottom"/>
          </w:tcPr>
          <w:p>
            <w:pPr>
              <w:pStyle w:val="style0"/>
              <w:jc w:val="center"/>
            </w:pPr>
            <w:r>
              <w:rPr>
                <w:rFonts w:ascii="Arial Narrow" w:cs="Calibri" w:hAnsi="Arial Narrow"/>
                <w:sz w:val="21"/>
                <w:szCs w:val="21"/>
              </w:rPr>
              <w:t>16</w:t>
            </w:r>
          </w:p>
        </w:tc>
        <w:tc>
          <w:tcPr>
            <w:tcW w:type="dxa" w:w="2742"/>
            <w:tcBorders>
              <w:bottom w:color="00000A" w:space="0" w:sz="8" w:val="single"/>
              <w:right w:color="00000A" w:space="0" w:sz="8" w:val="single"/>
            </w:tcBorders>
            <w:shd w:fill="FFFFFF" w:val="clear"/>
            <w:tcMar>
              <w:top w:type="dxa" w:w="0"/>
              <w:left w:type="dxa" w:w="0"/>
              <w:bottom w:type="dxa" w:w="0"/>
              <w:right w:type="dxa" w:w="0"/>
            </w:tcMar>
            <w:vAlign w:val="bottom"/>
          </w:tcPr>
          <w:p>
            <w:pPr>
              <w:pStyle w:val="style0"/>
              <w:jc w:val="center"/>
            </w:pPr>
            <w:r>
              <w:rPr>
                <w:rFonts w:ascii="Arial Narrow" w:cs="Calibri" w:hAnsi="Arial Narrow"/>
                <w:sz w:val="21"/>
                <w:szCs w:val="21"/>
              </w:rPr>
              <w:t>16</w:t>
            </w:r>
          </w:p>
        </w:tc>
      </w:tr>
    </w:tbl>
    <w:p>
      <w:pPr>
        <w:pStyle w:val="style0"/>
        <w:spacing w:after="120" w:before="0"/>
        <w:jc w:val="both"/>
      </w:pPr>
      <w:r>
        <w:rPr>
          <w:rFonts w:ascii="Arial" w:cs="Arial" w:hAnsi="Arial"/>
          <w:sz w:val="22"/>
          <w:szCs w:val="22"/>
        </w:rPr>
        <w:t xml:space="preserve"> </w:t>
      </w:r>
    </w:p>
    <w:p>
      <w:pPr>
        <w:pStyle w:val="style0"/>
        <w:ind w:hanging="0" w:left="0" w:right="-468"/>
        <w:jc w:val="both"/>
      </w:pPr>
      <w:r>
        <w:rPr>
          <w:rFonts w:ascii="Arial" w:cs="Arial" w:hAnsi="Arial"/>
          <w:b/>
          <w:sz w:val="22"/>
          <w:szCs w:val="22"/>
        </w:rPr>
        <w:t>4. Údaje o neobmedzenom ručení</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Spoločnosť nie je neobmedzene ručiacim spoločníkom v iných spoločnostiach podľa §56 ods.5 Obchodného zákonníka.</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5. Právny dôvod na zostavenie účtovnej závierky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Účtovná závierka k 31.decembru 2013 je zostavená ako riadna účtovná závierka podľa §17 ods.6 Zákona NRSR č. 431/2002Z.z. o účtovníctve, za účtovné obdobie od 1.januára 2013 do 31.decembra 2013. Poznámky k účtovnej závierke sú zostavené podľa opatrenia MF SR č. 4455/2003-92 v znení neskorších zmien a doplnkov v celých eurách.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6. Dátum schválenia účtovnej závierky za bezprostredne predchádzajúce účtovné obdobie príslušným orgánom účtovnej jednotky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Účtovná závierka Spoločnosti  k 31.12.2012, za bezprostredne predchádzajúce účtovné obdobie bola  schválená valným zhromaždením Spoločnosti  17.05.2013.</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7. Zverejnenie účtovnej závierky za predchádzajúce účtovné obdobie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Účtovná závierka Spoločnosti k 31.12.2012 spolu s výročnou správou a správou audítora o overení účtovnej závierky k 31.12.2012 bola uložená do zbierky listín obchodného registra</w:t>
      </w:r>
    </w:p>
    <w:p>
      <w:pPr>
        <w:pStyle w:val="style0"/>
        <w:ind w:hanging="0" w:left="0" w:right="-468"/>
        <w:jc w:val="both"/>
      </w:pPr>
      <w:r>
        <w:rPr>
          <w:rFonts w:ascii="Arial" w:cs="Arial" w:hAnsi="Arial"/>
          <w:sz w:val="22"/>
          <w:szCs w:val="22"/>
        </w:rPr>
        <w:t>27.05.2013. Súvaha a výkaz ziskov a strát za predchádzajúce účtovné obdobie boli zverejnené  v  Obchodnom vestníku  11.07.2013.</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b/>
          <w:sz w:val="22"/>
          <w:szCs w:val="22"/>
        </w:rPr>
        <w:t>B. INFORMÁCIE O ORGÁNOCH SPOLOČNOSTI</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sz w:val="22"/>
          <w:szCs w:val="22"/>
        </w:rPr>
        <w:t>Riadiacimi a kontrolnými orgánmi spoločnosti sú:</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1. Valné zhromaždenie </w:t>
      </w:r>
    </w:p>
    <w:p>
      <w:pPr>
        <w:pStyle w:val="style0"/>
        <w:ind w:hanging="0" w:left="0" w:right="-468"/>
        <w:jc w:val="both"/>
      </w:pPr>
      <w:r>
        <w:rPr>
          <w:rFonts w:ascii="Arial" w:cs="Arial" w:hAnsi="Arial"/>
          <w:sz w:val="22"/>
          <w:szCs w:val="22"/>
        </w:rPr>
        <w:t>2. Predstavenstvo</w:t>
      </w:r>
    </w:p>
    <w:p>
      <w:pPr>
        <w:pStyle w:val="style0"/>
        <w:ind w:hanging="0" w:left="0" w:right="-468"/>
        <w:jc w:val="both"/>
      </w:pPr>
      <w:r>
        <w:rPr>
          <w:rFonts w:ascii="Arial" w:cs="Arial" w:hAnsi="Arial"/>
          <w:sz w:val="22"/>
          <w:szCs w:val="22"/>
        </w:rPr>
        <w:t>3. Dozorná rada</w:t>
      </w:r>
    </w:p>
    <w:p>
      <w:pPr>
        <w:pStyle w:val="style0"/>
        <w:ind w:hanging="0" w:left="0" w:right="-468"/>
        <w:jc w:val="both"/>
      </w:pPr>
      <w:r>
        <w:rPr>
          <w:rFonts w:ascii="Arial" w:cs="Arial" w:hAnsi="Arial"/>
          <w:sz w:val="22"/>
          <w:szCs w:val="22"/>
        </w:rPr>
        <w:t xml:space="preserve">Dňa 17.05.2013 bola vykonaná zmena vo funkcii predsedu predstavenstva Spoločnosti. </w:t>
      </w:r>
    </w:p>
    <w:p>
      <w:pPr>
        <w:pStyle w:val="style0"/>
        <w:ind w:hanging="0" w:left="0" w:right="-468"/>
        <w:jc w:val="both"/>
      </w:pPr>
      <w:r>
        <w:rPr>
          <w:rFonts w:ascii="Arial" w:cs="Arial" w:hAnsi="Arial"/>
          <w:b/>
          <w:sz w:val="22"/>
          <w:szCs w:val="22"/>
          <w:shd w:fill="FFFF00" w:val="clear"/>
        </w:rPr>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b/>
          <w:sz w:val="22"/>
          <w:szCs w:val="22"/>
        </w:rPr>
        <w:t>C. INFORMÁCIE O AKCIONÁROCH ÚČTOVNEJ JEDNOTKY</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sz w:val="22"/>
          <w:szCs w:val="22"/>
        </w:rPr>
        <w:t xml:space="preserve">Akcionármi Spoločnosti sú obce a mestá okresov Žilina, Čadca, Bytča, Kysucké Nové Mesto a Rajec. Počet akcií je 1 726  814 ks, menovitá hodnota 1 ks akcie je 33,19 Eur. Výška základného imania zapísaného do obchodného registra je 57 312 957 EUR. Podiel akcionárov na hlasovacích právach sa neodlišuje od ich podielu na základnom imaní.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bCs/>
          <w:sz w:val="22"/>
          <w:szCs w:val="22"/>
        </w:rPr>
        <w:t xml:space="preserve">D. INFORMÁCIE O KONSOLIDOVANOM CELKU </w:t>
      </w:r>
    </w:p>
    <w:p>
      <w:pPr>
        <w:pStyle w:val="style0"/>
        <w:ind w:hanging="0" w:left="360" w:right="-468"/>
        <w:jc w:val="both"/>
      </w:pPr>
      <w:r>
        <w:rPr>
          <w:rFonts w:ascii="Arial" w:cs="Arial" w:hAnsi="Arial"/>
          <w:sz w:val="22"/>
          <w:szCs w:val="22"/>
        </w:rPr>
      </w:r>
    </w:p>
    <w:p>
      <w:pPr>
        <w:pStyle w:val="style0"/>
        <w:ind w:hanging="0" w:left="0" w:right="-468"/>
        <w:jc w:val="both"/>
      </w:pPr>
      <w:r>
        <w:rPr>
          <w:rFonts w:ascii="Arial" w:cs="Arial" w:hAnsi="Arial"/>
          <w:sz w:val="22"/>
          <w:szCs w:val="22"/>
        </w:rPr>
        <w:t>Konsolidovanú účtovnú závierku účtovná jednotka nezostavuje.</w:t>
      </w:r>
    </w:p>
    <w:p>
      <w:pPr>
        <w:pStyle w:val="style0"/>
        <w:ind w:hanging="0" w:left="0" w:right="-468"/>
        <w:jc w:val="both"/>
      </w:pPr>
      <w:r>
        <w:rPr>
          <w:rFonts w:ascii="Arial" w:cs="Arial" w:hAnsi="Arial"/>
          <w:bCs/>
          <w:sz w:val="22"/>
          <w:szCs w:val="22"/>
          <w:u w:val="single"/>
        </w:rPr>
      </w:r>
    </w:p>
    <w:p>
      <w:pPr>
        <w:pStyle w:val="style0"/>
        <w:ind w:hanging="0" w:left="0" w:right="-468"/>
        <w:jc w:val="both"/>
      </w:pPr>
      <w:r>
        <w:rPr>
          <w:rFonts w:ascii="Arial" w:cs="Arial" w:hAnsi="Arial"/>
          <w:b/>
          <w:bCs/>
          <w:sz w:val="22"/>
          <w:szCs w:val="22"/>
        </w:rPr>
        <w:t>E. INFORMÁCIE O ÚČTOVNÝCH ZÁSADÁCH A ÚČTOVNÝCH METÓDACH</w:t>
      </w:r>
    </w:p>
    <w:p>
      <w:pPr>
        <w:pStyle w:val="style0"/>
        <w:ind w:hanging="0" w:left="0" w:right="-468"/>
        <w:jc w:val="both"/>
      </w:pPr>
      <w:r>
        <w:rPr>
          <w:rFonts w:ascii="Arial" w:cs="Arial" w:hAnsi="Arial"/>
          <w:b/>
          <w:bCs/>
          <w:sz w:val="22"/>
          <w:szCs w:val="22"/>
        </w:rPr>
      </w:r>
    </w:p>
    <w:p>
      <w:pPr>
        <w:pStyle w:val="style0"/>
        <w:ind w:hanging="0" w:left="0" w:right="-468"/>
        <w:jc w:val="both"/>
      </w:pPr>
      <w:r>
        <w:rPr>
          <w:rFonts w:ascii="Arial" w:cs="Arial" w:hAnsi="Arial"/>
          <w:b/>
          <w:bCs/>
          <w:sz w:val="22"/>
          <w:szCs w:val="22"/>
        </w:rPr>
        <w:t>a</w:t>
      </w:r>
      <w:r>
        <w:rPr>
          <w:rFonts w:ascii="Arial" w:cs="Arial" w:hAnsi="Arial"/>
          <w:b/>
          <w:sz w:val="22"/>
          <w:szCs w:val="22"/>
        </w:rPr>
        <w:t>) Východiská pre zostavenie účtovnej závierky</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sz w:val="22"/>
          <w:szCs w:val="22"/>
        </w:rPr>
        <w:t>Účtovná závierka bola zostavená za predpokladu nepretržitého trvania účtovnej jednotky (going concern).</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Všeobecné účtovné zásady a metódy boli konzistentne aplikované do účtovníctva účtovnej jednotky.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Účtovné metódy a všeobecné účtovné zásady boli účtovnou jednotkou konzistentne aplikované. Pre kolobeh dokladov má spoločnosť vypracované Pravidlá pre vedenie účtovníctva, Pravidlá pre účtovanie a evidenciu obstarania, oceňovania a spotreby zásob, kde sú použité metódy podrobne rozpracované.</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b) Dlhodobý nehmotný majetok a dlhodobý hmotný majetok</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Dlhodobý majetok nakupovaný sa oceňuje obstarávacou cenou, ktorá zahŕňa cenu obstarania a náklady súvisiace s obstaraním  (clo, prepravu, montáž, poistné, a pod.).</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Súčasťou obstarávacej ceny dlhodobého majetku od 1. januára 2003 nie sú úroky z cudzích zdrojov ani realizované kurzové rozdiely, ktoré vznikli do momentu uvedenia dlhodobého majetku do používania.</w:t>
      </w:r>
    </w:p>
    <w:p>
      <w:pPr>
        <w:pStyle w:val="style0"/>
        <w:ind w:hanging="0" w:left="0" w:right="-468"/>
        <w:jc w:val="both"/>
      </w:pPr>
      <w:r>
        <w:rPr>
          <w:rFonts w:ascii="Arial" w:cs="Arial" w:hAnsi="Arial"/>
          <w:sz w:val="22"/>
          <w:szCs w:val="22"/>
        </w:rPr>
        <w:t>Súčasťou obstarávacej ceny dlhodobého nehmotného majetku nie sú od 1. júla 2010 úroky z cudzích zdrojov, ktoré vznikli do momentu zaradenia dlhodobého nehmotného majetku do používania.</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Dlhodobý majetok vytvorený vlastnou činnosťou sa oceňuje vlastnými nákladmi. Vlastnými nákladmi sú všetky priame náklady vynaložené na výrobu alebo inú činnosť a nepriame náklady, ktoré sa vzťahujú na výrobu a alebo inú činnosť.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w:t>
      </w:r>
    </w:p>
    <w:p>
      <w:pPr>
        <w:pStyle w:val="style0"/>
        <w:ind w:hanging="0" w:left="0" w:right="-468"/>
        <w:jc w:val="both"/>
      </w:pPr>
      <w:r>
        <w:rPr>
          <w:rFonts w:ascii="Arial" w:cs="Arial" w:hAnsi="Arial"/>
          <w:sz w:val="22"/>
          <w:szCs w:val="22"/>
        </w:rPr>
        <w:t>odpisuje jednorazovo pri uvedení do používania. Predpokladaná doba používania, metóda odpisovania a odpisová sadzba sú uvedené v nasledovnom prehľade: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                                                                   </w:t>
      </w:r>
      <w:r>
        <w:rPr>
          <w:rFonts w:ascii="Arial" w:cs="Arial" w:hAnsi="Arial"/>
          <w:sz w:val="22"/>
          <w:szCs w:val="22"/>
        </w:rPr>
        <w:t>Predpokladaná          Metóda                 Ročná odpisová</w:t>
      </w:r>
    </w:p>
    <w:p>
      <w:pPr>
        <w:pStyle w:val="style0"/>
        <w:ind w:hanging="0" w:left="0" w:right="-468"/>
        <w:jc w:val="both"/>
      </w:pPr>
      <w:r>
        <w:rPr>
          <w:rFonts w:ascii="Arial" w:cs="Arial" w:hAnsi="Arial"/>
          <w:sz w:val="22"/>
          <w:szCs w:val="22"/>
        </w:rPr>
        <w:t xml:space="preserve">                                                                   </w:t>
      </w:r>
      <w:r>
        <w:rPr>
          <w:rFonts w:ascii="Arial" w:cs="Arial" w:hAnsi="Arial"/>
          <w:sz w:val="22"/>
          <w:szCs w:val="22"/>
        </w:rPr>
        <w:t>doba používania        odpisovania          sadzba v %</w:t>
      </w:r>
    </w:p>
    <w:p>
      <w:pPr>
        <w:pStyle w:val="style0"/>
        <w:pBdr>
          <w:bottom w:color="00000A" w:space="0" w:sz="12" w:val="single"/>
        </w:pBdr>
        <w:ind w:hanging="0" w:left="0" w:right="-468"/>
        <w:jc w:val="both"/>
      </w:pPr>
      <w:r>
        <w:rPr>
          <w:rFonts w:ascii="Arial" w:cs="Arial" w:hAnsi="Arial"/>
          <w:sz w:val="22"/>
          <w:szCs w:val="22"/>
        </w:rPr>
        <w:t xml:space="preserve">                                                                    </w:t>
      </w:r>
      <w:r>
        <w:rPr>
          <w:rFonts w:ascii="Arial" w:cs="Arial" w:hAnsi="Arial"/>
          <w:sz w:val="22"/>
          <w:szCs w:val="22"/>
        </w:rPr>
        <w:t>v rokoch</w:t>
      </w:r>
    </w:p>
    <w:p>
      <w:pPr>
        <w:pStyle w:val="style0"/>
        <w:ind w:hanging="0" w:left="0" w:right="-468"/>
        <w:jc w:val="both"/>
      </w:pPr>
      <w:r>
        <w:rPr>
          <w:rFonts w:ascii="Arial" w:cs="Arial" w:hAnsi="Arial"/>
          <w:sz w:val="22"/>
          <w:szCs w:val="22"/>
        </w:rPr>
        <w:t>Softvér                                                               4                          lineárna                           25,0</w:t>
      </w:r>
    </w:p>
    <w:p>
      <w:pPr>
        <w:pStyle w:val="style0"/>
        <w:ind w:hanging="0" w:left="0" w:right="-468"/>
        <w:jc w:val="both"/>
      </w:pPr>
      <w:r>
        <w:rPr>
          <w:rFonts w:ascii="Arial" w:cs="Arial" w:hAnsi="Arial"/>
          <w:sz w:val="22"/>
          <w:szCs w:val="22"/>
        </w:rPr>
        <w:t>Oceniteľné práva (licencia)                                8                          lineárna                          12,5</w:t>
      </w:r>
    </w:p>
    <w:p>
      <w:pPr>
        <w:pStyle w:val="style0"/>
        <w:ind w:hanging="0" w:left="0" w:right="-468"/>
        <w:jc w:val="both"/>
      </w:pPr>
      <w:r>
        <w:rPr>
          <w:rFonts w:ascii="Arial" w:cs="Arial" w:hAnsi="Arial"/>
          <w:sz w:val="22"/>
          <w:szCs w:val="22"/>
        </w:rPr>
        <w:t>Drobný dlhodobý nehmotný majetok            rôzna                        jednorazový odpis         100,0</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Dlhodobý hmotný majetok sa začína odpisovať v mesiaci nasledujúcom kedy bol uvedený do 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nasledovnom prehľade: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                                                                   </w:t>
      </w:r>
      <w:r>
        <w:rPr>
          <w:rFonts w:ascii="Arial" w:cs="Arial" w:hAnsi="Arial"/>
          <w:sz w:val="22"/>
          <w:szCs w:val="22"/>
        </w:rPr>
        <w:t>Predpokladaná          Metóda                 Ročná odpisová</w:t>
      </w:r>
    </w:p>
    <w:p>
      <w:pPr>
        <w:pStyle w:val="style0"/>
        <w:ind w:hanging="0" w:left="0" w:right="-468"/>
        <w:jc w:val="both"/>
      </w:pPr>
      <w:r>
        <w:rPr>
          <w:rFonts w:ascii="Arial" w:cs="Arial" w:hAnsi="Arial"/>
          <w:sz w:val="22"/>
          <w:szCs w:val="22"/>
        </w:rPr>
        <w:t xml:space="preserve">                                                                   </w:t>
      </w:r>
      <w:r>
        <w:rPr>
          <w:rFonts w:ascii="Arial" w:cs="Arial" w:hAnsi="Arial"/>
          <w:sz w:val="22"/>
          <w:szCs w:val="22"/>
        </w:rPr>
        <w:t>doba používania        odpisovania          sadzba v %</w:t>
      </w:r>
    </w:p>
    <w:p>
      <w:pPr>
        <w:pStyle w:val="style0"/>
        <w:pBdr>
          <w:bottom w:color="00000A" w:space="0" w:sz="12" w:val="single"/>
        </w:pBdr>
        <w:ind w:hanging="0" w:left="0" w:right="-468"/>
        <w:jc w:val="both"/>
      </w:pPr>
      <w:r>
        <w:rPr>
          <w:rFonts w:ascii="Arial" w:cs="Arial" w:hAnsi="Arial"/>
          <w:sz w:val="22"/>
          <w:szCs w:val="22"/>
        </w:rPr>
        <w:t xml:space="preserve">                                                                    </w:t>
      </w:r>
      <w:r>
        <w:rPr>
          <w:rFonts w:ascii="Arial" w:cs="Arial" w:hAnsi="Arial"/>
          <w:sz w:val="22"/>
          <w:szCs w:val="22"/>
        </w:rPr>
        <w:t>v rokoch</w:t>
      </w:r>
    </w:p>
    <w:p>
      <w:pPr>
        <w:pStyle w:val="style0"/>
        <w:ind w:hanging="0" w:left="0" w:right="-468"/>
        <w:jc w:val="both"/>
      </w:pPr>
      <w:r>
        <w:rPr>
          <w:rFonts w:ascii="Arial" w:cs="Arial" w:hAnsi="Arial"/>
          <w:sz w:val="22"/>
          <w:szCs w:val="22"/>
        </w:rPr>
        <w:t>Stavby                                                              20                         lineárna                              5,0</w:t>
      </w:r>
    </w:p>
    <w:p>
      <w:pPr>
        <w:pStyle w:val="style0"/>
        <w:ind w:hanging="0" w:left="0" w:right="-468"/>
        <w:jc w:val="both"/>
      </w:pPr>
      <w:r>
        <w:rPr>
          <w:rFonts w:ascii="Arial" w:cs="Arial" w:hAnsi="Arial"/>
          <w:sz w:val="22"/>
          <w:szCs w:val="22"/>
        </w:rPr>
        <w:t>Stroje, prístroje a zariadenia                              6                         lineárna                            16,7</w:t>
      </w:r>
    </w:p>
    <w:p>
      <w:pPr>
        <w:pStyle w:val="style0"/>
        <w:ind w:hanging="0" w:left="0" w:right="-468"/>
        <w:jc w:val="both"/>
      </w:pPr>
      <w:r>
        <w:rPr>
          <w:rFonts w:ascii="Arial" w:cs="Arial" w:hAnsi="Arial"/>
          <w:sz w:val="22"/>
          <w:szCs w:val="22"/>
        </w:rPr>
        <w:t>Dopravné prostriedky, osobné MV                     4                         lineárna                            25,0</w:t>
      </w:r>
    </w:p>
    <w:p>
      <w:pPr>
        <w:pStyle w:val="style0"/>
        <w:ind w:hanging="0" w:left="0" w:right="-468"/>
        <w:jc w:val="both"/>
      </w:pPr>
      <w:r>
        <w:rPr>
          <w:rFonts w:ascii="Arial" w:cs="Arial" w:hAnsi="Arial"/>
          <w:sz w:val="22"/>
          <w:szCs w:val="22"/>
        </w:rPr>
        <w:t>Dopravné prostriedky, nákladné MV                  6                         lineárna                            16,7</w:t>
      </w:r>
    </w:p>
    <w:p>
      <w:pPr>
        <w:pStyle w:val="style0"/>
        <w:ind w:hanging="0" w:left="0" w:right="-468"/>
        <w:jc w:val="both"/>
      </w:pPr>
      <w:r>
        <w:rPr>
          <w:rFonts w:ascii="Arial" w:cs="Arial" w:hAnsi="Arial"/>
          <w:sz w:val="22"/>
          <w:szCs w:val="22"/>
        </w:rPr>
        <w:t>Drobný dlhodobý hmotný majetok                   rôzna                     jednorazový odpis         100,0</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Pre obstaranie, zaradenie a odpisovanie dlhodobého majetku má spoločnosť vypracovanú vnútropodnikovú smernicu č. 7/2013 a č. 9/2013.</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O nákladoch na výskum a vývoj Spoločnosť jednotka neúčtuje.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c) Cenné papiere a podiely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Cenné papiere sa oceňujú obstarávacími cenami vrátane nákladov súvisiacich s obstaraním.</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d) Zásoby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Zásoby sa oceňujú obstarávacou cenou (nakupované zásoby).</w:t>
      </w:r>
    </w:p>
    <w:p>
      <w:pPr>
        <w:pStyle w:val="style0"/>
        <w:ind w:hanging="0" w:left="0" w:right="-468"/>
        <w:jc w:val="both"/>
      </w:pPr>
      <w:r>
        <w:rPr>
          <w:rFonts w:ascii="Arial" w:cs="Arial" w:hAnsi="Arial"/>
          <w:sz w:val="22"/>
          <w:szCs w:val="22"/>
        </w:rPr>
        <w:t xml:space="preserve">Obstarávacia cena zahŕňa cenu zásob a náklady súvisiace s obstaraním (clo, poistné, doprava a pod.).Úroky z cudzích zdrojov nie sú súčasťou obstarávacej ceny.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Nakupované zásoby sa oceňujú váženým aritmetickým priemerom z obstarávacích cien.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Zníženie hodnoty zásob sa upravuje vytvorením  opravnej položky.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e)  Zákazková výroba</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Spoločnosť  o zákazkovej výrobe neúčtuje.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f)Zákazková výstavba nehnuteľností: </w:t>
      </w:r>
      <w:r>
        <w:rPr>
          <w:rFonts w:ascii="Arial" w:cs="Arial" w:hAnsi="Arial"/>
          <w:sz w:val="22"/>
          <w:szCs w:val="22"/>
        </w:rPr>
        <w:t>Spoločnosť o zákazkovej výstavbe nehnuteľností neúčtuje.</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b/>
          <w:sz w:val="22"/>
          <w:szCs w:val="22"/>
        </w:rPr>
        <w:t>g) Pohľadávky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Pohľadávky pri ich vzniku sa oceňujú ich menovitou hodnotou, postúpené pohľadávky a pohľadávky nadobudnuté vkladom do základného imania sa oceňujú  obstarávacou cenou</w:t>
      </w:r>
    </w:p>
    <w:p>
      <w:pPr>
        <w:pStyle w:val="style0"/>
        <w:ind w:hanging="0" w:left="0" w:right="-468"/>
        <w:jc w:val="both"/>
      </w:pPr>
      <w:r>
        <w:rPr>
          <w:rFonts w:ascii="Arial" w:cs="Arial" w:hAnsi="Arial"/>
          <w:sz w:val="22"/>
          <w:szCs w:val="22"/>
        </w:rPr>
        <w:t>vrátane nákladov súvisiacich s obstaraním. Toto ocenenie sa znižuje o pochybné a nevymožiteľné pohľadávky.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h) Peňažné prostriedky a ceniny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Peňažné prostriedky a ceniny sa oceňujú ich menovitou hodnotou. Zníženie ich hodnoty sa vyjadruje opravnou položkou.</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i) Náklady budúcich období a príjmy budúcich období</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Náklady budúcich období sa príjmy budúcich období sa vykazujú vo výške, ktorá je potrebná na dodržanie zásady vecnej a časovej súvislosti s účtovným obdobím.</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j) Rezervy</w:t>
      </w:r>
    </w:p>
    <w:p>
      <w:pPr>
        <w:pStyle w:val="style40"/>
        <w:ind w:hanging="0" w:left="1080" w:right="-468"/>
        <w:jc w:val="both"/>
      </w:pPr>
      <w:r>
        <w:rPr>
          <w:rFonts w:ascii="Arial" w:cs="Arial" w:hAnsi="Arial"/>
          <w:sz w:val="22"/>
          <w:szCs w:val="22"/>
        </w:rPr>
      </w:r>
    </w:p>
    <w:p>
      <w:pPr>
        <w:pStyle w:val="style0"/>
        <w:ind w:hanging="0" w:left="0" w:right="-468"/>
        <w:jc w:val="both"/>
      </w:pPr>
      <w:r>
        <w:rPr>
          <w:rFonts w:ascii="Arial" w:cs="Arial" w:hAnsi="Arial"/>
          <w:sz w:val="22"/>
          <w:szCs w:val="22"/>
        </w:rPr>
        <w:t>Rezervy sú záväzky s neurčitým časovým vymedzením alebo výškou, tvoria sa na krytie známych rizík alebo strát z podnikania. Oceňujú sa v očakávanej výške záväzku.</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k) Záväzky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l) Odložené dane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Odložené dane (odložená daňová pohľadávka a odložený daňový záväzok) sa vzťahujú na:</w:t>
      </w:r>
    </w:p>
    <w:p>
      <w:pPr>
        <w:pStyle w:val="style40"/>
        <w:numPr>
          <w:ilvl w:val="0"/>
          <w:numId w:val="2"/>
        </w:numPr>
        <w:ind w:hanging="0" w:left="720" w:right="-468"/>
        <w:jc w:val="both"/>
      </w:pPr>
      <w:r>
        <w:rPr>
          <w:rFonts w:ascii="Arial" w:cs="Arial" w:hAnsi="Arial"/>
          <w:sz w:val="22"/>
          <w:szCs w:val="22"/>
        </w:rPr>
        <w:t>dočasné rozdiely medzi účtovnou hodnotou majetku a účtovnou hodnotou záväzku vykázanou v súvahe a ich daňovou základňou</w:t>
      </w:r>
    </w:p>
    <w:p>
      <w:pPr>
        <w:pStyle w:val="style40"/>
        <w:numPr>
          <w:ilvl w:val="0"/>
          <w:numId w:val="2"/>
        </w:numPr>
        <w:ind w:hanging="0" w:left="720" w:right="-468"/>
        <w:jc w:val="both"/>
      </w:pPr>
      <w:r>
        <w:rPr>
          <w:rFonts w:ascii="Arial" w:cs="Arial" w:hAnsi="Arial"/>
          <w:sz w:val="22"/>
          <w:szCs w:val="22"/>
        </w:rPr>
        <w:t>možnosť umorovať daňovú stratu v budúcnosti, ktorou sa rozumie možnosť odpočítať daňovú stratu o základu dane v budúcnosti</w:t>
      </w:r>
    </w:p>
    <w:p>
      <w:pPr>
        <w:pStyle w:val="style40"/>
        <w:numPr>
          <w:ilvl w:val="0"/>
          <w:numId w:val="2"/>
        </w:numPr>
        <w:ind w:hanging="0" w:left="720" w:right="-468"/>
        <w:jc w:val="both"/>
      </w:pPr>
      <w:r>
        <w:rPr>
          <w:rFonts w:ascii="Arial" w:cs="Arial" w:hAnsi="Arial"/>
          <w:sz w:val="22"/>
          <w:szCs w:val="22"/>
        </w:rPr>
        <w:t>možnosť previesť nevyužité daňové odpočty a iné daňové nároky do budúcich období.</w:t>
      </w:r>
    </w:p>
    <w:p>
      <w:pPr>
        <w:pStyle w:val="style40"/>
        <w:ind w:hanging="0" w:left="720" w:right="-468"/>
        <w:jc w:val="both"/>
      </w:pPr>
      <w:r>
        <w:rPr>
          <w:rFonts w:ascii="Arial" w:cs="Arial" w:hAnsi="Arial"/>
          <w:sz w:val="22"/>
          <w:szCs w:val="22"/>
        </w:rPr>
      </w:r>
    </w:p>
    <w:p>
      <w:pPr>
        <w:pStyle w:val="style0"/>
        <w:ind w:hanging="0" w:left="0" w:right="-468"/>
        <w:jc w:val="both"/>
      </w:pPr>
      <w:r>
        <w:rPr>
          <w:rFonts w:ascii="Arial" w:cs="Arial" w:hAnsi="Arial"/>
          <w:b/>
          <w:sz w:val="22"/>
          <w:szCs w:val="22"/>
        </w:rPr>
        <w:t>m) Výdavky budúcich období a výnosy budúcich období</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Výdavky budúcich období a výnosy budúcich období sa vykazujú vo výške, ktorá je potrebná na dodržanie zásady vecnej a časovej súvislosti s účtovným obdobím.</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n) Emisné kvóty</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sz w:val="22"/>
          <w:szCs w:val="22"/>
        </w:rPr>
        <w:t>Účtovná jednotka o emisných kvótach neúčtuje.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o) Dotácie zo štátneho rozpočtu a rozpočtu EK</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O nároku na dotácie zo štátneho rozpočtu a rozpočtu EK sa účtuje, ak je takmer isté, že na základe splnených podmienok na poskytnutie dotácii sa Spoločnosti daná dotácia poskytne.</w:t>
      </w:r>
    </w:p>
    <w:p>
      <w:pPr>
        <w:pStyle w:val="style0"/>
        <w:ind w:hanging="0" w:left="0" w:right="-468"/>
        <w:jc w:val="both"/>
      </w:pPr>
      <w:r>
        <w:rPr>
          <w:rFonts w:ascii="Arial" w:cs="Arial" w:hAnsi="Arial"/>
          <w:sz w:val="22"/>
          <w:szCs w:val="22"/>
        </w:rPr>
        <w:t>Dotácie na obstaranie dlhodobého hmotného majetku sa najskôr vykazujú ako výnosy budúcich období a do výkazu ziskov a strát sa rozpúšťajú v časovej a vecnej súvislosti so zaúčtovaním odpisov z tohto majetku.</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p) Prenájom (lízing)</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Operatívny prenájom. Majetok prenajatý na základe operatívneho prenájmu vykazuje ako svoj majetok jeho vlastník nie nájomca. </w:t>
      </w:r>
    </w:p>
    <w:p>
      <w:pPr>
        <w:pStyle w:val="style0"/>
        <w:ind w:hanging="0" w:left="0" w:right="-468"/>
        <w:jc w:val="both"/>
      </w:pPr>
      <w:r>
        <w:rPr>
          <w:rFonts w:ascii="Arial" w:cs="Arial" w:hAnsi="Arial"/>
          <w:sz w:val="22"/>
          <w:szCs w:val="22"/>
        </w:rPr>
        <w:t>Finančný prenájom  ( s kúpnou opciou, bez kúpnej opcie je považovaný za operatívny prenájom). Majetok prenajatý na základe zmluvy vykazuje ako svoj majetok jeho nájomca, nie vlastník.</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Spoločnosť nemá záväzky z finančného prenájmu a o lízingu neúčtuje.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q) Deriváty</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sz w:val="22"/>
          <w:szCs w:val="22"/>
        </w:rPr>
        <w:t>Spoločnosť jednotka o derivátoch neúčtuje.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r) Majetok a záväzky zabezpečené derivátmi</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sz w:val="22"/>
          <w:szCs w:val="22"/>
        </w:rPr>
        <w:t>Spoločnosť o majetku a záväzkoch zabezpečených derivátmi neúčtuje.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s) Cudzia mena</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pPr>
        <w:pStyle w:val="style0"/>
        <w:ind w:hanging="0" w:left="0" w:right="-468"/>
        <w:jc w:val="both"/>
      </w:pPr>
      <w:r>
        <w:rPr>
          <w:rFonts w:ascii="Arial" w:cs="Arial" w:hAnsi="Arial"/>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pPr>
        <w:pStyle w:val="style0"/>
        <w:ind w:hanging="0" w:left="0" w:right="-468"/>
        <w:jc w:val="both"/>
      </w:pPr>
      <w:r>
        <w:rPr>
          <w:rFonts w:ascii="Arial" w:cs="Arial" w:hAnsi="Arial"/>
          <w:sz w:val="22"/>
          <w:szCs w:val="22"/>
        </w:rPr>
        <w:t xml:space="preserve">Prijaté a poskytnuté preddavky v cudzej mene na účet zriadený v eurách a z účtu zriadeného v eurách sa prepočítavajú na menu euro kurzom, za ktorý boli tieto hodnoty nakúpené alebo predané. </w:t>
      </w:r>
    </w:p>
    <w:p>
      <w:pPr>
        <w:pStyle w:val="style0"/>
        <w:ind w:hanging="0" w:left="0" w:right="-468"/>
        <w:jc w:val="both"/>
      </w:pPr>
      <w:r>
        <w:rPr>
          <w:rFonts w:ascii="Arial" w:cs="Arial" w:hAnsi="Arial"/>
          <w:sz w:val="22"/>
          <w:szCs w:val="22"/>
        </w:rPr>
        <w:t xml:space="preserve">Prijaté a poskytnuté preddavky sa ku dňu, ku ktorému sa zostavuje účtovná závierka na menu euro neprepočítavajú.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t) Výnosy</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sz w:val="22"/>
          <w:szCs w:val="22"/>
        </w:rPr>
        <w:t>Tržby za vlastné výkony a tovar neobsahujú daň z pridanej hodnoty</w:t>
      </w:r>
      <w:r>
        <w:rPr>
          <w:rFonts w:ascii="Arial" w:cs="Arial" w:hAnsi="Arial"/>
          <w:b/>
          <w:sz w:val="22"/>
          <w:szCs w:val="22"/>
        </w:rPr>
        <w:t xml:space="preserve">. </w:t>
      </w:r>
      <w:r>
        <w:rPr>
          <w:rFonts w:ascii="Arial" w:cs="Arial" w:hAnsi="Arial"/>
          <w:sz w:val="22"/>
          <w:szCs w:val="22"/>
        </w:rPr>
        <w:t>Sú tiež znížené o zľavy a zrážky bez ohľadu na to, či zákazník mal vopred na zľavu nárok, alebo či ide  o dodatočné uznanie.</w:t>
      </w:r>
    </w:p>
    <w:p>
      <w:pPr>
        <w:pStyle w:val="style0"/>
        <w:ind w:hanging="0" w:left="0" w:right="-468"/>
        <w:jc w:val="both"/>
      </w:pPr>
      <w:r>
        <w:rPr>
          <w:rFonts w:ascii="Arial" w:cs="Arial" w:hAnsi="Arial"/>
          <w:sz w:val="22"/>
          <w:szCs w:val="22"/>
        </w:rPr>
      </w:r>
    </w:p>
    <w:p>
      <w:pPr>
        <w:pStyle w:val="style2"/>
        <w:numPr>
          <w:ilvl w:val="1"/>
          <w:numId w:val="1"/>
        </w:numPr>
        <w:jc w:val="both"/>
      </w:pPr>
      <w:r>
        <w:rPr>
          <w:rFonts w:ascii="Arial" w:cs="Arial" w:hAnsi="Arial"/>
          <w:bCs w:val="false"/>
          <w:sz w:val="22"/>
          <w:szCs w:val="22"/>
        </w:rPr>
        <w:t>u) Informácie o oprave významných chýb</w:t>
      </w:r>
    </w:p>
    <w:p>
      <w:pPr>
        <w:pStyle w:val="style0"/>
      </w:pPr>
      <w:r>
        <w:rPr/>
      </w:r>
    </w:p>
    <w:p>
      <w:pPr>
        <w:pStyle w:val="style2"/>
        <w:numPr>
          <w:ilvl w:val="1"/>
          <w:numId w:val="1"/>
        </w:numPr>
        <w:jc w:val="left"/>
      </w:pPr>
      <w:r>
        <w:rPr>
          <w:rFonts w:ascii="Arial" w:cs="Arial" w:hAnsi="Arial"/>
          <w:b w:val="false"/>
          <w:bCs w:val="false"/>
          <w:sz w:val="22"/>
          <w:szCs w:val="22"/>
        </w:rPr>
        <w:t xml:space="preserve">Spoločnosť o oprave významných chýb minulých účtovných období s dopadom na výsledok hospodárenia v bežnom účtovnom období neúčtovala.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bCs/>
          <w:sz w:val="22"/>
          <w:szCs w:val="22"/>
          <w:shd w:fill="FFFF00" w:val="clear"/>
        </w:rPr>
      </w:r>
    </w:p>
    <w:p>
      <w:pPr>
        <w:pStyle w:val="style0"/>
        <w:ind w:hanging="0" w:left="0" w:right="-468"/>
        <w:jc w:val="both"/>
      </w:pPr>
      <w:r>
        <w:rPr>
          <w:rFonts w:ascii="Arial" w:cs="Arial" w:hAnsi="Arial"/>
          <w:b/>
          <w:bCs/>
          <w:sz w:val="22"/>
          <w:szCs w:val="22"/>
        </w:rPr>
        <w:t>F. INFORMÁCIE O ÚDAJOCH NA STRANE AKTÍV SÚVAHY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b/>
          <w:sz w:val="22"/>
          <w:szCs w:val="22"/>
        </w:rPr>
        <w:t>8. Dlhodobý nehmotný majetok a dlhodobý hmotný majetok</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a) </w:t>
      </w:r>
      <w:r>
        <w:rPr>
          <w:rFonts w:ascii="Arial" w:cs="Arial" w:hAnsi="Arial"/>
          <w:b/>
          <w:sz w:val="22"/>
          <w:szCs w:val="22"/>
          <w:u w:val="single"/>
        </w:rPr>
        <w:t xml:space="preserve">Dlhodobý </w:t>
      </w:r>
      <w:r>
        <w:rPr>
          <w:rFonts w:ascii="Arial" w:cs="Arial" w:hAnsi="Arial"/>
          <w:b/>
          <w:bCs/>
          <w:sz w:val="22"/>
          <w:szCs w:val="22"/>
          <w:u w:val="single"/>
        </w:rPr>
        <w:t>nehmotný majetok</w:t>
      </w:r>
      <w:r>
        <w:rPr>
          <w:rFonts w:ascii="Arial" w:cs="Arial" w:hAnsi="Arial"/>
          <w:sz w:val="22"/>
          <w:szCs w:val="22"/>
        </w:rPr>
        <w:t xml:space="preserve"> za bežné účtovné obdobie a za bezprostredne predchádzajúce účtovné obdobie sú uvedené v nasledujúcich tabuľkách:  </w:t>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t>Tabuľka č. 1</w:t>
      </w:r>
    </w:p>
    <w:p>
      <w:pPr>
        <w:pStyle w:val="style0"/>
      </w:pPr>
      <w:bookmarkStart w:id="0" w:name="_MON_1455952626"/>
      <w:bookmarkEnd w:id="0"/>
      <w:r>
        <w:rPr/>
      </w:r>
    </w:p>
    <w:tbl>
      <w:tblPr>
        <w:jc w:val="left"/>
        <w:tblInd w:type="dxa" w:w="10"/>
        <w:tblBorders/>
      </w:tblPr>
      <w:tblGrid>
        <w:gridCol w:w="8299"/>
        <w:gridCol w:w="831"/>
      </w:tblGrid>
      <w:tr>
        <w:trPr>
          <w:trHeight w:hRule="atLeast" w:val="330"/>
          <w:cantSplit w:val="false"/>
        </w:trPr>
        <w:tc>
          <w:tcPr>
            <w:tcW w:type="dxa" w:w="8299"/>
            <w:tcBorders/>
            <w:shd w:fill="FFFFFF" w:val="clear"/>
            <w:tcMar>
              <w:top w:type="dxa" w:w="0"/>
              <w:left w:type="dxa" w:w="70"/>
              <w:bottom w:type="dxa" w:w="0"/>
              <w:right w:type="dxa" w:w="70"/>
            </w:tcMar>
            <w:vAlign w:val="bottom"/>
          </w:tcPr>
          <w:p>
            <w:pPr>
              <w:pStyle w:val="style0"/>
              <w:jc w:val="both"/>
            </w:pPr>
            <w:r>
              <w:rPr>
                <w:rFonts w:ascii="Arial" w:cs="Arial" w:hAnsi="Arial"/>
                <w:bCs/>
                <w:sz w:val="22"/>
                <w:szCs w:val="22"/>
              </w:rPr>
            </w:r>
          </w:p>
          <w:p>
            <w:pPr>
              <w:pStyle w:val="style0"/>
              <w:jc w:val="both"/>
            </w:pPr>
            <w:r>
              <w:rPr>
                <w:rFonts w:ascii="Arial" w:cs="Arial" w:hAnsi="Arial"/>
                <w:bCs/>
                <w:sz w:val="22"/>
                <w:szCs w:val="22"/>
              </w:rPr>
            </w:r>
          </w:p>
          <w:p>
            <w:pPr>
              <w:pStyle w:val="style0"/>
              <w:jc w:val="both"/>
            </w:pPr>
            <w:r>
              <w:rPr>
                <w:rFonts w:ascii="Arial" w:cs="Arial" w:hAnsi="Arial"/>
                <w:bCs/>
                <w:sz w:val="22"/>
                <w:szCs w:val="22"/>
              </w:rPr>
            </w:r>
          </w:p>
          <w:p>
            <w:pPr>
              <w:pStyle w:val="style0"/>
              <w:jc w:val="both"/>
            </w:pPr>
            <w:r>
              <w:rPr>
                <w:rFonts w:ascii="Arial" w:cs="Arial" w:hAnsi="Arial"/>
                <w:bCs/>
                <w:sz w:val="22"/>
                <w:szCs w:val="22"/>
              </w:rPr>
            </w:r>
          </w:p>
          <w:p>
            <w:pPr>
              <w:pStyle w:val="style0"/>
              <w:jc w:val="both"/>
            </w:pPr>
            <w:r>
              <w:rPr>
                <w:rFonts w:ascii="Arial" w:cs="Arial" w:hAnsi="Arial"/>
                <w:bCs/>
                <w:sz w:val="22"/>
                <w:szCs w:val="22"/>
              </w:rPr>
            </w:r>
          </w:p>
          <w:p>
            <w:pPr>
              <w:pStyle w:val="style0"/>
              <w:jc w:val="both"/>
            </w:pPr>
            <w:r>
              <w:rPr>
                <w:rFonts w:ascii="Arial" w:cs="Arial" w:hAnsi="Arial"/>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Narrow" w:cs="Calibri" w:hAnsi="Arial Narrow"/>
                <w:b/>
                <w:bCs/>
                <w:sz w:val="22"/>
                <w:szCs w:val="22"/>
              </w:rPr>
            </w:r>
          </w:p>
          <w:p>
            <w:pPr>
              <w:pStyle w:val="style0"/>
            </w:pPr>
            <w:r>
              <w:rPr>
                <w:rFonts w:ascii="Arial" w:cs="Arial" w:hAnsi="Arial"/>
                <w:bCs/>
                <w:sz w:val="22"/>
                <w:szCs w:val="22"/>
              </w:rPr>
              <w:t xml:space="preserve">Tabuľka č. 2 </w:t>
            </w:r>
            <w:bookmarkStart w:id="1" w:name="_MON_1455972293"/>
            <w:bookmarkEnd w:id="1"/>
            <w:r>
              <w:rPr/>
            </w:r>
          </w:p>
        </w:tc>
        <w:tc>
          <w:tcPr>
            <w:tcW w:type="dxa" w:w="831"/>
            <w:tcBorders/>
            <w:shd w:fill="FFFFFF" w:val="clear"/>
            <w:tcMar>
              <w:top w:type="dxa" w:w="0"/>
              <w:left w:type="dxa" w:w="70"/>
              <w:bottom w:type="dxa" w:w="0"/>
              <w:right w:type="dxa" w:w="70"/>
            </w:tcMar>
            <w:vAlign w:val="bottom"/>
          </w:tcPr>
          <w:p>
            <w:pPr>
              <w:pStyle w:val="style0"/>
            </w:pPr>
            <w:r>
              <w:rPr>
                <w:rFonts w:ascii="Arial Narrow" w:cs="Calibri" w:hAnsi="Arial Narrow"/>
                <w:b/>
                <w:bCs/>
                <w:sz w:val="22"/>
                <w:szCs w:val="22"/>
              </w:rPr>
            </w:r>
          </w:p>
        </w:tc>
      </w:tr>
    </w:tbl>
    <w:p>
      <w:pPr>
        <w:pStyle w:val="style0"/>
        <w:ind w:hanging="0" w:left="0" w:right="-468"/>
        <w:jc w:val="both"/>
      </w:pPr>
      <w:r>
        <w:rPr>
          <w:rFonts w:ascii="Arial" w:cs="Arial" w:hAnsi="Arial"/>
          <w:b/>
          <w:sz w:val="22"/>
          <w:szCs w:val="22"/>
        </w:rPr>
        <w:t xml:space="preserve">a) </w:t>
      </w:r>
      <w:r>
        <w:rPr>
          <w:rFonts w:ascii="Arial" w:cs="Arial" w:hAnsi="Arial"/>
          <w:b/>
          <w:sz w:val="22"/>
          <w:szCs w:val="22"/>
          <w:u w:val="single"/>
        </w:rPr>
        <w:t xml:space="preserve">Dlhodobý </w:t>
      </w:r>
      <w:r>
        <w:rPr>
          <w:rFonts w:ascii="Arial" w:cs="Arial" w:hAnsi="Arial"/>
          <w:b/>
          <w:bCs/>
          <w:sz w:val="22"/>
          <w:szCs w:val="22"/>
          <w:u w:val="single"/>
        </w:rPr>
        <w:t>hmotný majetok</w:t>
      </w:r>
      <w:r>
        <w:rPr>
          <w:rFonts w:ascii="Arial" w:cs="Arial" w:hAnsi="Arial"/>
          <w:sz w:val="22"/>
          <w:szCs w:val="22"/>
        </w:rPr>
        <w:t xml:space="preserve"> za bežné účtovné obdobie a za bezprostredne predchádzajúce účtovné obdobie sú uvedené v nasledujúcich tabuľkách:  </w:t>
      </w:r>
    </w:p>
    <w:p>
      <w:pPr>
        <w:pStyle w:val="style0"/>
        <w:ind w:hanging="0" w:left="0" w:right="-468"/>
        <w:jc w:val="both"/>
      </w:pPr>
      <w:r>
        <w:rPr>
          <w:rFonts w:ascii="Arial" w:cs="Arial" w:hAnsi="Arial"/>
          <w:sz w:val="22"/>
          <w:szCs w:val="22"/>
        </w:rPr>
        <w:t>Tabuľka č.1</w:t>
      </w:r>
    </w:p>
    <w:p>
      <w:pPr>
        <w:pStyle w:val="style0"/>
      </w:pPr>
      <w:bookmarkStart w:id="2" w:name="_MON_1457261994"/>
      <w:bookmarkEnd w:id="2"/>
      <w:r>
        <w:rPr/>
      </w:r>
    </w:p>
    <w:p>
      <w:pPr>
        <w:pStyle w:val="style0"/>
        <w:jc w:val="both"/>
      </w:pPr>
      <w:r>
        <w:rPr>
          <w:rFonts w:ascii="Arial" w:cs="Arial" w:hAnsi="Arial"/>
          <w:bCs/>
          <w:sz w:val="22"/>
          <w:szCs w:val="22"/>
        </w:rPr>
        <w:t>Spoločnosť  tvorila opravnú položku k dlhodobému hmotnému majetku k 31.12.2013 na účte 094-Opravná položka k obstaranému dlhodobému hmotnému majetku  celkom vo výške 43 191 EUR ( Čadca, prevádzková budova RPS, Zádubnie, rozšírenie vodovodu, Inžinierske siete Kysucké Nové Mesto IBV).</w:t>
      </w:r>
    </w:p>
    <w:p>
      <w:pPr>
        <w:pStyle w:val="style0"/>
        <w:jc w:val="both"/>
      </w:pPr>
      <w:r>
        <w:rPr>
          <w:rFonts w:ascii="Arial" w:cs="Arial" w:hAnsi="Arial"/>
          <w:sz w:val="22"/>
          <w:szCs w:val="22"/>
        </w:rPr>
      </w:r>
    </w:p>
    <w:p>
      <w:pPr>
        <w:pStyle w:val="style0"/>
        <w:jc w:val="both"/>
      </w:pPr>
      <w:r>
        <w:rPr>
          <w:rFonts w:ascii="Arial" w:cs="Arial" w:hAnsi="Arial"/>
          <w:sz w:val="22"/>
          <w:szCs w:val="22"/>
        </w:rPr>
      </w:r>
    </w:p>
    <w:p>
      <w:pPr>
        <w:pStyle w:val="style0"/>
        <w:jc w:val="both"/>
      </w:pPr>
      <w:r>
        <w:rPr>
          <w:rFonts w:ascii="Arial" w:cs="Arial" w:hAnsi="Arial"/>
          <w:sz w:val="22"/>
          <w:szCs w:val="22"/>
        </w:rPr>
        <w:t>Tabuľka č.2</w:t>
      </w:r>
    </w:p>
    <w:p>
      <w:pPr>
        <w:pStyle w:val="style0"/>
        <w:spacing w:after="120" w:before="0"/>
        <w:ind w:hanging="0" w:left="0" w:right="-471"/>
        <w:jc w:val="both"/>
      </w:pPr>
      <w:bookmarkStart w:id="3" w:name="_MON_1455901112"/>
      <w:bookmarkEnd w:id="3"/>
      <w:r>
        <w:rPr/>
      </w:r>
    </w:p>
    <w:p>
      <w:pPr>
        <w:pStyle w:val="style0"/>
      </w:pPr>
      <w:r>
        <w:rPr>
          <w:rFonts w:ascii="Arial" w:cs="Arial" w:hAnsi="Arial"/>
          <w:sz w:val="22"/>
          <w:szCs w:val="22"/>
        </w:rPr>
      </w:r>
    </w:p>
    <w:p>
      <w:pPr>
        <w:pStyle w:val="style0"/>
        <w:ind w:hanging="0" w:left="0" w:right="-468"/>
        <w:jc w:val="both"/>
      </w:pPr>
      <w:r>
        <w:rPr>
          <w:rFonts w:ascii="Arial" w:cs="Arial" w:hAnsi="Arial"/>
          <w:b/>
          <w:sz w:val="22"/>
          <w:szCs w:val="22"/>
        </w:rPr>
        <w:t xml:space="preserve">b) </w:t>
      </w:r>
      <w:r>
        <w:rPr>
          <w:rFonts w:ascii="Arial" w:cs="Arial" w:hAnsi="Arial"/>
          <w:b/>
          <w:sz w:val="22"/>
          <w:szCs w:val="22"/>
          <w:u w:val="single"/>
        </w:rPr>
        <w:t xml:space="preserve">Spôsob a výška poistenia dlhodobého nehmotného majetku a dlhodobého hmotného majetku </w:t>
      </w:r>
    </w:p>
    <w:p>
      <w:pPr>
        <w:pStyle w:val="style0"/>
        <w:ind w:hanging="0" w:left="0" w:right="-468"/>
        <w:jc w:val="both"/>
      </w:pPr>
      <w:r>
        <w:rPr>
          <w:rFonts w:ascii="Arial" w:cs="Arial" w:hAnsi="Arial"/>
          <w:sz w:val="22"/>
          <w:szCs w:val="22"/>
        </w:rPr>
        <w:t>Predmetom  poistenia je dlhodobý nehnuteľný majetok, povinné zmluvné poistenie za vedenie motorových vozidiel, havarijné poistenie motorových vozidiel, poistenie zodpovednosti za škodu členov štatutárnych orgánov. Účtovná jednotka má uzatvorené poistné zmluvy v Allianz- Slovenská poisťovňa a. s. Bratislava, Kooperatíva a. s. Bratislava a Komunálna poisťovňa a. s. Bratislava.</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Prehľad poistenia dlhodobého majetku:</w:t>
      </w:r>
    </w:p>
    <w:p>
      <w:pPr>
        <w:pStyle w:val="style0"/>
        <w:ind w:hanging="0" w:left="0" w:right="-468"/>
        <w:jc w:val="both"/>
      </w:pPr>
      <w:r>
        <w:rPr>
          <w:rFonts w:ascii="Arial" w:cs="Arial" w:hAnsi="Arial"/>
          <w:sz w:val="22"/>
          <w:szCs w:val="22"/>
        </w:rPr>
      </w:r>
    </w:p>
    <w:p>
      <w:pPr>
        <w:pStyle w:val="style0"/>
        <w:pBdr>
          <w:bottom w:color="00000A" w:space="0" w:sz="6" w:val="single"/>
        </w:pBdr>
        <w:ind w:hanging="0" w:left="0" w:right="-468"/>
        <w:jc w:val="both"/>
      </w:pPr>
      <w:r>
        <w:rPr>
          <w:rFonts w:ascii="Arial" w:cs="Arial" w:hAnsi="Arial"/>
          <w:sz w:val="20"/>
          <w:szCs w:val="20"/>
        </w:rPr>
        <w:t>Druh poistenia                                                                                                        Platnosť poistných zmlúv</w:t>
      </w:r>
    </w:p>
    <w:p>
      <w:pPr>
        <w:pStyle w:val="style0"/>
        <w:ind w:hanging="0" w:left="0" w:right="-468"/>
        <w:jc w:val="both"/>
      </w:pPr>
      <w:r>
        <w:rPr>
          <w:rFonts w:ascii="Arial" w:cs="Arial" w:hAnsi="Arial"/>
          <w:sz w:val="20"/>
          <w:szCs w:val="20"/>
        </w:rPr>
        <w:t>1. Povinné zmluvné poistenie motorových vozidiel</w:t>
        <w:tab/>
        <w:tab/>
        <w:tab/>
        <w:tab/>
        <w:t>01.01.2013 – 31.12.2013</w:t>
      </w:r>
    </w:p>
    <w:p>
      <w:pPr>
        <w:pStyle w:val="style0"/>
        <w:ind w:hanging="0" w:left="0" w:right="-468"/>
        <w:jc w:val="both"/>
      </w:pPr>
      <w:r>
        <w:rPr>
          <w:rFonts w:ascii="Arial" w:cs="Arial" w:hAnsi="Arial"/>
          <w:sz w:val="20"/>
          <w:szCs w:val="20"/>
        </w:rPr>
        <w:t xml:space="preserve">2. Havarijné poistenie motorových vozidiel                                                     </w:t>
        <w:tab/>
        <w:t>01.01.2013 – 31.12.2013</w:t>
      </w:r>
    </w:p>
    <w:p>
      <w:pPr>
        <w:pStyle w:val="style0"/>
        <w:ind w:hanging="0" w:left="0" w:right="-468"/>
        <w:jc w:val="both"/>
      </w:pPr>
      <w:r>
        <w:rPr>
          <w:rFonts w:ascii="Arial" w:cs="Arial" w:hAnsi="Arial"/>
          <w:sz w:val="20"/>
          <w:szCs w:val="20"/>
        </w:rPr>
        <w:t xml:space="preserve">3. Strojné a havarijné poistenie pojazdných strojov a zariadení                        </w:t>
        <w:tab/>
        <w:t xml:space="preserve">03.12.2013 zmluva zrušená </w:t>
      </w:r>
    </w:p>
    <w:p>
      <w:pPr>
        <w:pStyle w:val="style0"/>
        <w:ind w:hanging="0" w:left="0" w:right="-468"/>
        <w:jc w:val="both"/>
      </w:pPr>
      <w:r>
        <w:rPr>
          <w:rFonts w:ascii="Arial" w:cs="Arial" w:hAnsi="Arial"/>
          <w:sz w:val="20"/>
          <w:szCs w:val="20"/>
        </w:rPr>
        <w:t xml:space="preserve">4. Poistenie elektroniky-infračervený spektrometer                                           </w:t>
        <w:tab/>
        <w:t>01.01.2011 -  31.12.2013</w:t>
      </w:r>
    </w:p>
    <w:p>
      <w:pPr>
        <w:pStyle w:val="style0"/>
        <w:ind w:hanging="0" w:left="0" w:right="-468"/>
        <w:jc w:val="both"/>
      </w:pPr>
      <w:r>
        <w:rPr>
          <w:rFonts w:ascii="Arial" w:cs="Arial" w:hAnsi="Arial"/>
          <w:sz w:val="20"/>
          <w:szCs w:val="20"/>
        </w:rPr>
        <w:t xml:space="preserve">5. Poistenie majetku proti riziku živelnej pohromy, krádeže, vandalizmu          </w:t>
        <w:tab/>
        <w:t>01.08.2008 – trvá</w:t>
      </w:r>
    </w:p>
    <w:p>
      <w:pPr>
        <w:pStyle w:val="style0"/>
        <w:ind w:hanging="0" w:left="0" w:right="-468"/>
        <w:jc w:val="both"/>
      </w:pPr>
      <w:r>
        <w:rPr>
          <w:rFonts w:ascii="Arial" w:cs="Arial" w:hAnsi="Arial"/>
          <w:sz w:val="20"/>
          <w:szCs w:val="20"/>
        </w:rPr>
        <w:t xml:space="preserve">    </w:t>
      </w:r>
      <w:r>
        <w:rPr>
          <w:rFonts w:ascii="Arial" w:cs="Arial" w:hAnsi="Arial"/>
          <w:sz w:val="20"/>
          <w:szCs w:val="20"/>
        </w:rPr>
        <w:t>(ISPA Žilina, záloh k ÚZ č. 7/2004 VÚB a. s. Primabanka Slovensko a. s.)</w:t>
      </w:r>
    </w:p>
    <w:p>
      <w:pPr>
        <w:pStyle w:val="style0"/>
        <w:ind w:hanging="0" w:left="0" w:right="-468"/>
        <w:jc w:val="both"/>
      </w:pPr>
      <w:r>
        <w:rPr>
          <w:rFonts w:ascii="Arial" w:cs="Arial" w:hAnsi="Arial"/>
          <w:sz w:val="20"/>
          <w:szCs w:val="20"/>
        </w:rPr>
        <w:t xml:space="preserve">6. Poistenie majetku proti riziku živelnej pohromy, krádeže, vandalizmu                 </w:t>
      </w:r>
    </w:p>
    <w:p>
      <w:pPr>
        <w:pStyle w:val="style0"/>
        <w:ind w:hanging="0" w:left="0" w:right="-468"/>
        <w:jc w:val="both"/>
      </w:pPr>
      <w:r>
        <w:rPr>
          <w:rFonts w:ascii="Arial" w:cs="Arial" w:hAnsi="Arial"/>
          <w:sz w:val="20"/>
          <w:szCs w:val="20"/>
        </w:rPr>
        <w:t xml:space="preserve">    </w:t>
      </w:r>
      <w:r>
        <w:rPr>
          <w:rFonts w:ascii="Arial" w:cs="Arial" w:hAnsi="Arial"/>
          <w:sz w:val="20"/>
          <w:szCs w:val="20"/>
        </w:rPr>
        <w:t xml:space="preserve">(Čadca III. tlakové pásmo a Terchová, Krivánska Rizňa II.etapa)                 </w:t>
        <w:tab/>
        <w:t>.01.01.2009 - trvá</w:t>
      </w:r>
    </w:p>
    <w:p>
      <w:pPr>
        <w:pStyle w:val="style0"/>
        <w:ind w:hanging="0" w:left="0" w:right="-468"/>
        <w:jc w:val="both"/>
      </w:pPr>
      <w:r>
        <w:rPr>
          <w:rFonts w:ascii="Arial" w:cs="Arial" w:hAnsi="Arial"/>
          <w:sz w:val="20"/>
          <w:szCs w:val="20"/>
        </w:rPr>
        <w:t xml:space="preserve">7. Poistenie majetku proti riziku živelnej pohromy, krádeže, vandalizmu                 </w:t>
      </w:r>
    </w:p>
    <w:p>
      <w:pPr>
        <w:pStyle w:val="style0"/>
        <w:ind w:hanging="0" w:left="0" w:right="-468"/>
        <w:jc w:val="both"/>
      </w:pPr>
      <w:r>
        <w:rPr>
          <w:rFonts w:ascii="Arial" w:cs="Arial" w:hAnsi="Arial"/>
          <w:sz w:val="20"/>
          <w:szCs w:val="20"/>
        </w:rPr>
        <w:t xml:space="preserve">    </w:t>
      </w:r>
      <w:r>
        <w:rPr>
          <w:rFonts w:ascii="Arial" w:cs="Arial" w:hAnsi="Arial"/>
          <w:sz w:val="20"/>
          <w:szCs w:val="20"/>
        </w:rPr>
        <w:t xml:space="preserve">z projektu Dodávka pitnej vody a odkanalizovanie  Horných Kysúc            </w:t>
        <w:tab/>
        <w:t xml:space="preserve"> 01.03.2010 – trvá</w:t>
      </w:r>
    </w:p>
    <w:p>
      <w:pPr>
        <w:pStyle w:val="style0"/>
        <w:ind w:hanging="0" w:left="0" w:right="-468"/>
        <w:jc w:val="both"/>
      </w:pPr>
      <w:r>
        <w:rPr>
          <w:rFonts w:ascii="Arial" w:cs="Arial" w:hAnsi="Arial"/>
          <w:sz w:val="20"/>
          <w:szCs w:val="20"/>
        </w:rPr>
        <w:t xml:space="preserve">8. Poistenie zodpovednosti voči tretím osobám                                               </w:t>
        <w:tab/>
        <w:t xml:space="preserve"> 01.05.2009 – trvá</w:t>
      </w:r>
    </w:p>
    <w:p>
      <w:pPr>
        <w:pStyle w:val="style0"/>
        <w:ind w:hanging="0" w:left="0" w:right="-468"/>
        <w:jc w:val="both"/>
      </w:pPr>
      <w:r>
        <w:rPr>
          <w:rFonts w:ascii="Arial" w:cs="Arial" w:hAnsi="Arial"/>
          <w:sz w:val="20"/>
          <w:szCs w:val="20"/>
        </w:rPr>
        <w:t xml:space="preserve">9. Poistenie zodpovednosti za škodu spôsobenú členmi orgánov spoločnosti </w:t>
        <w:tab/>
        <w:t xml:space="preserve"> 01.08.2011 -  trvá</w:t>
      </w:r>
    </w:p>
    <w:p>
      <w:pPr>
        <w:pStyle w:val="style0"/>
        <w:ind w:hanging="0" w:left="0" w:right="-468"/>
        <w:jc w:val="both"/>
      </w:pPr>
      <w:r>
        <w:rPr>
          <w:rFonts w:ascii="Arial" w:cs="Arial" w:hAnsi="Arial"/>
          <w:sz w:val="20"/>
          <w:szCs w:val="20"/>
        </w:rPr>
        <w:t xml:space="preserve">10. Poistenie majetku, Verejná kanalizácia a ČOV Rajec                                 </w:t>
        <w:tab/>
        <w:t xml:space="preserve"> 01.06.2012 – trvá </w:t>
      </w:r>
    </w:p>
    <w:p>
      <w:pPr>
        <w:pStyle w:val="style0"/>
        <w:ind w:hanging="0" w:left="0" w:right="-468"/>
        <w:jc w:val="both"/>
      </w:pPr>
      <w:r>
        <w:rPr>
          <w:rFonts w:ascii="Arial" w:cs="Arial" w:hAnsi="Arial"/>
          <w:sz w:val="20"/>
          <w:szCs w:val="20"/>
        </w:rPr>
        <w:t>11. Poistenie majetku, Trnové- Kanalizácia                                                            01.10.2013 – trvá</w:t>
      </w:r>
    </w:p>
    <w:p>
      <w:pPr>
        <w:pStyle w:val="style0"/>
        <w:ind w:hanging="0" w:left="0" w:right="-468"/>
        <w:jc w:val="both"/>
      </w:pPr>
      <w:r>
        <w:rPr>
          <w:rFonts w:ascii="Arial" w:cs="Arial" w:hAnsi="Arial"/>
          <w:sz w:val="20"/>
          <w:szCs w:val="20"/>
        </w:rPr>
        <w:t xml:space="preserve">12. Poistenie majetku, SČOV Žilina, Intenzifikácia                                                 01.10.2013 -  trvá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b/>
          <w:sz w:val="22"/>
          <w:szCs w:val="22"/>
        </w:rPr>
        <w:t>c.1)</w:t>
      </w:r>
      <w:r>
        <w:rPr>
          <w:rFonts w:ascii="Arial" w:cs="Arial" w:hAnsi="Arial"/>
          <w:sz w:val="22"/>
          <w:szCs w:val="22"/>
        </w:rPr>
        <w:t xml:space="preserve"> </w:t>
      </w:r>
      <w:r>
        <w:rPr>
          <w:rFonts w:ascii="Arial" w:cs="Arial" w:hAnsi="Arial"/>
          <w:b/>
          <w:sz w:val="22"/>
          <w:szCs w:val="22"/>
          <w:u w:val="single"/>
        </w:rPr>
        <w:t xml:space="preserve">Dlhodobý </w:t>
      </w:r>
      <w:r>
        <w:rPr>
          <w:rFonts w:ascii="Arial" w:cs="Arial" w:hAnsi="Arial"/>
          <w:b/>
          <w:bCs/>
          <w:sz w:val="22"/>
          <w:szCs w:val="22"/>
          <w:u w:val="single"/>
        </w:rPr>
        <w:t>nehmotný majetok</w:t>
      </w:r>
      <w:r>
        <w:rPr>
          <w:rFonts w:ascii="Arial" w:cs="Arial" w:hAnsi="Arial"/>
          <w:b/>
          <w:sz w:val="22"/>
          <w:szCs w:val="22"/>
          <w:u w:val="single"/>
        </w:rPr>
        <w:t>, na ktorý je zriadené záložné právo a dlhodobý nehmotný majetok, pri ktorom má účtovná jednotka obmedzené právo s ním nakladať</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Spoločnosť nemá na dlhodobý nehmotný majetok zriadené záložné právo ani obmedzené právo s ním nakladať.</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c.2) </w:t>
      </w:r>
      <w:r>
        <w:rPr>
          <w:rFonts w:ascii="Arial" w:cs="Arial" w:hAnsi="Arial"/>
          <w:b/>
          <w:sz w:val="22"/>
          <w:szCs w:val="22"/>
          <w:u w:val="single"/>
        </w:rPr>
        <w:t xml:space="preserve">Dlhodobý </w:t>
      </w:r>
      <w:r>
        <w:rPr>
          <w:rFonts w:ascii="Arial" w:cs="Arial" w:hAnsi="Arial"/>
          <w:b/>
          <w:bCs/>
          <w:sz w:val="22"/>
          <w:szCs w:val="22"/>
          <w:u w:val="single"/>
        </w:rPr>
        <w:t>hmotný majetok</w:t>
      </w:r>
      <w:r>
        <w:rPr>
          <w:rFonts w:ascii="Arial" w:cs="Arial" w:hAnsi="Arial"/>
          <w:b/>
          <w:sz w:val="22"/>
          <w:szCs w:val="22"/>
          <w:u w:val="single"/>
        </w:rPr>
        <w:t xml:space="preserve">, na ktorý je zriadené záložné právo a dlhodobý hmotný majetok, pri ktorom má účtovná jednotka obmedzené právo s ním nakladať </w:t>
      </w:r>
    </w:p>
    <w:p>
      <w:pPr>
        <w:pStyle w:val="style0"/>
        <w:ind w:hanging="0" w:left="0" w:right="-468"/>
        <w:jc w:val="both"/>
      </w:pPr>
      <w:r>
        <w:rPr>
          <w:rFonts w:ascii="Arial" w:cs="Arial" w:hAnsi="Arial"/>
          <w:sz w:val="22"/>
          <w:szCs w:val="22"/>
        </w:rPr>
      </w:r>
    </w:p>
    <w:p>
      <w:pPr>
        <w:pStyle w:val="style0"/>
        <w:spacing w:after="120" w:before="0"/>
        <w:ind w:hanging="0" w:left="0" w:right="-471"/>
        <w:jc w:val="both"/>
      </w:pPr>
      <w:r>
        <w:rPr>
          <w:rFonts w:ascii="Arial" w:cs="Arial" w:hAnsi="Arial"/>
          <w:sz w:val="22"/>
          <w:szCs w:val="22"/>
        </w:rPr>
        <w:t>Informácie o založenom dlhodobom hmotnom majetku sú v nasledujúcej tabuľke:</w:t>
      </w:r>
    </w:p>
    <w:p>
      <w:pPr>
        <w:pStyle w:val="style0"/>
        <w:spacing w:after="120" w:before="0"/>
        <w:ind w:hanging="0" w:left="0" w:right="-471"/>
        <w:jc w:val="both"/>
      </w:pPr>
      <w:r>
        <w:rPr>
          <w:rFonts w:ascii="Arial" w:cs="Arial" w:hAnsi="Arial"/>
          <w:sz w:val="22"/>
          <w:szCs w:val="22"/>
          <w:u w:val="single"/>
        </w:rPr>
      </w:r>
    </w:p>
    <w:tbl>
      <w:tblPr>
        <w:jc w:val="left"/>
        <w:tblInd w:type="dxa" w:w="10"/>
        <w:tblBorders/>
      </w:tblPr>
      <w:tblGrid>
        <w:gridCol w:w="8626"/>
      </w:tblGrid>
      <w:tr>
        <w:trPr>
          <w:trHeight w:hRule="atLeast" w:val="330"/>
          <w:cantSplit w:val="false"/>
        </w:trPr>
        <w:tc>
          <w:tcPr>
            <w:tcW w:type="dxa" w:w="8626"/>
            <w:tcBorders/>
            <w:shd w:fill="FFFFFF" w:val="clear"/>
            <w:tcMar>
              <w:top w:type="dxa" w:w="0"/>
              <w:left w:type="dxa" w:w="70"/>
              <w:bottom w:type="dxa" w:w="0"/>
              <w:right w:type="dxa" w:w="70"/>
            </w:tcMar>
            <w:vAlign w:val="bottom"/>
          </w:tcPr>
          <w:tbl>
            <w:tblPr>
              <w:jc w:val="left"/>
              <w:tblInd w:type="dxa" w:w="-50"/>
              <w:tblBorders/>
            </w:tblPr>
            <w:tblGrid>
              <w:gridCol w:w="8971"/>
            </w:tblGrid>
            <w:tr>
              <w:trPr>
                <w:trHeight w:hRule="atLeast" w:val="330"/>
                <w:cantSplit w:val="false"/>
              </w:trPr>
              <w:tc>
                <w:tcPr>
                  <w:tcW w:type="dxa" w:w="8971"/>
                  <w:tcBorders/>
                  <w:shd w:fill="FFFFFF" w:val="clear"/>
                  <w:tcMar>
                    <w:top w:type="dxa" w:w="0"/>
                    <w:left w:type="dxa" w:w="70"/>
                    <w:bottom w:type="dxa" w:w="0"/>
                    <w:right w:type="dxa" w:w="70"/>
                  </w:tcMar>
                  <w:vAlign w:val="bottom"/>
                </w:tcPr>
                <w:p>
                  <w:pPr>
                    <w:pStyle w:val="style0"/>
                  </w:pPr>
                  <w:bookmarkStart w:id="4" w:name="_MON_1455958206"/>
                  <w:bookmarkEnd w:id="4"/>
                  <w:r>
                    <w:rPr/>
                  </w:r>
                </w:p>
              </w:tc>
            </w:tr>
            <w:tr>
              <w:trPr>
                <w:trHeight w:hRule="atLeast" w:val="330"/>
                <w:cantSplit w:val="false"/>
              </w:trPr>
              <w:tc>
                <w:tcPr>
                  <w:tcW w:type="dxa" w:w="8971"/>
                  <w:tcBorders/>
                  <w:shd w:fill="FFFFFF" w:val="clear"/>
                  <w:tcMar>
                    <w:top w:type="dxa" w:w="0"/>
                    <w:left w:type="dxa" w:w="70"/>
                    <w:bottom w:type="dxa" w:w="0"/>
                    <w:right w:type="dxa" w:w="70"/>
                  </w:tcMar>
                  <w:vAlign w:val="bottom"/>
                </w:tcPr>
                <w:p>
                  <w:pPr>
                    <w:pStyle w:val="style0"/>
                  </w:pPr>
                  <w:r>
                    <w:rPr>
                      <w:rFonts w:ascii="Arial Narrow" w:cs="Calibri" w:hAnsi="Arial Narrow"/>
                      <w:b/>
                      <w:bCs/>
                      <w:sz w:val="22"/>
                      <w:szCs w:val="22"/>
                    </w:rPr>
                  </w:r>
                </w:p>
              </w:tc>
            </w:tr>
          </w:tbl>
          <w:p>
            <w:pPr>
              <w:pStyle w:val="style0"/>
            </w:pPr>
            <w:r>
              <w:rPr>
                <w:rFonts w:ascii="Arial Narrow" w:cs="Calibri" w:hAnsi="Arial Narrow"/>
                <w:b/>
                <w:bCs/>
                <w:sz w:val="22"/>
                <w:szCs w:val="22"/>
              </w:rPr>
            </w:r>
          </w:p>
        </w:tc>
      </w:tr>
    </w:tbl>
    <w:p>
      <w:pPr>
        <w:pStyle w:val="style0"/>
        <w:jc w:val="both"/>
      </w:pPr>
      <w:r>
        <w:rPr>
          <w:rFonts w:ascii="Arial" w:cs="Arial" w:hAnsi="Arial"/>
          <w:sz w:val="22"/>
          <w:szCs w:val="22"/>
        </w:rPr>
        <w:t xml:space="preserve">Účtová jednotka okrem založeného dlhodobého majetku k poskytnutým úverom nemá iné obmedzenia v práve s nakladaním majetku. Spoločnosť užíva nevysporiadané pozemky, ktoré sú v riešení v rámci majetkovo-právneho vysporiadania. </w:t>
      </w:r>
    </w:p>
    <w:p>
      <w:pPr>
        <w:pStyle w:val="style0"/>
        <w:jc w:val="both"/>
      </w:pPr>
      <w:r>
        <w:rPr>
          <w:rFonts w:ascii="Arial" w:cs="Arial" w:hAnsi="Arial"/>
          <w:sz w:val="22"/>
          <w:szCs w:val="22"/>
        </w:rPr>
      </w:r>
    </w:p>
    <w:p>
      <w:pPr>
        <w:pStyle w:val="style0"/>
        <w:jc w:val="both"/>
      </w:pPr>
      <w:r>
        <w:rPr>
          <w:rFonts w:ascii="Arial" w:cs="Arial" w:hAnsi="Arial"/>
          <w:sz w:val="22"/>
          <w:szCs w:val="22"/>
          <w:u w:val="single"/>
        </w:rPr>
        <w:t>Popis záložných práv k dlhodobému hmotnému majetku</w:t>
      </w:r>
      <w:r>
        <w:rPr>
          <w:rFonts w:ascii="Arial" w:cs="Arial" w:hAnsi="Arial"/>
          <w:sz w:val="22"/>
          <w:szCs w:val="22"/>
        </w:rPr>
        <w:t>:</w:t>
      </w:r>
    </w:p>
    <w:p>
      <w:pPr>
        <w:pStyle w:val="style0"/>
        <w:jc w:val="both"/>
      </w:pPr>
      <w:r>
        <w:rPr>
          <w:rFonts w:ascii="Arial" w:cs="Arial" w:hAnsi="Arial"/>
          <w:sz w:val="22"/>
          <w:szCs w:val="22"/>
        </w:rPr>
      </w:r>
    </w:p>
    <w:p>
      <w:pPr>
        <w:pStyle w:val="style0"/>
        <w:jc w:val="both"/>
      </w:pPr>
      <w:r>
        <w:rPr>
          <w:rFonts w:ascii="Arial" w:cs="Arial" w:hAnsi="Arial"/>
          <w:b/>
          <w:sz w:val="22"/>
          <w:szCs w:val="22"/>
        </w:rPr>
        <w:t xml:space="preserve">1. </w:t>
      </w:r>
      <w:r>
        <w:rPr>
          <w:rFonts w:ascii="Arial" w:cs="Arial" w:hAnsi="Arial"/>
          <w:sz w:val="22"/>
          <w:szCs w:val="22"/>
        </w:rPr>
        <w:t>Zmluva o zriadení záložného práva k ÚZ č. 7/2004: záložné právo je zriadené na nehnuteľný majetok v prospech VÚB a .s. Bratislava a Prima banka Slovensko, a. s. Žilina. Hodnota založeného nehnuteľného majetku je na základe znaleckého posudku č. 6/2006: 9 506 738,37 EUR ( 286 400 000 Sk prepočítané konverzným kurzom 30,126).</w:t>
      </w:r>
    </w:p>
    <w:p>
      <w:pPr>
        <w:pStyle w:val="style0"/>
        <w:jc w:val="both"/>
      </w:pPr>
      <w:r>
        <w:rPr>
          <w:rFonts w:ascii="Arial" w:cs="Arial" w:hAnsi="Arial"/>
          <w:sz w:val="22"/>
          <w:szCs w:val="22"/>
        </w:rPr>
        <w:t>Charakter založeného majetku: ČOV Rajec, Prevádzková budova Rajecké Teplice, SKV Nová Bystrica- Čadca a Žilina.</w:t>
      </w:r>
    </w:p>
    <w:p>
      <w:pPr>
        <w:pStyle w:val="style0"/>
        <w:jc w:val="both"/>
      </w:pPr>
      <w:r>
        <w:rPr>
          <w:rFonts w:ascii="Arial" w:cs="Arial" w:hAnsi="Arial"/>
          <w:b/>
          <w:sz w:val="22"/>
          <w:szCs w:val="22"/>
        </w:rPr>
        <w:t>2.</w:t>
      </w:r>
      <w:r>
        <w:rPr>
          <w:rFonts w:ascii="Arial" w:cs="Arial" w:hAnsi="Arial"/>
          <w:sz w:val="22"/>
          <w:szCs w:val="22"/>
        </w:rPr>
        <w:t xml:space="preserve"> Zmluva o zriadení záložného práva k nehnuteľnostiam č. 9594-2005/1: záložné právo je zriadené na nehnuteľný majetok v prospech Slovenskej záručnej a rozvojovej banky a. s. Bratislava. Hodnota založeného nehnuteľného majetku je na základe znaleckého posudku č. 15/2007: 3 203 213,17 EUR (96 500 000 Sk prepočítané konverzným kurzom 30,126). Charakter založeného majetku: Areál ČOV Čadca, zastavané plochy a nádvoria, prevádzková budova, strojovňa plynojemu, trafostanica vrátane pozemkov.</w:t>
      </w:r>
    </w:p>
    <w:p>
      <w:pPr>
        <w:pStyle w:val="style0"/>
        <w:jc w:val="both"/>
      </w:pPr>
      <w:r>
        <w:rPr>
          <w:rFonts w:ascii="Arial" w:cs="Arial" w:hAnsi="Arial"/>
          <w:b/>
          <w:sz w:val="22"/>
          <w:szCs w:val="22"/>
        </w:rPr>
        <w:t>3.</w:t>
      </w:r>
      <w:r>
        <w:rPr>
          <w:rFonts w:ascii="Arial" w:cs="Arial" w:hAnsi="Arial"/>
          <w:sz w:val="22"/>
          <w:szCs w:val="22"/>
        </w:rPr>
        <w:t xml:space="preserve"> Zmluva o zriadení záložného práva k nehnuteľnostiam nezapísaným do KN  č. UVE  95-94-2005/2 v prospech Slovenskej záručnej a rozvojovej banky a. s. Bratislava zapísané v Notárskom centrálnom registri záložných práv pod č. 1468/2008. Charakter založeného majetku: oplotenie, vonkajšie úpravy, iné stavby.</w:t>
      </w:r>
    </w:p>
    <w:p>
      <w:pPr>
        <w:pStyle w:val="style0"/>
        <w:jc w:val="both"/>
      </w:pPr>
      <w:r>
        <w:rPr>
          <w:rFonts w:ascii="Arial" w:cs="Arial" w:hAnsi="Arial"/>
          <w:b/>
          <w:sz w:val="22"/>
          <w:szCs w:val="22"/>
        </w:rPr>
        <w:t>4.</w:t>
      </w:r>
      <w:r>
        <w:rPr>
          <w:rFonts w:ascii="Arial" w:cs="Arial" w:hAnsi="Arial"/>
          <w:sz w:val="22"/>
          <w:szCs w:val="22"/>
        </w:rPr>
        <w:t xml:space="preserve"> Zmluva o zriadení záložného práva k hnuteľným veciam č. 6178/11/44698.Hodnota založeného hnuteľného majetku je  103 397 259,48 EUR v prospech ČSOB a .s. Bratislava ako zabezpečenie úveru č. 6177/11/44698.</w:t>
      </w:r>
    </w:p>
    <w:p>
      <w:pPr>
        <w:pStyle w:val="style0"/>
        <w:jc w:val="both"/>
      </w:pPr>
      <w:r>
        <w:rPr>
          <w:rFonts w:ascii="Arial" w:cs="Arial" w:hAnsi="Arial"/>
          <w:sz w:val="22"/>
          <w:szCs w:val="22"/>
        </w:rPr>
      </w:r>
    </w:p>
    <w:p>
      <w:pPr>
        <w:pStyle w:val="style0"/>
        <w:jc w:val="both"/>
      </w:pPr>
      <w:r>
        <w:rPr>
          <w:rFonts w:ascii="Arial" w:cs="Arial" w:hAnsi="Arial"/>
          <w:sz w:val="22"/>
          <w:szCs w:val="22"/>
        </w:rPr>
      </w:r>
    </w:p>
    <w:p>
      <w:pPr>
        <w:pStyle w:val="style0"/>
        <w:jc w:val="both"/>
      </w:pPr>
      <w:r>
        <w:rPr>
          <w:rFonts w:ascii="Arial" w:cs="Arial" w:hAnsi="Arial"/>
          <w:b/>
          <w:sz w:val="22"/>
          <w:szCs w:val="22"/>
        </w:rPr>
        <w:t xml:space="preserve">d) </w:t>
      </w:r>
      <w:r>
        <w:rPr>
          <w:rFonts w:ascii="Arial" w:cs="Arial" w:hAnsi="Arial"/>
          <w:b/>
          <w:sz w:val="22"/>
          <w:szCs w:val="22"/>
          <w:u w:val="single"/>
        </w:rPr>
        <w:t>Dlhodobý majetok, pri ktorom vlastnícke právo nadobudol veriteľ zmluvou o zabezpečovacom prevode práva, ale ktorý užíva účtovná jednotka na základe zmluvy o výpožičke</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Spoločnosť neúčtuje o dlhodobom majetku, ku ktorému nadobudla vlastnícke právo zmluvou o zabezpečovacom prevode práva a  tento užíva na základe zmluvy o výpožičke. </w:t>
      </w:r>
    </w:p>
    <w:p>
      <w:pPr>
        <w:pStyle w:val="style0"/>
        <w:jc w:val="both"/>
      </w:pPr>
      <w:r>
        <w:rPr>
          <w:rFonts w:ascii="Arial" w:cs="Arial" w:hAnsi="Arial"/>
          <w:sz w:val="22"/>
          <w:szCs w:val="22"/>
        </w:rPr>
      </w:r>
    </w:p>
    <w:p>
      <w:pPr>
        <w:pStyle w:val="style0"/>
        <w:jc w:val="both"/>
      </w:pPr>
      <w:r>
        <w:rPr>
          <w:rFonts w:ascii="Arial" w:cs="Arial" w:hAnsi="Arial"/>
          <w:b/>
          <w:sz w:val="22"/>
          <w:szCs w:val="22"/>
        </w:rPr>
        <w:t>e)</w:t>
      </w:r>
      <w:r>
        <w:rPr>
          <w:rFonts w:ascii="Arial" w:cs="Arial" w:hAnsi="Arial"/>
          <w:sz w:val="22"/>
          <w:szCs w:val="22"/>
        </w:rPr>
        <w:t xml:space="preserve"> </w:t>
      </w:r>
      <w:r>
        <w:rPr>
          <w:rFonts w:ascii="Arial" w:cs="Arial" w:hAnsi="Arial"/>
          <w:b/>
          <w:sz w:val="22"/>
          <w:szCs w:val="22"/>
          <w:u w:val="single"/>
        </w:rPr>
        <w:t>Nadobudnutý dlhodobý nehnuteľný majetok</w:t>
      </w:r>
      <w:r>
        <w:rPr>
          <w:rFonts w:ascii="Arial" w:cs="Arial" w:hAnsi="Arial"/>
          <w:sz w:val="22"/>
          <w:szCs w:val="22"/>
        </w:rPr>
        <w:t xml:space="preserve"> alebo prevedený dlhodobý nehnuteľný majetok, pri ktorom nebolo vlastnícke právo zapísané vkladom do katastra nehnuteľností do dňa, ku ktorému sa zostavuje účtovná závierka, pričom účtovná jednotka tento majetok užíva. Spoločnosť využíva dlhodobý hmotný majetok obcí a miest na základe dlhodobých nájomných zmlúv.</w:t>
      </w:r>
    </w:p>
    <w:p>
      <w:pPr>
        <w:pStyle w:val="style0"/>
        <w:jc w:val="both"/>
      </w:pPr>
      <w:r>
        <w:rPr>
          <w:rFonts w:ascii="Arial" w:cs="Arial" w:hAnsi="Arial"/>
          <w:sz w:val="22"/>
          <w:szCs w:val="22"/>
        </w:rPr>
      </w:r>
    </w:p>
    <w:p>
      <w:pPr>
        <w:pStyle w:val="style0"/>
        <w:jc w:val="both"/>
      </w:pPr>
      <w:r>
        <w:rPr>
          <w:rFonts w:ascii="Arial" w:cs="Arial" w:hAnsi="Arial"/>
          <w:b/>
          <w:sz w:val="22"/>
          <w:szCs w:val="22"/>
        </w:rPr>
        <w:t xml:space="preserve">f) </w:t>
      </w:r>
      <w:r>
        <w:rPr>
          <w:rFonts w:ascii="Arial" w:cs="Arial" w:hAnsi="Arial"/>
          <w:b/>
          <w:sz w:val="22"/>
          <w:szCs w:val="22"/>
          <w:u w:val="single"/>
        </w:rPr>
        <w:t>Majetok, ktorým je goodwill</w:t>
      </w:r>
      <w:r>
        <w:rPr>
          <w:rFonts w:ascii="Arial" w:cs="Arial" w:hAnsi="Arial"/>
          <w:sz w:val="22"/>
          <w:szCs w:val="22"/>
        </w:rPr>
        <w:t xml:space="preserve"> a o spôsobe výpočtu jeho hodnoty:</w:t>
      </w:r>
    </w:p>
    <w:p>
      <w:pPr>
        <w:pStyle w:val="style0"/>
        <w:jc w:val="both"/>
      </w:pPr>
      <w:r>
        <w:rPr>
          <w:rFonts w:ascii="Arial" w:cs="Arial" w:hAnsi="Arial"/>
          <w:sz w:val="22"/>
          <w:szCs w:val="22"/>
        </w:rPr>
      </w:r>
    </w:p>
    <w:p>
      <w:pPr>
        <w:pStyle w:val="style0"/>
        <w:jc w:val="both"/>
      </w:pPr>
      <w:r>
        <w:rPr>
          <w:rFonts w:ascii="Arial" w:cs="Arial" w:hAnsi="Arial"/>
          <w:sz w:val="22"/>
          <w:szCs w:val="22"/>
        </w:rPr>
        <w:t>Spoločnosť goodwill neúčtuje.</w:t>
      </w:r>
    </w:p>
    <w:p>
      <w:pPr>
        <w:pStyle w:val="style0"/>
        <w:jc w:val="both"/>
      </w:pPr>
      <w:r>
        <w:rPr>
          <w:rFonts w:ascii="Arial" w:cs="Arial" w:hAnsi="Arial"/>
          <w:sz w:val="22"/>
          <w:szCs w:val="22"/>
        </w:rPr>
        <w:t xml:space="preserve"> </w:t>
      </w:r>
    </w:p>
    <w:p>
      <w:pPr>
        <w:pStyle w:val="style0"/>
        <w:jc w:val="both"/>
      </w:pPr>
      <w:r>
        <w:rPr>
          <w:rFonts w:ascii="Arial" w:cs="Arial" w:hAnsi="Arial"/>
          <w:b/>
          <w:sz w:val="22"/>
          <w:szCs w:val="22"/>
        </w:rPr>
        <w:t>g)</w:t>
      </w:r>
      <w:r>
        <w:rPr>
          <w:rFonts w:ascii="Arial" w:cs="Arial" w:hAnsi="Arial"/>
          <w:b/>
          <w:sz w:val="22"/>
          <w:szCs w:val="22"/>
          <w:u w:val="single"/>
        </w:rPr>
        <w:t xml:space="preserve"> Údaje, ktoré sa účtujú na účte 097 – Opravná položka k nadobudnutému majetku</w:t>
      </w:r>
    </w:p>
    <w:p>
      <w:pPr>
        <w:pStyle w:val="style0"/>
        <w:jc w:val="both"/>
      </w:pPr>
      <w:r>
        <w:rPr>
          <w:rFonts w:ascii="Arial" w:cs="Arial" w:hAnsi="Arial"/>
          <w:sz w:val="22"/>
          <w:szCs w:val="22"/>
        </w:rPr>
        <w:t xml:space="preserve"> </w:t>
      </w:r>
    </w:p>
    <w:p>
      <w:pPr>
        <w:pStyle w:val="style0"/>
        <w:jc w:val="both"/>
      </w:pPr>
      <w:r>
        <w:rPr>
          <w:rFonts w:ascii="Arial" w:cs="Arial" w:hAnsi="Arial"/>
          <w:sz w:val="22"/>
          <w:szCs w:val="22"/>
        </w:rPr>
        <w:t>Spoločnosť neúčtuje o opravnej položke k nadobudnutému majetku.</w:t>
      </w:r>
    </w:p>
    <w:p>
      <w:pPr>
        <w:pStyle w:val="style0"/>
        <w:jc w:val="both"/>
      </w:pPr>
      <w:r>
        <w:rPr>
          <w:rFonts w:ascii="Arial" w:cs="Arial" w:hAnsi="Arial"/>
          <w:sz w:val="22"/>
          <w:szCs w:val="22"/>
        </w:rPr>
      </w:r>
    </w:p>
    <w:p>
      <w:pPr>
        <w:pStyle w:val="style0"/>
        <w:spacing w:after="120" w:before="0"/>
        <w:jc w:val="both"/>
      </w:pPr>
      <w:r>
        <w:rPr>
          <w:rFonts w:ascii="Arial" w:cs="Arial" w:hAnsi="Arial"/>
          <w:b/>
          <w:sz w:val="22"/>
          <w:szCs w:val="22"/>
        </w:rPr>
        <w:t xml:space="preserve">h) </w:t>
      </w:r>
      <w:r>
        <w:rPr>
          <w:rFonts w:ascii="Arial" w:cs="Arial" w:hAnsi="Arial"/>
          <w:b/>
          <w:sz w:val="22"/>
          <w:szCs w:val="22"/>
          <w:u w:val="single"/>
        </w:rPr>
        <w:t>Výskumná a vývojová činnosť účtovnej jednotky za bežné účtovné obdobie</w:t>
      </w:r>
      <w:r>
        <w:rPr>
          <w:rFonts w:ascii="Arial" w:cs="Arial" w:hAnsi="Arial"/>
          <w:sz w:val="22"/>
          <w:szCs w:val="22"/>
        </w:rPr>
        <w:t xml:space="preserve">  </w:t>
      </w:r>
    </w:p>
    <w:p>
      <w:pPr>
        <w:pStyle w:val="style0"/>
        <w:jc w:val="both"/>
      </w:pPr>
      <w:r>
        <w:rPr>
          <w:rFonts w:ascii="Arial" w:cs="Arial" w:hAnsi="Arial"/>
          <w:sz w:val="22"/>
          <w:szCs w:val="22"/>
        </w:rPr>
      </w:r>
    </w:p>
    <w:p>
      <w:pPr>
        <w:pStyle w:val="style0"/>
        <w:jc w:val="both"/>
      </w:pPr>
      <w:r>
        <w:rPr>
          <w:rFonts w:ascii="Arial" w:cs="Arial" w:hAnsi="Arial"/>
          <w:sz w:val="22"/>
          <w:szCs w:val="22"/>
        </w:rPr>
        <w:t>Členenie nákladov:</w:t>
      </w:r>
    </w:p>
    <w:p>
      <w:pPr>
        <w:pStyle w:val="style0"/>
        <w:jc w:val="both"/>
      </w:pPr>
      <w:r>
        <w:rPr>
          <w:rFonts w:ascii="Arial" w:cs="Arial" w:hAnsi="Arial"/>
          <w:sz w:val="22"/>
          <w:szCs w:val="22"/>
        </w:rPr>
      </w:r>
    </w:p>
    <w:p>
      <w:pPr>
        <w:pStyle w:val="style0"/>
        <w:jc w:val="both"/>
      </w:pPr>
      <w:r>
        <w:rPr>
          <w:rFonts w:ascii="Arial" w:cs="Arial" w:hAnsi="Arial"/>
          <w:sz w:val="22"/>
          <w:szCs w:val="22"/>
        </w:rPr>
        <w:t>1.  Náklady na výskum v bežnom účtovnom období.</w:t>
      </w:r>
    </w:p>
    <w:p>
      <w:pPr>
        <w:pStyle w:val="style0"/>
        <w:jc w:val="both"/>
      </w:pPr>
      <w:r>
        <w:rPr>
          <w:rFonts w:ascii="Arial" w:cs="Arial" w:hAnsi="Arial"/>
          <w:sz w:val="22"/>
          <w:szCs w:val="22"/>
        </w:rPr>
        <w:t>2.  Neaktivované náklady na vývoj v bežnom účtovnom období.</w:t>
      </w:r>
    </w:p>
    <w:p>
      <w:pPr>
        <w:pStyle w:val="style0"/>
        <w:jc w:val="both"/>
      </w:pPr>
      <w:r>
        <w:rPr>
          <w:rFonts w:ascii="Arial" w:cs="Arial" w:hAnsi="Arial"/>
          <w:sz w:val="22"/>
          <w:szCs w:val="22"/>
        </w:rPr>
        <w:t>3.  Aktivované náklady na vývoj v bežnom účtovnom období.</w:t>
      </w:r>
    </w:p>
    <w:p>
      <w:pPr>
        <w:pStyle w:val="style0"/>
        <w:jc w:val="both"/>
      </w:pPr>
      <w:r>
        <w:rPr>
          <w:rFonts w:ascii="Arial" w:cs="Arial" w:hAnsi="Arial"/>
          <w:sz w:val="22"/>
          <w:szCs w:val="22"/>
        </w:rPr>
      </w:r>
    </w:p>
    <w:p>
      <w:pPr>
        <w:pStyle w:val="style0"/>
        <w:jc w:val="both"/>
      </w:pPr>
      <w:r>
        <w:rPr>
          <w:rFonts w:ascii="Arial" w:cs="Arial" w:hAnsi="Arial"/>
          <w:sz w:val="22"/>
          <w:szCs w:val="22"/>
        </w:rPr>
        <w:t>Spoločnosť v období od 1.1.2013 do 31.12.2013 o uvedených nákladoch neúčtovala.</w:t>
      </w:r>
    </w:p>
    <w:p>
      <w:pPr>
        <w:pStyle w:val="style0"/>
        <w:jc w:val="both"/>
      </w:pPr>
      <w:r>
        <w:rPr>
          <w:rFonts w:ascii="Arial" w:cs="Arial" w:hAnsi="Arial"/>
          <w:sz w:val="22"/>
          <w:szCs w:val="22"/>
        </w:rPr>
      </w:r>
    </w:p>
    <w:p>
      <w:pPr>
        <w:pStyle w:val="style0"/>
        <w:jc w:val="both"/>
      </w:pPr>
      <w:r>
        <w:rPr>
          <w:rFonts w:ascii="Arial" w:cs="Arial" w:hAnsi="Arial"/>
          <w:b/>
          <w:sz w:val="22"/>
          <w:szCs w:val="22"/>
        </w:rPr>
        <w:t>i)</w:t>
      </w:r>
      <w:r>
        <w:rPr>
          <w:rFonts w:ascii="Arial" w:cs="Arial" w:hAnsi="Arial"/>
          <w:sz w:val="22"/>
          <w:szCs w:val="22"/>
        </w:rPr>
        <w:t xml:space="preserve"> </w:t>
      </w:r>
      <w:r>
        <w:rPr>
          <w:rFonts w:ascii="Arial" w:cs="Arial" w:hAnsi="Arial"/>
          <w:b/>
          <w:sz w:val="22"/>
          <w:szCs w:val="22"/>
          <w:u w:val="single"/>
        </w:rPr>
        <w:t>Štruktúra dlhodobého finančného majetku</w:t>
      </w:r>
      <w:r>
        <w:rPr>
          <w:rFonts w:ascii="Arial" w:cs="Arial" w:hAnsi="Arial"/>
          <w:sz w:val="22"/>
          <w:szCs w:val="22"/>
        </w:rPr>
        <w:t xml:space="preserve"> za bežné účtovné obdobie a jeho umiestnenie v členení podľa    jednotlivých položiek súvahy je uvedené v nasledujúcej tabuľke:</w:t>
      </w:r>
    </w:p>
    <w:p>
      <w:pPr>
        <w:pStyle w:val="style0"/>
        <w:jc w:val="both"/>
      </w:pPr>
      <w:r>
        <w:rPr>
          <w:rFonts w:ascii="Arial" w:cs="Arial" w:hAnsi="Arial"/>
          <w:sz w:val="22"/>
          <w:szCs w:val="22"/>
        </w:rPr>
      </w:r>
    </w:p>
    <w:p>
      <w:pPr>
        <w:pStyle w:val="style0"/>
        <w:jc w:val="both"/>
      </w:pPr>
      <w:bookmarkStart w:id="5" w:name="_MON_1457450932"/>
      <w:bookmarkEnd w:id="5"/>
      <w:r>
        <w:rPr/>
      </w:r>
    </w:p>
    <w:p>
      <w:pPr>
        <w:pStyle w:val="style0"/>
      </w:pPr>
      <w:r>
        <w:rPr>
          <w:rFonts w:ascii="Arial" w:cs="Arial" w:hAnsi="Arial"/>
          <w:b/>
          <w:sz w:val="22"/>
          <w:szCs w:val="22"/>
        </w:rPr>
      </w:r>
    </w:p>
    <w:p>
      <w:pPr>
        <w:pStyle w:val="style0"/>
      </w:pPr>
      <w:r>
        <w:rPr>
          <w:rFonts w:ascii="Arial" w:cs="Arial" w:hAnsi="Arial"/>
          <w:b/>
          <w:sz w:val="22"/>
          <w:szCs w:val="22"/>
        </w:rPr>
        <w:t xml:space="preserve">j) </w:t>
      </w:r>
      <w:r>
        <w:rPr>
          <w:rFonts w:ascii="Arial" w:cs="Arial" w:hAnsi="Arial"/>
          <w:b/>
          <w:sz w:val="22"/>
          <w:szCs w:val="22"/>
          <w:u w:val="single"/>
        </w:rPr>
        <w:t>Obstarávacia cena zložiek</w:t>
      </w:r>
      <w:r>
        <w:rPr>
          <w:rFonts w:ascii="Arial" w:cs="Arial" w:hAnsi="Arial"/>
          <w:b/>
          <w:sz w:val="22"/>
          <w:szCs w:val="22"/>
        </w:rPr>
        <w:t xml:space="preserve"> </w:t>
      </w:r>
      <w:r>
        <w:rPr>
          <w:rFonts w:ascii="Arial" w:cs="Arial" w:hAnsi="Arial"/>
          <w:b/>
          <w:sz w:val="22"/>
          <w:szCs w:val="22"/>
          <w:u w:val="single"/>
        </w:rPr>
        <w:t>dlhodobého finančného majetku</w:t>
      </w:r>
      <w:r>
        <w:rPr>
          <w:rFonts w:ascii="Arial" w:cs="Arial" w:hAnsi="Arial"/>
          <w:sz w:val="22"/>
          <w:szCs w:val="22"/>
        </w:rPr>
        <w:t xml:space="preserve">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V  členení podľa jednotlivých položiek súvahy na začiatku bežného účtovného obdobia, prírastky, úbytky a presuny tohto majetku v obstarávacej cene počas bežného účtovného obdobia a stav na konci bežného účtovného obdobia.</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Informácie sú uvedené v nasledujúcich tabuľkách: </w:t>
      </w:r>
    </w:p>
    <w:p>
      <w:pPr>
        <w:pStyle w:val="style0"/>
        <w:ind w:hanging="0" w:left="0" w:right="-468"/>
        <w:jc w:val="both"/>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t>Tabuľka č. 1</w:t>
      </w:r>
    </w:p>
    <w:p>
      <w:pPr>
        <w:pStyle w:val="style0"/>
        <w:ind w:hanging="0" w:left="0" w:right="-468"/>
        <w:jc w:val="both"/>
      </w:pPr>
      <w:bookmarkStart w:id="6" w:name="_MON_1456048754"/>
      <w:bookmarkEnd w:id="6"/>
      <w:r>
        <w:rPr/>
      </w:r>
    </w:p>
    <w:p>
      <w:pPr>
        <w:pStyle w:val="style0"/>
        <w:ind w:hanging="0" w:left="0" w:right="-468"/>
        <w:jc w:val="both"/>
      </w:pPr>
      <w:r>
        <w:rPr>
          <w:rFonts w:ascii="Arial" w:cs="Arial" w:hAnsi="Arial"/>
          <w:sz w:val="22"/>
          <w:szCs w:val="22"/>
        </w:rPr>
      </w:r>
    </w:p>
    <w:p>
      <w:pPr>
        <w:pStyle w:val="style0"/>
        <w:spacing w:after="120" w:before="0"/>
        <w:ind w:hanging="0" w:left="0" w:right="-471"/>
        <w:jc w:val="both"/>
      </w:pPr>
      <w:r>
        <w:rPr>
          <w:rFonts w:ascii="Arial" w:cs="Arial" w:hAnsi="Arial"/>
          <w:sz w:val="22"/>
          <w:szCs w:val="22"/>
        </w:rPr>
        <w:t>Spoločnosť v roku 2013 odpredala svoj obchodný podiel v spoločnosti SVS inžiniering s .r. o., ktorý je zaúčtovaný na účte 063 100 vo výške 1 129 EUR. Výnos z predaja je 37 315 EUR.</w:t>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r>
        <w:rPr>
          <w:rFonts w:ascii="Arial" w:cs="Arial" w:hAnsi="Arial"/>
          <w:sz w:val="22"/>
          <w:szCs w:val="22"/>
        </w:rPr>
        <w:t>Tabuľka č.2</w:t>
      </w:r>
    </w:p>
    <w:p>
      <w:pPr>
        <w:pStyle w:val="style0"/>
        <w:spacing w:after="120" w:before="0"/>
        <w:ind w:hanging="0" w:left="0" w:right="-471"/>
        <w:jc w:val="both"/>
      </w:pPr>
      <w:r>
        <w:rPr/>
      </w:r>
    </w:p>
    <w:p>
      <w:pPr>
        <w:pStyle w:val="style0"/>
        <w:spacing w:after="120" w:before="0"/>
        <w:ind w:hanging="0" w:left="0" w:right="-471"/>
        <w:jc w:val="both"/>
      </w:pPr>
      <w:r>
        <w:rPr>
          <w:rFonts w:ascii="Arial" w:cs="Arial" w:hAnsi="Arial"/>
          <w:sz w:val="22"/>
          <w:szCs w:val="22"/>
        </w:rPr>
        <w:t>Spoločnosť nemá za bežné účtovné obdobie od 1.januára 2013 do  31.decembra 2013 na dlhodobý finančný majetok zriadené záložné právo a ani právo obmedzeného nakladania s ním.</w:t>
      </w:r>
    </w:p>
    <w:p>
      <w:pPr>
        <w:pStyle w:val="style0"/>
        <w:spacing w:after="120" w:before="0"/>
        <w:ind w:hanging="0" w:left="0" w:right="-471"/>
        <w:jc w:val="both"/>
      </w:pPr>
      <w:r>
        <w:rPr>
          <w:rFonts w:ascii="Arial" w:cs="Arial" w:hAnsi="Arial"/>
          <w:b/>
          <w:sz w:val="22"/>
          <w:szCs w:val="22"/>
        </w:rPr>
        <w:t xml:space="preserve">k) </w:t>
      </w:r>
      <w:r>
        <w:rPr>
          <w:rFonts w:ascii="Arial" w:cs="Arial" w:hAnsi="Arial"/>
          <w:b/>
          <w:sz w:val="22"/>
          <w:szCs w:val="22"/>
          <w:u w:val="single"/>
        </w:rPr>
        <w:t>Opravné položky podľa zložiek dlhodobého finančného majetku</w:t>
      </w:r>
      <w:r>
        <w:rPr>
          <w:rFonts w:ascii="Arial" w:cs="Arial" w:hAnsi="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w:t>
      </w:r>
    </w:p>
    <w:p>
      <w:pPr>
        <w:pStyle w:val="style0"/>
        <w:spacing w:after="120" w:before="0"/>
        <w:ind w:hanging="0" w:left="0" w:right="-471"/>
        <w:jc w:val="both"/>
      </w:pPr>
      <w:r>
        <w:rPr>
          <w:rFonts w:ascii="Arial" w:cs="Arial" w:hAnsi="Arial"/>
          <w:sz w:val="22"/>
          <w:szCs w:val="22"/>
        </w:rPr>
        <w:t>Spoločnosť o opravných položkách k dlhodobému finančnému majetku neúčtuje.</w:t>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r>
        <w:rPr>
          <w:rFonts w:ascii="Arial" w:cs="Arial" w:hAnsi="Arial"/>
          <w:b/>
          <w:sz w:val="22"/>
          <w:szCs w:val="22"/>
        </w:rPr>
        <w:t>l)</w:t>
      </w:r>
      <w:r>
        <w:rPr>
          <w:rFonts w:ascii="Arial" w:cs="Arial" w:hAnsi="Arial"/>
          <w:b/>
          <w:sz w:val="22"/>
          <w:szCs w:val="22"/>
          <w:u w:val="single"/>
        </w:rPr>
        <w:t xml:space="preserve"> Zmeny v jednotlivých zložkách dlhodobého finančného majetku</w:t>
      </w:r>
      <w:r>
        <w:rPr>
          <w:rFonts w:ascii="Arial" w:cs="Arial" w:hAnsi="Arial"/>
          <w:b/>
          <w:sz w:val="22"/>
          <w:szCs w:val="22"/>
        </w:rPr>
        <w:t xml:space="preserve"> </w:t>
      </w:r>
    </w:p>
    <w:p>
      <w:pPr>
        <w:pStyle w:val="style0"/>
        <w:spacing w:after="120" w:before="0"/>
        <w:ind w:hanging="0" w:left="0" w:right="-471"/>
        <w:jc w:val="both"/>
      </w:pPr>
      <w:r>
        <w:rPr>
          <w:rFonts w:ascii="Arial" w:cs="Arial" w:hAnsi="Arial"/>
          <w:sz w:val="22"/>
          <w:szCs w:val="22"/>
        </w:rPr>
        <w:t>Spoločnosť o dlhových cenných papieroch držaných do splatnosti  a o dlhodobých pôžičkách  od 01.01.2013 do 31.12.2013 neúčtovala.</w:t>
      </w:r>
    </w:p>
    <w:p>
      <w:pPr>
        <w:pStyle w:val="style0"/>
        <w:ind w:hanging="0" w:left="0" w:right="-468"/>
        <w:jc w:val="both"/>
      </w:pPr>
      <w:r>
        <w:rPr>
          <w:rFonts w:ascii="Arial" w:cs="Arial" w:hAnsi="Arial"/>
          <w:color w:val="FF0000"/>
          <w:sz w:val="22"/>
          <w:szCs w:val="22"/>
          <w:u w:val="single"/>
        </w:rPr>
      </w:r>
    </w:p>
    <w:p>
      <w:pPr>
        <w:pStyle w:val="style0"/>
        <w:ind w:hanging="0" w:left="0" w:right="-468"/>
        <w:jc w:val="both"/>
      </w:pPr>
      <w:r>
        <w:rPr>
          <w:rFonts w:ascii="Arial" w:cs="Arial" w:hAnsi="Arial"/>
          <w:b/>
          <w:sz w:val="22"/>
          <w:szCs w:val="22"/>
        </w:rPr>
        <w:t xml:space="preserve">m) </w:t>
      </w:r>
      <w:r>
        <w:rPr>
          <w:rFonts w:ascii="Arial" w:cs="Arial" w:hAnsi="Arial"/>
          <w:b/>
          <w:sz w:val="22"/>
          <w:szCs w:val="22"/>
          <w:u w:val="single"/>
        </w:rPr>
        <w:t>Dlhodobý finančný majetok</w:t>
      </w:r>
      <w:r>
        <w:rPr>
          <w:rFonts w:ascii="Arial" w:cs="Arial" w:hAnsi="Arial"/>
          <w:sz w:val="22"/>
          <w:szCs w:val="22"/>
        </w:rPr>
        <w:t xml:space="preserve">, na ktorý je </w:t>
      </w:r>
      <w:r>
        <w:rPr>
          <w:rFonts w:ascii="Arial" w:cs="Arial" w:hAnsi="Arial"/>
          <w:sz w:val="22"/>
          <w:szCs w:val="22"/>
          <w:u w:val="single"/>
        </w:rPr>
        <w:t>zriadené záložné právo</w:t>
      </w:r>
      <w:r>
        <w:rPr>
          <w:rFonts w:ascii="Arial" w:cs="Arial" w:hAnsi="Arial"/>
          <w:sz w:val="22"/>
          <w:szCs w:val="22"/>
        </w:rPr>
        <w:t xml:space="preserve"> a o dlhodobom majetku, pri ktorom má účtovná jednotka obmedzené právo s ním nakladať. </w:t>
      </w:r>
    </w:p>
    <w:p>
      <w:pPr>
        <w:pStyle w:val="style0"/>
        <w:ind w:hanging="0" w:left="0" w:right="-468"/>
        <w:jc w:val="both"/>
      </w:pPr>
      <w:r>
        <w:rPr>
          <w:rFonts w:ascii="Arial" w:cs="Arial" w:hAnsi="Arial"/>
          <w:sz w:val="22"/>
          <w:szCs w:val="22"/>
        </w:rPr>
        <w:t>Účtovná jednotka nemá zriadené záložné právo k dlhodobému finančnému majetku, pri ktorom má obmedzené právo s ním nakladať.</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n) </w:t>
      </w:r>
      <w:r>
        <w:rPr>
          <w:rFonts w:ascii="Arial" w:cs="Arial" w:hAnsi="Arial"/>
          <w:b/>
          <w:sz w:val="22"/>
          <w:szCs w:val="22"/>
          <w:u w:val="single"/>
        </w:rPr>
        <w:t>Ocenenie dlhodobého finančného majetku</w:t>
      </w:r>
      <w:r>
        <w:rPr>
          <w:rFonts w:ascii="Arial" w:cs="Arial" w:hAnsi="Arial"/>
          <w:sz w:val="22"/>
          <w:szCs w:val="22"/>
          <w:u w:val="single"/>
        </w:rPr>
        <w:t xml:space="preserve"> </w:t>
      </w:r>
      <w:r>
        <w:rPr>
          <w:rFonts w:ascii="Arial" w:cs="Arial" w:hAnsi="Arial"/>
          <w:sz w:val="22"/>
          <w:szCs w:val="22"/>
        </w:rPr>
        <w:t xml:space="preserve">ku dňu, ku ktorému sa zostavuje účtovná závierka </w:t>
      </w:r>
      <w:r>
        <w:rPr>
          <w:rFonts w:ascii="Arial" w:cs="Arial" w:hAnsi="Arial"/>
          <w:sz w:val="22"/>
          <w:szCs w:val="22"/>
          <w:u w:val="single"/>
        </w:rPr>
        <w:t>reálnou hodnotou</w:t>
      </w:r>
      <w:r>
        <w:rPr>
          <w:rFonts w:ascii="Arial" w:cs="Arial" w:hAnsi="Arial"/>
          <w:sz w:val="22"/>
          <w:szCs w:val="22"/>
        </w:rPr>
        <w:t xml:space="preserve"> alebo metódou vlastného imania, pričom sa uvádza vplyv takéhoto ocenenia na výsledok hospodárenia a na výšku vlastného imania Spoločnosť nevykazuje.</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o) </w:t>
      </w:r>
      <w:r>
        <w:rPr>
          <w:rFonts w:ascii="Arial" w:cs="Arial" w:hAnsi="Arial"/>
          <w:b/>
          <w:sz w:val="22"/>
          <w:szCs w:val="22"/>
          <w:u w:val="single"/>
        </w:rPr>
        <w:t>Opravné položky k zásobám</w:t>
      </w:r>
      <w:r>
        <w:rPr>
          <w:rFonts w:ascii="Arial" w:cs="Arial" w:hAnsi="Arial"/>
          <w:sz w:val="22"/>
          <w:szCs w:val="22"/>
        </w:rPr>
        <w:t xml:space="preserve">: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Spoločnosť netvorila opravné položky k zásobám. Záložné právo na zásoby nie je zriadené.</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q) </w:t>
      </w:r>
      <w:r>
        <w:rPr>
          <w:rFonts w:ascii="Arial" w:cs="Arial" w:hAnsi="Arial"/>
          <w:b/>
          <w:sz w:val="22"/>
          <w:szCs w:val="22"/>
          <w:u w:val="single"/>
        </w:rPr>
        <w:t>Zákazková výroba a zákazková výstavba nehnuteľnosti určenej na predaj</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Spoločnosť jednotka o zákazkovej výrobe neúčtuje.</w:t>
      </w:r>
    </w:p>
    <w:p>
      <w:pPr>
        <w:pStyle w:val="style0"/>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r) </w:t>
      </w:r>
      <w:r>
        <w:rPr>
          <w:rFonts w:ascii="Arial" w:cs="Arial" w:hAnsi="Arial"/>
          <w:b/>
          <w:sz w:val="22"/>
          <w:szCs w:val="22"/>
          <w:u w:val="single"/>
        </w:rPr>
        <w:t>Tvorba, zúčtovanie opravných položiek k pohľadávkam</w:t>
      </w:r>
      <w:r>
        <w:rPr>
          <w:rFonts w:ascii="Arial" w:cs="Arial" w:hAnsi="Arial"/>
          <w:sz w:val="22"/>
          <w:szCs w:val="22"/>
        </w:rPr>
        <w:t xml:space="preserve"> v členení podľa jednotlivých položiek súvahy za bežné účtovné obdobie. Informácie sú uvedené v nasledujúcej tabuľke:</w:t>
      </w:r>
    </w:p>
    <w:p>
      <w:pPr>
        <w:pStyle w:val="style0"/>
        <w:spacing w:after="120" w:before="0"/>
        <w:ind w:hanging="0" w:left="0" w:right="-471"/>
        <w:jc w:val="both"/>
      </w:pPr>
      <w:r>
        <w:rPr>
          <w:rFonts w:ascii="Arial" w:cs="Arial" w:hAnsi="Arial"/>
          <w:sz w:val="22"/>
          <w:szCs w:val="22"/>
        </w:rPr>
      </w:r>
    </w:p>
    <w:p>
      <w:pPr>
        <w:pStyle w:val="style0"/>
      </w:pPr>
      <w:bookmarkStart w:id="7" w:name="_MON_1456050136"/>
      <w:bookmarkEnd w:id="7"/>
      <w:r>
        <w:rPr/>
      </w:r>
    </w:p>
    <w:p>
      <w:pPr>
        <w:pStyle w:val="style0"/>
      </w:pPr>
      <w:r>
        <w:rPr>
          <w:rFonts w:ascii="Arial" w:cs="Arial" w:hAnsi="Arial"/>
          <w:sz w:val="22"/>
          <w:szCs w:val="22"/>
          <w:lang w:eastAsia="en-US"/>
        </w:rPr>
        <w:t>Spoločnosť tvorí účtovné opravné položky vo výške 50 %  k vybraným  pohľadávkam nad 180 dní po lehote splatnosti a vo výške 100 % k pohľadávkam nad 360 dní po lehote splatnosti.</w:t>
      </w:r>
    </w:p>
    <w:p>
      <w:pPr>
        <w:pStyle w:val="style0"/>
        <w:jc w:val="both"/>
      </w:pPr>
      <w:r>
        <w:rPr>
          <w:rFonts w:ascii="Arial" w:cs="Arial" w:hAnsi="Arial"/>
          <w:sz w:val="22"/>
          <w:szCs w:val="22"/>
          <w:lang w:eastAsia="en-US"/>
        </w:rPr>
      </w:r>
    </w:p>
    <w:p>
      <w:pPr>
        <w:pStyle w:val="style0"/>
        <w:ind w:hanging="0" w:left="0" w:right="-468"/>
        <w:jc w:val="both"/>
      </w:pPr>
      <w:r>
        <w:rPr>
          <w:rFonts w:ascii="Arial" w:cs="Arial" w:hAnsi="Arial"/>
          <w:b/>
          <w:sz w:val="22"/>
          <w:szCs w:val="22"/>
        </w:rPr>
        <w:t xml:space="preserve">s) </w:t>
      </w:r>
      <w:r>
        <w:rPr>
          <w:rFonts w:ascii="Arial" w:cs="Arial" w:hAnsi="Arial"/>
          <w:b/>
          <w:sz w:val="22"/>
          <w:szCs w:val="22"/>
          <w:u w:val="single"/>
        </w:rPr>
        <w:t>Hodnota pohľadávok do lehoty splatnosti a po lehote splatnosti</w:t>
      </w:r>
      <w:r>
        <w:rPr>
          <w:rFonts w:ascii="Arial" w:cs="Arial" w:hAnsi="Arial"/>
          <w:sz w:val="22"/>
          <w:szCs w:val="22"/>
        </w:rPr>
        <w:t>:</w:t>
      </w:r>
    </w:p>
    <w:p>
      <w:pPr>
        <w:pStyle w:val="style0"/>
        <w:spacing w:after="120" w:before="0"/>
        <w:ind w:hanging="0" w:left="0" w:right="-471"/>
        <w:jc w:val="both"/>
      </w:pPr>
      <w:r>
        <w:rPr>
          <w:rFonts w:ascii="Arial" w:cs="Arial" w:hAnsi="Arial"/>
          <w:sz w:val="22"/>
          <w:szCs w:val="22"/>
        </w:rPr>
        <w:t>Informácie o vekovej štruktúre pohľadávok k 31.12.2013 sú uvedené v nasledujúcich tabuľkách:</w:t>
      </w:r>
    </w:p>
    <w:p>
      <w:pPr>
        <w:pStyle w:val="style0"/>
        <w:spacing w:after="120" w:before="0"/>
        <w:ind w:hanging="0" w:left="0" w:right="-471"/>
        <w:jc w:val="both"/>
      </w:pPr>
      <w:r>
        <w:rPr>
          <w:rFonts w:ascii="Arial" w:cs="Arial" w:hAnsi="Arial"/>
          <w:sz w:val="22"/>
          <w:szCs w:val="22"/>
        </w:rPr>
        <w:t xml:space="preserve">Tabuľkač.1 </w:t>
      </w:r>
    </w:p>
    <w:p>
      <w:pPr>
        <w:pStyle w:val="style0"/>
        <w:spacing w:after="120" w:before="0"/>
        <w:ind w:hanging="0" w:left="0" w:right="-471"/>
        <w:jc w:val="both"/>
      </w:pPr>
      <w:bookmarkStart w:id="8" w:name="_MON_1457450021"/>
      <w:bookmarkEnd w:id="8"/>
      <w:r>
        <w:rPr/>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r>
        <w:rPr>
          <w:rFonts w:ascii="Arial" w:cs="Arial" w:hAnsi="Arial"/>
          <w:sz w:val="22"/>
          <w:szCs w:val="22"/>
        </w:rPr>
        <w:t>Tabuľka č.2</w:t>
      </w:r>
    </w:p>
    <w:p>
      <w:pPr>
        <w:pStyle w:val="style0"/>
        <w:spacing w:after="120" w:before="0"/>
        <w:ind w:hanging="0" w:left="0" w:right="-471"/>
        <w:jc w:val="both"/>
      </w:pPr>
      <w:bookmarkStart w:id="9" w:name="_MON_1455908019"/>
      <w:bookmarkEnd w:id="9"/>
      <w:r>
        <w:rPr/>
      </w:r>
    </w:p>
    <w:p>
      <w:pPr>
        <w:pStyle w:val="style0"/>
        <w:spacing w:after="120" w:before="0"/>
        <w:ind w:hanging="0" w:left="0" w:right="-471"/>
        <w:jc w:val="both"/>
      </w:pPr>
      <w:r>
        <w:rPr>
          <w:rFonts w:ascii="Arial" w:cs="Arial" w:hAnsi="Arial"/>
          <w:b/>
          <w:sz w:val="22"/>
          <w:szCs w:val="22"/>
          <w:u w:val="single"/>
        </w:rPr>
        <w:t>u) Hodnota pohľadávok, na ktoré sa zriadilo záložné právo</w:t>
      </w:r>
      <w:r>
        <w:rPr>
          <w:rFonts w:ascii="Arial" w:cs="Arial" w:hAnsi="Arial"/>
          <w:sz w:val="22"/>
          <w:szCs w:val="22"/>
        </w:rPr>
        <w:t xml:space="preserve"> a pohľadávok, pri ktorých má účtovná jednotka obmedzené právo s nimi nakladať. Informácie sú uvedené v nasledujúcej tabuľke: </w:t>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bookmarkStart w:id="10" w:name="_MON_1455960396"/>
      <w:bookmarkEnd w:id="10"/>
      <w:r>
        <w:rPr/>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Za bežné účtovné obdobie od 1. januára 2013 do 31.12.2013 je zriadené záložné právo k pohľadávkam  na základe záložnej zmluvy číslo 6179/114/4498 v prospech ČSOB a. s. Bratislava z úveru číslo 6177/11/44698, ktorý bol účtovnej jednotke poskytnutý v celkovej výške 20 000 000 EUR.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v)</w:t>
      </w:r>
      <w:r>
        <w:rPr>
          <w:rFonts w:ascii="Arial" w:cs="Arial" w:hAnsi="Arial"/>
          <w:sz w:val="22"/>
          <w:szCs w:val="22"/>
        </w:rPr>
        <w:t xml:space="preserve"> </w:t>
      </w:r>
      <w:r>
        <w:rPr>
          <w:rFonts w:ascii="Arial" w:cs="Arial" w:hAnsi="Arial"/>
          <w:b/>
          <w:sz w:val="22"/>
          <w:szCs w:val="22"/>
          <w:u w:val="single"/>
        </w:rPr>
        <w:t>Odložená daňová pohľadávka</w:t>
      </w:r>
    </w:p>
    <w:p>
      <w:pPr>
        <w:pStyle w:val="style0"/>
        <w:ind w:hanging="0" w:left="0" w:right="-468"/>
        <w:jc w:val="both"/>
      </w:pPr>
      <w:r>
        <w:rPr>
          <w:rFonts w:ascii="Arial" w:cs="Arial" w:hAnsi="Arial"/>
          <w:sz w:val="22"/>
          <w:szCs w:val="22"/>
        </w:rPr>
      </w:r>
    </w:p>
    <w:p>
      <w:pPr>
        <w:pStyle w:val="style0"/>
        <w:ind w:hanging="0" w:left="0" w:right="-468"/>
      </w:pPr>
      <w:r>
        <w:rPr>
          <w:rFonts w:ascii="Arial" w:cs="Arial" w:hAnsi="Arial"/>
          <w:sz w:val="22"/>
          <w:szCs w:val="22"/>
        </w:rPr>
        <w:t xml:space="preserve"> </w:t>
      </w:r>
      <w:r>
        <w:rPr>
          <w:rFonts w:ascii="Arial" w:cs="Arial" w:hAnsi="Arial"/>
          <w:sz w:val="22"/>
          <w:szCs w:val="22"/>
        </w:rPr>
        <w:t>O odloženej daňovej pohľadávke Spoločnosť neúčtuje.</w:t>
      </w:r>
    </w:p>
    <w:p>
      <w:pPr>
        <w:pStyle w:val="style0"/>
        <w:jc w:val="both"/>
      </w:pPr>
      <w:r>
        <w:rPr>
          <w:rFonts w:ascii="Arial" w:cs="Arial" w:hAnsi="Arial"/>
          <w:b/>
          <w:sz w:val="22"/>
          <w:szCs w:val="22"/>
        </w:rPr>
      </w:r>
    </w:p>
    <w:p>
      <w:pPr>
        <w:pStyle w:val="style0"/>
        <w:jc w:val="both"/>
      </w:pPr>
      <w:r>
        <w:rPr>
          <w:rFonts w:ascii="Arial" w:cs="Arial" w:hAnsi="Arial"/>
          <w:b/>
          <w:sz w:val="22"/>
          <w:szCs w:val="22"/>
        </w:rPr>
        <w:t xml:space="preserve">w) </w:t>
      </w:r>
      <w:r>
        <w:rPr>
          <w:rFonts w:ascii="Arial" w:cs="Arial" w:hAnsi="Arial"/>
          <w:b/>
          <w:sz w:val="22"/>
          <w:szCs w:val="22"/>
          <w:u w:val="single"/>
        </w:rPr>
        <w:t>Významné zložky krátkodobého finančného majetku</w:t>
      </w:r>
      <w:r>
        <w:rPr>
          <w:rFonts w:ascii="Arial" w:cs="Arial" w:hAnsi="Arial"/>
          <w:sz w:val="22"/>
          <w:szCs w:val="22"/>
          <w:u w:val="single"/>
        </w:rPr>
        <w:t>:</w:t>
      </w:r>
    </w:p>
    <w:p>
      <w:pPr>
        <w:pStyle w:val="style0"/>
        <w:jc w:val="both"/>
      </w:pPr>
      <w:r>
        <w:rPr>
          <w:rFonts w:ascii="Arial" w:cs="Arial" w:hAnsi="Arial"/>
          <w:sz w:val="22"/>
          <w:szCs w:val="22"/>
        </w:rPr>
      </w:r>
    </w:p>
    <w:p>
      <w:pPr>
        <w:pStyle w:val="style0"/>
        <w:jc w:val="both"/>
      </w:pPr>
      <w:r>
        <w:rPr>
          <w:rFonts w:ascii="Arial" w:cs="Arial" w:hAnsi="Arial"/>
          <w:sz w:val="22"/>
          <w:szCs w:val="22"/>
        </w:rPr>
        <w:t>Informácie o krátkodobom finančnom majetku sú uvedené v nasledujúcich tabuľkách:</w:t>
      </w:r>
    </w:p>
    <w:p>
      <w:pPr>
        <w:pStyle w:val="style0"/>
        <w:jc w:val="both"/>
      </w:pPr>
      <w:r>
        <w:rPr>
          <w:rFonts w:ascii="Arial" w:cs="Arial" w:hAnsi="Arial"/>
          <w:sz w:val="22"/>
          <w:szCs w:val="22"/>
        </w:rPr>
      </w:r>
    </w:p>
    <w:p>
      <w:pPr>
        <w:pStyle w:val="style0"/>
        <w:jc w:val="both"/>
      </w:pPr>
      <w:r>
        <w:rPr>
          <w:rFonts w:ascii="Arial" w:cs="Arial" w:hAnsi="Arial"/>
          <w:sz w:val="22"/>
          <w:szCs w:val="22"/>
        </w:rPr>
        <w:t>Tabuľka č.1</w:t>
      </w:r>
    </w:p>
    <w:p>
      <w:pPr>
        <w:pStyle w:val="style0"/>
        <w:jc w:val="both"/>
      </w:pPr>
      <w:r>
        <w:rPr>
          <w:rFonts w:ascii="Arial" w:cs="Arial" w:hAnsi="Arial"/>
          <w:sz w:val="22"/>
          <w:szCs w:val="22"/>
        </w:rPr>
      </w:r>
    </w:p>
    <w:p>
      <w:pPr>
        <w:pStyle w:val="style0"/>
      </w:pPr>
      <w:bookmarkStart w:id="11" w:name="_MON_1455969984"/>
      <w:bookmarkEnd w:id="11"/>
      <w:r>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t>Tabuľka č.2</w:t>
      </w:r>
    </w:p>
    <w:p>
      <w:pPr>
        <w:pStyle w:val="style0"/>
      </w:pPr>
      <w:bookmarkStart w:id="12" w:name="_MON_1456814536"/>
      <w:bookmarkEnd w:id="12"/>
      <w:r>
        <w:rPr/>
      </w:r>
    </w:p>
    <w:p>
      <w:pPr>
        <w:pStyle w:val="style0"/>
        <w:jc w:val="both"/>
      </w:pPr>
      <w:r>
        <w:rPr>
          <w:rFonts w:ascii="Arial" w:cs="Arial" w:hAnsi="Arial"/>
          <w:sz w:val="22"/>
          <w:szCs w:val="22"/>
        </w:rPr>
        <w:t>Náklady budúcich období a príjmy budúcich období sa vykazujú vo výške, ktorá je potrebná na dodržanie vecnej a časovej súvislosti s účtovným obdobím. V nákladoch budúcich období sú zaúčtované výdavky obdobia r. 2013, ktoré sa týkajú nákladov budúceho obdobia ( predplatné, poistenie majetku, kredit frankovacieho stroja a i.).</w:t>
      </w:r>
    </w:p>
    <w:p>
      <w:pPr>
        <w:pStyle w:val="style0"/>
      </w:pPr>
      <w:r>
        <w:rPr>
          <w:rFonts w:ascii="Arial" w:cs="Arial" w:hAnsi="Arial"/>
          <w:b/>
          <w:color w:val="C00000"/>
        </w:rPr>
      </w:r>
    </w:p>
    <w:p>
      <w:pPr>
        <w:pStyle w:val="style36"/>
        <w:keepNext/>
        <w:widowControl w:val="false"/>
        <w:spacing w:after="0" w:before="28"/>
        <w:jc w:val="left"/>
      </w:pPr>
      <w:bookmarkStart w:id="13" w:name="_MON_1456655004"/>
      <w:bookmarkEnd w:id="13"/>
      <w:r>
        <w:rPr/>
      </w:r>
    </w:p>
    <w:p>
      <w:pPr>
        <w:pStyle w:val="style36"/>
        <w:keepNext/>
        <w:widowControl w:val="false"/>
        <w:spacing w:after="0" w:before="28"/>
        <w:jc w:val="left"/>
      </w:pPr>
      <w:r>
        <w:rPr>
          <w:rFonts w:ascii="Arial" w:cs="Arial" w:hAnsi="Arial"/>
          <w:b w:val="false"/>
        </w:rPr>
        <w:t>Spoločnosť o tejto skutočnosti neúčtuje.</w:t>
      </w:r>
    </w:p>
    <w:p>
      <w:pPr>
        <w:pStyle w:val="style0"/>
        <w:jc w:val="both"/>
      </w:pPr>
      <w:r>
        <w:rPr>
          <w:rFonts w:ascii="Arial" w:cs="Arial" w:hAnsi="Arial"/>
          <w:sz w:val="22"/>
          <w:szCs w:val="22"/>
        </w:rPr>
      </w:r>
    </w:p>
    <w:p>
      <w:pPr>
        <w:pStyle w:val="style0"/>
        <w:jc w:val="both"/>
      </w:pPr>
      <w:r>
        <w:rPr>
          <w:rFonts w:ascii="Arial" w:cs="Arial" w:hAnsi="Arial"/>
          <w:b/>
          <w:sz w:val="22"/>
          <w:szCs w:val="22"/>
        </w:rPr>
        <w:t xml:space="preserve">x) </w:t>
      </w:r>
      <w:r>
        <w:rPr>
          <w:rFonts w:ascii="Arial" w:cs="Arial" w:hAnsi="Arial"/>
          <w:b/>
          <w:sz w:val="22"/>
          <w:szCs w:val="22"/>
          <w:u w:val="single"/>
        </w:rPr>
        <w:t xml:space="preserve">Opravné položky ku krátkodobému finančnému </w:t>
      </w:r>
      <w:r>
        <w:rPr>
          <w:rFonts w:ascii="Arial" w:cs="Arial" w:hAnsi="Arial"/>
          <w:sz w:val="22"/>
          <w:szCs w:val="22"/>
        </w:rPr>
        <w:t>Spoločnosť netvorila opravné položky ku krátkodobému finančnému majetku za bežné účtovné obdobie od 1.januára 2013 do 31.12.2013.</w:t>
      </w:r>
    </w:p>
    <w:p>
      <w:pPr>
        <w:pStyle w:val="style0"/>
        <w:jc w:val="both"/>
      </w:pPr>
      <w:r>
        <w:rPr>
          <w:rFonts w:ascii="Arial" w:cs="Arial" w:hAnsi="Arial"/>
          <w:sz w:val="22"/>
          <w:szCs w:val="22"/>
        </w:rPr>
      </w:r>
    </w:p>
    <w:p>
      <w:pPr>
        <w:pStyle w:val="style0"/>
        <w:jc w:val="both"/>
      </w:pPr>
      <w:r>
        <w:rPr>
          <w:rFonts w:ascii="Arial" w:cs="Arial" w:hAnsi="Arial"/>
          <w:b/>
          <w:sz w:val="22"/>
          <w:szCs w:val="22"/>
        </w:rPr>
        <w:t xml:space="preserve">y) </w:t>
      </w:r>
      <w:r>
        <w:rPr>
          <w:rFonts w:ascii="Arial" w:cs="Arial" w:hAnsi="Arial"/>
          <w:b/>
          <w:sz w:val="22"/>
          <w:szCs w:val="22"/>
          <w:u w:val="single"/>
        </w:rPr>
        <w:t>Krátkodobý finančný majetok, na ktorý bolo zriadené záložné právo</w:t>
      </w:r>
      <w:r>
        <w:rPr>
          <w:rFonts w:ascii="Arial" w:cs="Arial" w:hAnsi="Arial"/>
          <w:sz w:val="22"/>
          <w:szCs w:val="22"/>
        </w:rPr>
        <w:t xml:space="preserve"> a krátkodobý finančný majetok, pri ktorom má účtovná jednotka obmedzené právo s ním nakladať:</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Spoločnosť nemá zriadené záložné právo ku krátkodobému finančnému majetku ani obmedzené právo nakladania s ním. </w:t>
      </w:r>
    </w:p>
    <w:p>
      <w:pPr>
        <w:pStyle w:val="style0"/>
      </w:pPr>
      <w:r>
        <w:rPr>
          <w:rFonts w:ascii="Arial" w:cs="Arial" w:hAnsi="Arial"/>
          <w:sz w:val="22"/>
          <w:szCs w:val="22"/>
        </w:rPr>
      </w:r>
    </w:p>
    <w:p>
      <w:pPr>
        <w:pStyle w:val="style0"/>
        <w:jc w:val="both"/>
      </w:pPr>
      <w:r>
        <w:rPr>
          <w:rFonts w:ascii="Arial" w:cs="Arial" w:hAnsi="Arial"/>
          <w:b/>
          <w:sz w:val="22"/>
          <w:szCs w:val="22"/>
        </w:rPr>
        <w:t xml:space="preserve">zb) </w:t>
      </w:r>
      <w:r>
        <w:rPr>
          <w:rFonts w:ascii="Arial" w:cs="Arial" w:hAnsi="Arial"/>
          <w:b/>
          <w:sz w:val="22"/>
          <w:szCs w:val="22"/>
          <w:u w:val="single"/>
        </w:rPr>
        <w:t>Významné položky časového rozlíšenia</w:t>
      </w:r>
      <w:r>
        <w:rPr>
          <w:rFonts w:ascii="Arial" w:cs="Arial" w:hAnsi="Arial"/>
          <w:b/>
          <w:sz w:val="22"/>
          <w:szCs w:val="22"/>
        </w:rPr>
        <w:t xml:space="preserve"> </w:t>
      </w:r>
      <w:r>
        <w:rPr>
          <w:rFonts w:ascii="Arial" w:cs="Arial" w:hAnsi="Arial"/>
          <w:b/>
          <w:sz w:val="22"/>
          <w:szCs w:val="22"/>
          <w:u w:val="single"/>
        </w:rPr>
        <w:t>nákladov budúcich období a príjmov budúcich období</w:t>
      </w:r>
      <w:r>
        <w:rPr>
          <w:rFonts w:ascii="Arial" w:cs="Arial" w:hAnsi="Arial"/>
          <w:b/>
          <w:sz w:val="22"/>
          <w:szCs w:val="22"/>
        </w:rPr>
        <w:t>:</w:t>
      </w:r>
    </w:p>
    <w:p>
      <w:pPr>
        <w:pStyle w:val="style0"/>
      </w:pPr>
      <w:r>
        <w:rPr>
          <w:rFonts w:ascii="Arial" w:cs="Arial" w:hAnsi="Arial"/>
          <w:sz w:val="22"/>
          <w:szCs w:val="22"/>
        </w:rPr>
      </w:r>
    </w:p>
    <w:p>
      <w:pPr>
        <w:pStyle w:val="style36"/>
        <w:spacing w:after="120" w:before="28"/>
        <w:jc w:val="both"/>
      </w:pPr>
      <w:r>
        <w:rPr>
          <w:rFonts w:ascii="Arial" w:cs="Arial" w:hAnsi="Arial"/>
          <w:bCs w:val="false"/>
        </w:rPr>
        <w:t xml:space="preserve">zc) </w:t>
      </w:r>
      <w:r>
        <w:rPr>
          <w:rFonts w:ascii="Arial" w:cs="Arial" w:hAnsi="Arial"/>
          <w:bCs w:val="false"/>
          <w:u w:val="single"/>
        </w:rPr>
        <w:t>Majetok prenajatý formou</w:t>
      </w:r>
      <w:r>
        <w:rPr>
          <w:rFonts w:ascii="Arial" w:cs="Arial" w:hAnsi="Arial"/>
          <w:bCs w:val="false"/>
        </w:rPr>
        <w:t xml:space="preserve"> </w:t>
      </w:r>
      <w:r>
        <w:rPr>
          <w:rFonts w:ascii="Arial" w:cs="Arial" w:hAnsi="Arial"/>
          <w:bCs w:val="false"/>
          <w:u w:val="single"/>
        </w:rPr>
        <w:t>finančného prenájmu</w:t>
      </w:r>
      <w:r>
        <w:rPr>
          <w:rFonts w:ascii="Arial" w:cs="Arial" w:hAnsi="Arial"/>
          <w:bCs w:val="false"/>
        </w:rPr>
        <w:t xml:space="preserve"> </w:t>
      </w:r>
    </w:p>
    <w:p>
      <w:pPr>
        <w:pStyle w:val="style0"/>
        <w:spacing w:after="120" w:before="0"/>
      </w:pPr>
      <w:r>
        <w:rPr>
          <w:rFonts w:ascii="Arial" w:cs="Arial" w:hAnsi="Arial"/>
          <w:sz w:val="22"/>
          <w:szCs w:val="22"/>
        </w:rPr>
        <w:t xml:space="preserve">Účtovná jednotka od 1.januára 2013 do 31.12.2013 neúčtuje o majetku prenajatom formou finančného  prenájmu. </w:t>
      </w:r>
    </w:p>
    <w:p>
      <w:pPr>
        <w:pStyle w:val="style0"/>
        <w:jc w:val="both"/>
      </w:pPr>
      <w:r>
        <w:rPr>
          <w:rFonts w:ascii="Arial" w:cs="Arial" w:hAnsi="Arial"/>
          <w:sz w:val="22"/>
          <w:szCs w:val="22"/>
        </w:rPr>
      </w:r>
    </w:p>
    <w:p>
      <w:pPr>
        <w:pStyle w:val="style0"/>
        <w:ind w:hanging="0" w:left="0" w:right="-468"/>
        <w:jc w:val="both"/>
      </w:pPr>
      <w:r>
        <w:rPr>
          <w:rFonts w:ascii="Arial" w:cs="Arial" w:hAnsi="Arial"/>
          <w:b/>
          <w:bCs/>
          <w:sz w:val="22"/>
          <w:szCs w:val="22"/>
        </w:rPr>
        <w:t>G. INFORMÁCIE O ÚDAJOCH NA STRANE PASÍV SÚVAHY</w:t>
      </w:r>
    </w:p>
    <w:p>
      <w:pPr>
        <w:pStyle w:val="style0"/>
        <w:ind w:hanging="0" w:left="360" w:right="-468"/>
        <w:jc w:val="both"/>
      </w:pPr>
      <w:r>
        <w:rPr>
          <w:rFonts w:ascii="Arial" w:cs="Arial" w:hAnsi="Arial"/>
          <w:sz w:val="22"/>
          <w:szCs w:val="22"/>
        </w:rPr>
      </w:r>
    </w:p>
    <w:p>
      <w:pPr>
        <w:pStyle w:val="style0"/>
        <w:ind w:hanging="0" w:left="0" w:right="-468"/>
        <w:jc w:val="both"/>
      </w:pPr>
      <w:r>
        <w:rPr>
          <w:rFonts w:ascii="Arial" w:cs="Arial" w:hAnsi="Arial"/>
          <w:b/>
          <w:sz w:val="22"/>
          <w:szCs w:val="22"/>
        </w:rPr>
        <w:t>10. Informácia o vlastnom imaní</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b/>
          <w:sz w:val="22"/>
          <w:szCs w:val="22"/>
        </w:rPr>
        <w:t xml:space="preserve">a) </w:t>
      </w:r>
      <w:r>
        <w:rPr>
          <w:rFonts w:ascii="Arial" w:cs="Arial" w:hAnsi="Arial"/>
          <w:b/>
          <w:sz w:val="22"/>
          <w:szCs w:val="22"/>
          <w:u w:val="single"/>
        </w:rPr>
        <w:t>Vlastné imanie</w:t>
      </w:r>
      <w:r>
        <w:rPr>
          <w:rFonts w:ascii="Arial" w:cs="Arial" w:hAnsi="Arial"/>
          <w:sz w:val="22"/>
          <w:szCs w:val="22"/>
        </w:rPr>
        <w:t xml:space="preserve"> za bežné účtovné obdobie sú podrobnejšie popísané  v časti C a P.</w:t>
      </w:r>
    </w:p>
    <w:p>
      <w:pPr>
        <w:pStyle w:val="style0"/>
        <w:ind w:hanging="0" w:left="1004" w:right="-468"/>
        <w:jc w:val="both"/>
      </w:pPr>
      <w:r>
        <w:rPr>
          <w:rFonts w:ascii="Arial" w:cs="Arial" w:hAnsi="Arial"/>
          <w:sz w:val="22"/>
          <w:szCs w:val="22"/>
        </w:rPr>
      </w:r>
    </w:p>
    <w:p>
      <w:pPr>
        <w:pStyle w:val="style0"/>
        <w:jc w:val="both"/>
      </w:pPr>
      <w:r>
        <w:rPr>
          <w:rFonts w:ascii="Arial" w:cs="Arial" w:hAnsi="Arial"/>
          <w:sz w:val="22"/>
          <w:szCs w:val="22"/>
        </w:rPr>
        <w:t xml:space="preserve">1. </w:t>
      </w:r>
      <w:r>
        <w:rPr>
          <w:rFonts w:ascii="Arial" w:cs="Arial" w:hAnsi="Arial"/>
          <w:sz w:val="22"/>
          <w:szCs w:val="22"/>
          <w:u w:val="single"/>
        </w:rPr>
        <w:t>Opis základného imania</w:t>
      </w:r>
      <w:r>
        <w:rPr>
          <w:rFonts w:ascii="Arial" w:cs="Arial" w:hAnsi="Arial"/>
          <w:sz w:val="22"/>
          <w:szCs w:val="22"/>
        </w:rPr>
        <w:t xml:space="preserve"> najmä počet akcií, hodnota akcií, práva spojené s jednotlivými druhmi akcií, splatené základné imanie je podrobnejšie popísané v časti C a P. </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2. </w:t>
      </w:r>
      <w:r>
        <w:rPr>
          <w:rFonts w:ascii="Arial" w:cs="Arial" w:hAnsi="Arial"/>
          <w:sz w:val="22"/>
          <w:szCs w:val="22"/>
          <w:u w:val="single"/>
        </w:rPr>
        <w:t>Hodnota upísaného vlastného</w:t>
      </w:r>
      <w:r>
        <w:rPr>
          <w:rFonts w:ascii="Arial" w:cs="Arial" w:hAnsi="Arial"/>
          <w:sz w:val="22"/>
          <w:szCs w:val="22"/>
        </w:rPr>
        <w:t xml:space="preserve"> imania je podrobnejšie popísaná v časti C a P.  </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3. </w:t>
      </w:r>
      <w:r>
        <w:rPr>
          <w:rFonts w:ascii="Arial" w:cs="Arial" w:hAnsi="Arial"/>
          <w:sz w:val="22"/>
          <w:szCs w:val="22"/>
          <w:u w:val="single"/>
        </w:rPr>
        <w:t>Rozdelenie účtovného zisku alebo vysporiadanie účtovnej straty vykázanej v predchádzajúcom účtovnom obdob</w:t>
      </w:r>
      <w:r>
        <w:rPr>
          <w:rFonts w:ascii="Arial" w:cs="Arial" w:hAnsi="Arial"/>
          <w:sz w:val="22"/>
          <w:szCs w:val="22"/>
        </w:rPr>
        <w:t>í:</w:t>
      </w:r>
    </w:p>
    <w:p>
      <w:pPr>
        <w:pStyle w:val="style0"/>
        <w:jc w:val="both"/>
      </w:pPr>
      <w:r>
        <w:rPr>
          <w:rFonts w:ascii="Arial" w:cs="Arial" w:hAnsi="Arial"/>
          <w:sz w:val="22"/>
          <w:szCs w:val="22"/>
        </w:rPr>
      </w:r>
    </w:p>
    <w:p>
      <w:pPr>
        <w:pStyle w:val="style0"/>
        <w:jc w:val="both"/>
      </w:pPr>
      <w:r>
        <w:rPr>
          <w:rFonts w:ascii="Arial" w:cs="Arial" w:hAnsi="Arial"/>
          <w:sz w:val="22"/>
          <w:szCs w:val="22"/>
        </w:rPr>
        <w:t>Informácie o rozdelení účtovného zisku a o vysporiadaní účtovnej straty za bežné a predchádzajúce účtovné obdobie  sú uvedené v nasledujúcej tabuľke:</w:t>
      </w:r>
    </w:p>
    <w:p>
      <w:pPr>
        <w:pStyle w:val="style0"/>
        <w:jc w:val="both"/>
      </w:pPr>
      <w:r>
        <w:rPr>
          <w:rFonts w:ascii="Arial" w:cs="Arial" w:hAnsi="Arial"/>
          <w:sz w:val="22"/>
          <w:szCs w:val="22"/>
        </w:rPr>
      </w:r>
    </w:p>
    <w:p>
      <w:pPr>
        <w:pStyle w:val="style0"/>
      </w:pPr>
      <w:bookmarkStart w:id="14" w:name="_MON_1456661233"/>
      <w:bookmarkEnd w:id="14"/>
      <w:r>
        <w:rPr/>
      </w:r>
    </w:p>
    <w:p>
      <w:pPr>
        <w:pStyle w:val="style36"/>
        <w:tabs>
          <w:tab w:leader="none" w:pos="2488" w:val="left"/>
        </w:tabs>
        <w:spacing w:after="0" w:before="28"/>
        <w:jc w:val="left"/>
      </w:pPr>
      <w:r>
        <w:rPr>
          <w:rFonts w:ascii="Arial" w:cs="Arial" w:hAnsi="Arial"/>
        </w:rPr>
      </w:r>
    </w:p>
    <w:p>
      <w:pPr>
        <w:pStyle w:val="style0"/>
        <w:jc w:val="both"/>
      </w:pPr>
      <w:r>
        <w:rPr>
          <w:rFonts w:ascii="Arial" w:cs="Arial" w:hAnsi="Arial"/>
          <w:sz w:val="22"/>
          <w:szCs w:val="22"/>
        </w:rPr>
      </w:r>
    </w:p>
    <w:p>
      <w:pPr>
        <w:pStyle w:val="style0"/>
        <w:jc w:val="both"/>
      </w:pPr>
      <w:r>
        <w:rPr>
          <w:rFonts w:ascii="Arial" w:cs="Arial" w:hAnsi="Arial"/>
          <w:sz w:val="22"/>
          <w:szCs w:val="22"/>
        </w:rPr>
        <w:t xml:space="preserve">4. </w:t>
      </w:r>
      <w:r>
        <w:rPr>
          <w:rFonts w:ascii="Arial" w:cs="Arial" w:hAnsi="Arial"/>
          <w:sz w:val="22"/>
          <w:szCs w:val="22"/>
          <w:u w:val="single"/>
        </w:rPr>
        <w:t>Akcie a podiely na základnom imaní</w:t>
      </w:r>
      <w:r>
        <w:rPr>
          <w:rFonts w:ascii="Arial" w:cs="Arial" w:hAnsi="Arial"/>
          <w:sz w:val="22"/>
          <w:szCs w:val="22"/>
        </w:rPr>
        <w:t xml:space="preserve"> vlastnené účtovnou jednotkou, vrátane akcií a podielov na základnom imaní vlastnených jej dcérskymi účtovnými jednotkami a osobami, v ktorých má účtovná jednotka podstatný vplyv Spoločnosť v účtovníctve nevykazuje z dôvodu, že v takýchto účtovných jednotkách nemá podstatný vplyv.</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5. </w:t>
      </w:r>
      <w:r>
        <w:rPr>
          <w:rFonts w:ascii="Arial" w:cs="Arial" w:hAnsi="Arial"/>
          <w:sz w:val="22"/>
          <w:szCs w:val="22"/>
          <w:u w:val="single"/>
        </w:rPr>
        <w:t>Prehľad o zisku alebo strate</w:t>
      </w:r>
      <w:r>
        <w:rPr>
          <w:rFonts w:ascii="Arial" w:cs="Arial" w:hAnsi="Arial"/>
          <w:sz w:val="22"/>
          <w:szCs w:val="22"/>
        </w:rPr>
        <w:t>, ktorá nebola účtovaná ako náklad alebo výnos, ale priamo na účty vlastného imania, najmä zmeny reálnej hodnoty majetku, zmeny hodnoty majetku pri použití metódy vlastného imania; uvádza sa aj súčet ziskov a strát:</w:t>
      </w:r>
    </w:p>
    <w:p>
      <w:pPr>
        <w:pStyle w:val="style0"/>
        <w:jc w:val="both"/>
      </w:pPr>
      <w:r>
        <w:rPr>
          <w:rFonts w:ascii="Arial" w:cs="Arial" w:hAnsi="Arial"/>
          <w:sz w:val="22"/>
          <w:szCs w:val="22"/>
        </w:rPr>
        <w:t>Spoločnosť o takýchto položkách od 01.januára 2013 do 31.decembra 2013 neúčtovala.</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6. </w:t>
      </w:r>
      <w:r>
        <w:rPr>
          <w:rFonts w:ascii="Arial" w:cs="Arial" w:hAnsi="Arial"/>
          <w:sz w:val="22"/>
          <w:szCs w:val="22"/>
          <w:u w:val="single"/>
        </w:rPr>
        <w:t>Zisk na 1. akciu</w:t>
      </w:r>
      <w:r>
        <w:rPr>
          <w:rFonts w:ascii="Arial" w:cs="Arial" w:hAnsi="Arial"/>
          <w:sz w:val="22"/>
          <w:szCs w:val="22"/>
        </w:rPr>
        <w:t xml:space="preserve"> k 31.12.2013predstavuje  0,26 EUR</w:t>
      </w:r>
      <w:r>
        <w:rPr>
          <w:rFonts w:ascii="Arial" w:cs="Arial" w:hAnsi="Arial"/>
          <w:color w:val="FF0000"/>
          <w:sz w:val="22"/>
          <w:szCs w:val="22"/>
        </w:rPr>
        <w:t>.</w:t>
      </w:r>
    </w:p>
    <w:p>
      <w:pPr>
        <w:pStyle w:val="style0"/>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b) </w:t>
      </w:r>
      <w:r>
        <w:rPr>
          <w:rFonts w:ascii="Arial" w:cs="Arial" w:hAnsi="Arial"/>
          <w:b/>
          <w:sz w:val="22"/>
          <w:szCs w:val="22"/>
          <w:u w:val="single"/>
        </w:rPr>
        <w:t>Jednotlivé druhy rezerv</w:t>
      </w:r>
      <w:r>
        <w:rPr>
          <w:rFonts w:ascii="Arial" w:cs="Arial" w:hAnsi="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Pr>
          <w:rFonts w:ascii="Arial" w:cs="Arial" w:hAnsi="Arial"/>
          <w:b/>
          <w:sz w:val="22"/>
          <w:szCs w:val="22"/>
          <w:u w:val="single"/>
        </w:rPr>
        <w:t>rok použitia</w:t>
      </w:r>
      <w:r>
        <w:rPr>
          <w:rFonts w:ascii="Arial" w:cs="Arial" w:hAnsi="Arial"/>
          <w:sz w:val="22"/>
          <w:szCs w:val="22"/>
        </w:rPr>
        <w:t xml:space="preserve"> rezerv:</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Informácie o rezervách sú uvedené v nasledujúcich tabuľkách:</w:t>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r>
    </w:p>
    <w:p>
      <w:pPr>
        <w:pStyle w:val="style0"/>
      </w:pPr>
      <w:r>
        <w:rPr>
          <w:rFonts w:ascii="Arial" w:cs="Arial" w:hAnsi="Arial"/>
          <w:sz w:val="22"/>
          <w:szCs w:val="22"/>
        </w:rPr>
        <w:t>Tabuľka č. 1</w:t>
      </w:r>
    </w:p>
    <w:p>
      <w:pPr>
        <w:pStyle w:val="style0"/>
      </w:pPr>
      <w:bookmarkStart w:id="15" w:name="_MON_1455904767"/>
      <w:bookmarkEnd w:id="15"/>
      <w:r>
        <w:rPr/>
      </w:r>
    </w:p>
    <w:p>
      <w:pPr>
        <w:pStyle w:val="style0"/>
      </w:pPr>
      <w:r>
        <w:rPr>
          <w:rFonts w:ascii="Arial" w:cs="Arial" w:hAnsi="Arial"/>
          <w:sz w:val="22"/>
          <w:szCs w:val="22"/>
        </w:rPr>
        <w:t>Tabuľka  č. 2</w:t>
      </w:r>
      <w:bookmarkStart w:id="16" w:name="_MON_1455904702"/>
      <w:bookmarkEnd w:id="16"/>
      <w:r>
        <w:rPr/>
      </w:r>
    </w:p>
    <w:p>
      <w:pPr>
        <w:pStyle w:val="style0"/>
        <w:jc w:val="both"/>
      </w:pPr>
      <w:r>
        <w:rPr>
          <w:rFonts w:ascii="Arial" w:cs="Arial" w:hAnsi="Arial"/>
          <w:sz w:val="22"/>
          <w:szCs w:val="22"/>
        </w:rPr>
        <w:t xml:space="preserve">Rezerva na odchodné do dôchodku bola vytvorená s použitím poistnej matematiky a rezerva na odstupné bola vytvorená v súvislosti s dlhodobým plánom zamestnancom aktuárom. </w:t>
      </w:r>
    </w:p>
    <w:p>
      <w:pPr>
        <w:pStyle w:val="style0"/>
        <w:jc w:val="both"/>
      </w:pPr>
      <w:r>
        <w:rPr>
          <w:rFonts w:ascii="Arial" w:cs="Arial" w:hAnsi="Arial"/>
          <w:sz w:val="22"/>
          <w:szCs w:val="22"/>
        </w:rPr>
        <w:t>Krátkodobé rezervy sa vzťahujú na rok 2013. Jedná sa o zákonné rezervy na nevyčerpané dovolenky, zdravotné a sociálne poistenie vzťahujúce sa na nevyčerpané dovolenky vo výške 157 024 EUR a tiež rezerva na vypracovanie výročnej správy  a audítorske služby vo výške 9 180 EUR a rezerva na odmenu aktuára a spoločnosť Onmnitrade vo výške 1 390 EUR. Ostatné krátkodobé rezervy na nevyplatené prémie, zdravotné a sociálne poistenie vytvorené k nevyplateným prémiám a odchodné boli vytvorené vo  výške 38 914 EUR.</w:t>
      </w:r>
    </w:p>
    <w:p>
      <w:pPr>
        <w:pStyle w:val="style0"/>
        <w:jc w:val="both"/>
      </w:pPr>
      <w:r>
        <w:rPr>
          <w:rFonts w:ascii="Arial" w:cs="Arial" w:hAnsi="Arial"/>
          <w:sz w:val="22"/>
          <w:szCs w:val="22"/>
        </w:rPr>
        <w:t>Dlhodobé rezervy boli tvorené na krytie odhadovaného záväzku, týkajúce sa budúceho odchodného pre zamestnancov odchádzajúcich do starobného dôchodku podľa dohodnutej Kolektívnej zmluvy vo výške 512 009 EUR. , na vedené súdne spory s Roľníckym družstvom Stará Bystrica a s p. Behríkovou celkom 206 252 EUR.</w:t>
      </w:r>
    </w:p>
    <w:p>
      <w:pPr>
        <w:pStyle w:val="style0"/>
      </w:pPr>
      <w:r>
        <w:rPr>
          <w:rFonts w:ascii="Arial" w:cs="Arial" w:hAnsi="Arial"/>
          <w:sz w:val="22"/>
          <w:szCs w:val="22"/>
        </w:rPr>
      </w:r>
    </w:p>
    <w:p>
      <w:pPr>
        <w:pStyle w:val="style0"/>
        <w:ind w:hanging="0" w:left="0" w:right="-468"/>
        <w:jc w:val="both"/>
      </w:pPr>
      <w:r>
        <w:rPr>
          <w:rFonts w:ascii="Arial" w:cs="Arial" w:hAnsi="Arial"/>
          <w:b/>
          <w:sz w:val="22"/>
          <w:szCs w:val="22"/>
        </w:rPr>
        <w:t xml:space="preserve">c), d) </w:t>
      </w:r>
      <w:r>
        <w:rPr>
          <w:rFonts w:ascii="Arial" w:cs="Arial" w:hAnsi="Arial"/>
          <w:b/>
          <w:sz w:val="22"/>
          <w:szCs w:val="22"/>
          <w:u w:val="single"/>
        </w:rPr>
        <w:t>Výška záväzkov po lehote splatnosti a štruktúra záväzkov do lehoty splatnosti podľa zostatkovej doby splatnosti</w:t>
      </w:r>
    </w:p>
    <w:p>
      <w:pPr>
        <w:pStyle w:val="style0"/>
        <w:ind w:hanging="0" w:left="0" w:right="-468"/>
        <w:jc w:val="both"/>
      </w:pPr>
      <w:r>
        <w:rPr>
          <w:rFonts w:ascii="Arial" w:cs="Arial" w:hAnsi="Arial"/>
          <w:b/>
          <w:sz w:val="22"/>
          <w:szCs w:val="22"/>
          <w:u w:val="single"/>
        </w:rPr>
      </w:r>
    </w:p>
    <w:p>
      <w:pPr>
        <w:pStyle w:val="style0"/>
        <w:spacing w:after="120" w:before="0"/>
        <w:ind w:hanging="0" w:left="0" w:right="-471"/>
        <w:jc w:val="both"/>
      </w:pPr>
      <w:r>
        <w:rPr>
          <w:rFonts w:ascii="Arial" w:cs="Arial" w:hAnsi="Arial"/>
          <w:sz w:val="22"/>
          <w:szCs w:val="22"/>
        </w:rPr>
        <w:t>Informácie sú uvedené  v nasledujúcej tabuľke:</w:t>
      </w:r>
    </w:p>
    <w:p>
      <w:pPr>
        <w:pStyle w:val="style0"/>
        <w:spacing w:after="120" w:before="0"/>
        <w:ind w:hanging="0" w:left="0" w:right="-471"/>
        <w:jc w:val="both"/>
      </w:pPr>
      <w:bookmarkStart w:id="17" w:name="_MON_1457440337"/>
      <w:bookmarkEnd w:id="17"/>
      <w:r>
        <w:rPr/>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e) </w:t>
      </w:r>
      <w:r>
        <w:rPr>
          <w:rFonts w:ascii="Arial" w:cs="Arial" w:hAnsi="Arial"/>
          <w:b/>
          <w:sz w:val="22"/>
          <w:szCs w:val="22"/>
          <w:u w:val="single"/>
        </w:rPr>
        <w:t>Hodnota záväzku zabezpečenom záložným právom</w:t>
      </w:r>
      <w:r>
        <w:rPr>
          <w:rFonts w:ascii="Arial" w:cs="Arial" w:hAnsi="Arial"/>
          <w:sz w:val="22"/>
          <w:szCs w:val="22"/>
        </w:rPr>
        <w:t xml:space="preserve"> alebo zabezpečeným inou formou zabezpečenia a to s uvedením formy zabezpečenia. O týchto záväzkoch Spoločnosť neúčtovala. </w:t>
      </w:r>
    </w:p>
    <w:p>
      <w:pPr>
        <w:pStyle w:val="style0"/>
        <w:ind w:hanging="0" w:left="0" w:right="-468"/>
        <w:jc w:val="both"/>
      </w:pPr>
      <w:r>
        <w:rPr>
          <w:rFonts w:ascii="Arial" w:cs="Arial" w:hAnsi="Arial"/>
          <w:sz w:val="22"/>
          <w:szCs w:val="22"/>
        </w:rPr>
      </w:r>
    </w:p>
    <w:p>
      <w:pPr>
        <w:pStyle w:val="style0"/>
        <w:spacing w:after="120" w:before="0"/>
        <w:ind w:hanging="0" w:left="0" w:right="-471"/>
        <w:jc w:val="both"/>
      </w:pPr>
      <w:r>
        <w:rPr>
          <w:rFonts w:ascii="Arial" w:cs="Arial" w:hAnsi="Arial"/>
          <w:b/>
          <w:sz w:val="22"/>
          <w:szCs w:val="22"/>
        </w:rPr>
        <w:t xml:space="preserve">f) </w:t>
      </w:r>
      <w:r>
        <w:rPr>
          <w:rFonts w:ascii="Arial" w:cs="Arial" w:hAnsi="Arial"/>
          <w:b/>
          <w:sz w:val="22"/>
          <w:szCs w:val="22"/>
          <w:u w:val="single"/>
        </w:rPr>
        <w:t>Spôsob vzniku odloženého daňového záväzku</w:t>
      </w:r>
      <w:r>
        <w:rPr>
          <w:rFonts w:ascii="Arial" w:cs="Arial" w:hAnsi="Arial"/>
          <w:sz w:val="22"/>
          <w:szCs w:val="22"/>
        </w:rPr>
        <w:t xml:space="preserve">: </w:t>
      </w:r>
    </w:p>
    <w:p>
      <w:pPr>
        <w:pStyle w:val="style0"/>
        <w:spacing w:after="120" w:before="0"/>
        <w:ind w:hanging="0" w:left="0" w:right="-471"/>
        <w:jc w:val="both"/>
      </w:pPr>
      <w:r>
        <w:rPr>
          <w:rFonts w:ascii="Arial" w:cs="Arial" w:hAnsi="Arial"/>
          <w:sz w:val="22"/>
          <w:szCs w:val="22"/>
        </w:rPr>
        <w:t>Informácie k prílohe o odloženom daňovom záväzku sú uvedené v nasledujúcej tabuľke:</w:t>
      </w:r>
    </w:p>
    <w:p>
      <w:pPr>
        <w:pStyle w:val="style0"/>
        <w:spacing w:after="120" w:before="0"/>
        <w:ind w:hanging="0" w:left="0" w:right="-471"/>
        <w:jc w:val="both"/>
      </w:pPr>
      <w:r>
        <w:rPr>
          <w:rFonts w:ascii="Arial" w:cs="Arial" w:hAnsi="Arial"/>
          <w:sz w:val="22"/>
          <w:szCs w:val="22"/>
          <w:u w:val="single"/>
        </w:rPr>
      </w:r>
    </w:p>
    <w:p>
      <w:pPr>
        <w:pStyle w:val="style0"/>
        <w:spacing w:after="120" w:before="0"/>
        <w:ind w:hanging="0" w:left="0" w:right="-471"/>
        <w:jc w:val="both"/>
      </w:pPr>
      <w:bookmarkStart w:id="18" w:name="_MON_1456032247"/>
      <w:bookmarkEnd w:id="18"/>
      <w:r>
        <w:rPr/>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b/>
          <w:sz w:val="22"/>
          <w:szCs w:val="22"/>
        </w:rPr>
        <w:t xml:space="preserve">g) </w:t>
      </w:r>
      <w:r>
        <w:rPr>
          <w:rFonts w:ascii="Arial" w:cs="Arial" w:hAnsi="Arial"/>
          <w:b/>
          <w:sz w:val="22"/>
          <w:szCs w:val="22"/>
          <w:u w:val="single"/>
        </w:rPr>
        <w:t>Záväzky zo sociálneho fondu</w:t>
      </w:r>
      <w:r>
        <w:rPr>
          <w:rFonts w:ascii="Arial" w:cs="Arial" w:hAnsi="Arial"/>
          <w:b/>
          <w:sz w:val="22"/>
          <w:szCs w:val="22"/>
        </w:rPr>
        <w:t xml:space="preserve">: </w:t>
      </w:r>
    </w:p>
    <w:p>
      <w:pPr>
        <w:pStyle w:val="style0"/>
        <w:ind w:hanging="0" w:left="0" w:right="-468"/>
        <w:jc w:val="both"/>
      </w:pPr>
      <w:r>
        <w:rPr>
          <w:rFonts w:ascii="Arial" w:cs="Arial" w:hAnsi="Arial"/>
          <w:b/>
          <w:sz w:val="22"/>
          <w:szCs w:val="22"/>
        </w:rPr>
        <w:t xml:space="preserve"> </w:t>
      </w:r>
    </w:p>
    <w:p>
      <w:pPr>
        <w:pStyle w:val="style0"/>
        <w:spacing w:after="120" w:before="0"/>
        <w:jc w:val="both"/>
      </w:pPr>
      <w:r>
        <w:rPr>
          <w:rFonts w:ascii="Arial" w:cs="Arial" w:hAnsi="Arial"/>
          <w:sz w:val="22"/>
          <w:szCs w:val="22"/>
        </w:rPr>
        <w:t>Informácie o záväzkoch zo sociálneho fondu sú uvedené v nasledujúcej tabuľke:</w:t>
      </w:r>
    </w:p>
    <w:p>
      <w:pPr>
        <w:pStyle w:val="style0"/>
        <w:spacing w:after="120" w:before="0"/>
        <w:jc w:val="both"/>
      </w:pPr>
      <w:bookmarkStart w:id="19" w:name="_MON_1455946266"/>
      <w:bookmarkEnd w:id="19"/>
      <w:r>
        <w:rPr/>
      </w:r>
    </w:p>
    <w:p>
      <w:pPr>
        <w:pStyle w:val="style0"/>
        <w:spacing w:after="120" w:before="0"/>
        <w:jc w:val="both"/>
      </w:pPr>
      <w:r>
        <w:rPr>
          <w:rFonts w:ascii="Arial" w:cs="Arial" w:hAnsi="Arial"/>
          <w:sz w:val="22"/>
          <w:szCs w:val="22"/>
        </w:rPr>
        <w:t>Spoločnosť časť sociálneho fondu podľa zákona o sociálnom fonde tvorí povinne na ťarchu nákladov a časť môže vytvárať z čistého zisku. Sociálny fond sa podľa zákona o sociálnom fonde čerpá na sociálne, rekreačné a iné potreby zamestnancov.</w:t>
      </w:r>
    </w:p>
    <w:p>
      <w:pPr>
        <w:pStyle w:val="style0"/>
        <w:spacing w:after="120" w:before="0"/>
        <w:ind w:hanging="0" w:left="0" w:right="-468"/>
      </w:pPr>
      <w:r>
        <w:rPr>
          <w:rFonts w:ascii="Arial" w:cs="Arial" w:hAnsi="Arial"/>
          <w:sz w:val="22"/>
          <w:szCs w:val="22"/>
        </w:rPr>
      </w:r>
    </w:p>
    <w:p>
      <w:pPr>
        <w:pStyle w:val="style0"/>
        <w:spacing w:after="120" w:before="0"/>
        <w:ind w:hanging="0" w:left="0" w:right="-468"/>
      </w:pPr>
      <w:r>
        <w:rPr>
          <w:rFonts w:ascii="Arial" w:cs="Arial" w:hAnsi="Arial"/>
          <w:b/>
          <w:sz w:val="22"/>
          <w:szCs w:val="22"/>
        </w:rPr>
        <w:t xml:space="preserve">h) </w:t>
      </w:r>
      <w:r>
        <w:rPr>
          <w:rFonts w:ascii="Arial" w:cs="Arial" w:hAnsi="Arial"/>
          <w:b/>
          <w:sz w:val="22"/>
          <w:szCs w:val="22"/>
          <w:u w:val="single"/>
        </w:rPr>
        <w:t>Vydané dlhopisy</w:t>
      </w:r>
      <w:r>
        <w:rPr>
          <w:rFonts w:ascii="Arial" w:cs="Arial" w:hAnsi="Arial"/>
          <w:sz w:val="22"/>
          <w:szCs w:val="22"/>
        </w:rPr>
        <w:t>:</w:t>
      </w:r>
    </w:p>
    <w:p>
      <w:pPr>
        <w:pStyle w:val="style0"/>
        <w:spacing w:after="120" w:before="0"/>
        <w:jc w:val="both"/>
      </w:pPr>
      <w:r>
        <w:rPr>
          <w:rFonts w:ascii="Arial" w:cs="Arial" w:hAnsi="Arial"/>
          <w:sz w:val="22"/>
          <w:szCs w:val="22"/>
        </w:rPr>
        <w:t>Spoločnosť o  vydaných dlhopisoch neúčtuje.</w:t>
      </w:r>
    </w:p>
    <w:p>
      <w:pPr>
        <w:pStyle w:val="style0"/>
        <w:ind w:hanging="0" w:left="0" w:right="-468"/>
        <w:jc w:val="center"/>
      </w:pPr>
      <w:r>
        <w:rPr>
          <w:rFonts w:ascii="Arial" w:cs="Arial" w:hAnsi="Arial"/>
          <w:sz w:val="22"/>
          <w:szCs w:val="22"/>
        </w:rPr>
      </w:r>
    </w:p>
    <w:p>
      <w:pPr>
        <w:pStyle w:val="style0"/>
        <w:ind w:hanging="0" w:left="0" w:right="-468"/>
      </w:pPr>
      <w:r>
        <w:rPr>
          <w:rFonts w:ascii="Arial" w:cs="Arial" w:hAnsi="Arial"/>
          <w:b/>
          <w:sz w:val="22"/>
          <w:szCs w:val="22"/>
        </w:rPr>
        <w:t xml:space="preserve">i.1) </w:t>
      </w:r>
      <w:r>
        <w:rPr>
          <w:rFonts w:ascii="Arial" w:cs="Arial" w:hAnsi="Arial"/>
          <w:b/>
          <w:sz w:val="22"/>
          <w:szCs w:val="22"/>
          <w:u w:val="single"/>
        </w:rPr>
        <w:t>Bankové úvery, pôžičky a návratné finančné výpomoci</w:t>
      </w:r>
    </w:p>
    <w:p>
      <w:pPr>
        <w:pStyle w:val="style0"/>
        <w:ind w:hanging="0" w:left="0" w:right="-468"/>
      </w:pPr>
      <w:r>
        <w:rPr>
          <w:rFonts w:ascii="Arial" w:cs="Arial" w:hAnsi="Arial"/>
          <w:sz w:val="22"/>
          <w:szCs w:val="22"/>
        </w:rPr>
        <w:t xml:space="preserve"> </w:t>
      </w:r>
    </w:p>
    <w:tbl>
      <w:tblPr>
        <w:jc w:val="left"/>
        <w:tblBorders/>
      </w:tblPr>
      <w:tblGrid>
        <w:gridCol w:w="2662"/>
      </w:tblGrid>
      <w:tr>
        <w:trPr>
          <w:trHeight w:hRule="atLeast" w:val="315"/>
          <w:cantSplit w:val="false"/>
        </w:trPr>
        <w:tc>
          <w:tcPr>
            <w:tcW w:type="dxa" w:w="2662"/>
            <w:gridSpan w:val="7"/>
            <w:tcBorders/>
            <w:shd w:fill="FFFFFF" w:val="clear"/>
            <w:tcMar>
              <w:top w:type="dxa" w:w="0"/>
              <w:left w:type="dxa" w:w="70"/>
              <w:bottom w:type="dxa" w:w="0"/>
              <w:right w:type="dxa" w:w="70"/>
            </w:tcMar>
            <w:vAlign w:val="bottom"/>
          </w:tcPr>
          <w:p>
            <w:pPr>
              <w:pStyle w:val="style0"/>
              <w:jc w:val="both"/>
            </w:pPr>
            <w:r>
              <w:rPr>
                <w:rFonts w:ascii="Arial" w:cs="Arial" w:hAnsi="Arial"/>
                <w:bCs/>
                <w:sz w:val="22"/>
                <w:szCs w:val="22"/>
              </w:rPr>
              <w:t xml:space="preserve">Informácie sú uvedené v nasledujúcej tabuľke: </w:t>
            </w:r>
          </w:p>
        </w:tc>
      </w:tr>
      <w:tr>
        <w:trPr>
          <w:trHeight w:hRule="atLeast" w:val="300"/>
          <w:cantSplit w:val="false"/>
        </w:trPr>
        <w:tc>
          <w:tcPr>
            <w:tcW w:type="dxa" w:w="10316"/>
            <w:tcBorders/>
            <w:shd w:fill="FFFFFF" w:val="clear"/>
            <w:tcMar>
              <w:top w:type="dxa" w:w="0"/>
              <w:left w:type="dxa" w:w="70"/>
              <w:bottom w:type="dxa" w:w="0"/>
              <w:right w:type="dxa" w:w="70"/>
            </w:tcMar>
            <w:vAlign w:val="bottom"/>
          </w:tcPr>
          <w:p>
            <w:pPr>
              <w:pStyle w:val="style0"/>
              <w:jc w:val="both"/>
            </w:pPr>
            <w:r>
              <w:rPr>
                <w:rFonts w:ascii="Arial Narrow" w:cs="Calibri" w:hAnsi="Arial Narrow"/>
                <w:b/>
                <w:bCs/>
                <w:sz w:val="22"/>
                <w:szCs w:val="22"/>
              </w:rPr>
            </w:r>
          </w:p>
          <w:p>
            <w:pPr>
              <w:pStyle w:val="style0"/>
              <w:jc w:val="both"/>
            </w:pPr>
            <w:r>
              <w:rPr>
                <w:rFonts w:ascii="Arial" w:cs="Arial" w:hAnsi="Arial"/>
                <w:bCs/>
                <w:sz w:val="22"/>
                <w:szCs w:val="22"/>
              </w:rPr>
              <w:t>Tabuľka č.1</w:t>
            </w:r>
          </w:p>
          <w:p>
            <w:pPr>
              <w:pStyle w:val="style0"/>
              <w:jc w:val="both"/>
            </w:pPr>
            <w:bookmarkStart w:id="20" w:name="_MON_1455949175"/>
            <w:bookmarkEnd w:id="20"/>
            <w:r>
              <w:rPr/>
            </w:r>
          </w:p>
          <w:p>
            <w:pPr>
              <w:pStyle w:val="style0"/>
              <w:jc w:val="both"/>
            </w:pPr>
            <w:r>
              <w:rPr>
                <w:rFonts w:ascii="Arial Narrow" w:cs="Calibri" w:hAnsi="Arial Narrow"/>
                <w:b/>
                <w:bCs/>
                <w:sz w:val="22"/>
                <w:szCs w:val="22"/>
              </w:rPr>
            </w:r>
          </w:p>
        </w:tc>
        <w:tc>
          <w:tcPr>
            <w:tcW w:type="dxa" w:w="660"/>
            <w:tcBorders/>
            <w:shd w:fill="FFFFFF" w:val="clear"/>
            <w:tcMar>
              <w:top w:type="dxa" w:w="0"/>
              <w:left w:type="dxa" w:w="70"/>
              <w:bottom w:type="dxa" w:w="0"/>
              <w:right w:type="dxa" w:w="70"/>
            </w:tcMar>
            <w:vAlign w:val="bottom"/>
          </w:tcPr>
          <w:p>
            <w:pPr>
              <w:pStyle w:val="style0"/>
            </w:pPr>
            <w:r>
              <w:rPr>
                <w:sz w:val="20"/>
                <w:szCs w:val="20"/>
              </w:rPr>
            </w:r>
          </w:p>
        </w:tc>
        <w:tc>
          <w:tcPr>
            <w:tcW w:type="dxa" w:w="758"/>
            <w:tcBorders/>
            <w:shd w:fill="FFFFFF" w:val="clear"/>
            <w:tcMar>
              <w:top w:type="dxa" w:w="0"/>
              <w:left w:type="dxa" w:w="70"/>
              <w:bottom w:type="dxa" w:w="0"/>
              <w:right w:type="dxa" w:w="70"/>
            </w:tcMar>
            <w:vAlign w:val="bottom"/>
          </w:tcPr>
          <w:p>
            <w:pPr>
              <w:pStyle w:val="style0"/>
            </w:pPr>
            <w:r>
              <w:rPr>
                <w:sz w:val="20"/>
                <w:szCs w:val="20"/>
              </w:rPr>
            </w:r>
          </w:p>
        </w:tc>
        <w:tc>
          <w:tcPr>
            <w:tcW w:type="dxa" w:w="1019"/>
            <w:tcBorders/>
            <w:shd w:fill="FFFFFF" w:val="clear"/>
            <w:tcMar>
              <w:top w:type="dxa" w:w="0"/>
              <w:left w:type="dxa" w:w="70"/>
              <w:bottom w:type="dxa" w:w="0"/>
              <w:right w:type="dxa" w:w="70"/>
            </w:tcMar>
            <w:vAlign w:val="bottom"/>
          </w:tcPr>
          <w:p>
            <w:pPr>
              <w:pStyle w:val="style0"/>
            </w:pPr>
            <w:r>
              <w:rPr>
                <w:sz w:val="20"/>
                <w:szCs w:val="20"/>
              </w:rPr>
            </w:r>
          </w:p>
        </w:tc>
        <w:tc>
          <w:tcPr>
            <w:tcW w:type="dxa" w:w="1540"/>
            <w:tcBorders/>
            <w:shd w:fill="FFFFFF" w:val="clear"/>
            <w:tcMar>
              <w:top w:type="dxa" w:w="0"/>
              <w:left w:type="dxa" w:w="70"/>
              <w:bottom w:type="dxa" w:w="0"/>
              <w:right w:type="dxa" w:w="70"/>
            </w:tcMar>
            <w:vAlign w:val="bottom"/>
          </w:tcPr>
          <w:p>
            <w:pPr>
              <w:pStyle w:val="style0"/>
            </w:pPr>
            <w:r>
              <w:rPr>
                <w:sz w:val="20"/>
                <w:szCs w:val="20"/>
              </w:rPr>
            </w:r>
          </w:p>
        </w:tc>
        <w:tc>
          <w:tcPr>
            <w:tcW w:type="dxa" w:w="3395"/>
            <w:tcBorders/>
            <w:shd w:fill="FFFFFF" w:val="clear"/>
            <w:tcMar>
              <w:top w:type="dxa" w:w="0"/>
              <w:left w:type="dxa" w:w="70"/>
              <w:bottom w:type="dxa" w:w="0"/>
              <w:right w:type="dxa" w:w="70"/>
            </w:tcMar>
            <w:vAlign w:val="bottom"/>
          </w:tcPr>
          <w:p>
            <w:pPr>
              <w:pStyle w:val="style0"/>
            </w:pPr>
            <w:r>
              <w:rPr>
                <w:sz w:val="20"/>
                <w:szCs w:val="20"/>
              </w:rPr>
            </w:r>
          </w:p>
        </w:tc>
        <w:tc>
          <w:tcPr>
            <w:tcW w:type="dxa" w:w="946"/>
            <w:tcBorders/>
            <w:shd w:fill="FFFFFF" w:val="clear"/>
            <w:tcMar>
              <w:top w:type="dxa" w:w="0"/>
              <w:left w:type="dxa" w:w="70"/>
              <w:bottom w:type="dxa" w:w="0"/>
              <w:right w:type="dxa" w:w="70"/>
            </w:tcMar>
            <w:vAlign w:val="bottom"/>
          </w:tcPr>
          <w:p>
            <w:pPr>
              <w:pStyle w:val="style0"/>
            </w:pPr>
            <w:r>
              <w:rPr>
                <w:sz w:val="20"/>
                <w:szCs w:val="20"/>
              </w:rPr>
            </w:r>
          </w:p>
        </w:tc>
      </w:tr>
      <w:tr>
        <w:trPr>
          <w:trHeight w:hRule="atLeast" w:val="345"/>
          <w:cantSplit w:val="false"/>
        </w:trPr>
        <w:tc>
          <w:tcPr>
            <w:tcW w:type="dxa" w:w="10316"/>
            <w:tcBorders/>
            <w:shd w:fill="FFFFFF" w:val="clear"/>
            <w:tcMar>
              <w:top w:type="dxa" w:w="0"/>
              <w:left w:type="dxa" w:w="70"/>
              <w:bottom w:type="dxa" w:w="0"/>
              <w:right w:type="dxa" w:w="70"/>
            </w:tcMar>
            <w:vAlign w:val="bottom"/>
          </w:tcPr>
          <w:p>
            <w:pPr>
              <w:pStyle w:val="style0"/>
            </w:pPr>
            <w:r>
              <w:rPr>
                <w:rFonts w:ascii="Arial Narrow" w:cs="Calibri" w:hAnsi="Arial Narrow"/>
                <w:sz w:val="22"/>
                <w:szCs w:val="22"/>
              </w:rPr>
            </w:r>
          </w:p>
        </w:tc>
        <w:tc>
          <w:tcPr>
            <w:tcW w:type="dxa" w:w="660"/>
            <w:tcBorders/>
            <w:shd w:fill="FFFFFF" w:val="clear"/>
            <w:tcMar>
              <w:top w:type="dxa" w:w="0"/>
              <w:left w:type="dxa" w:w="70"/>
              <w:bottom w:type="dxa" w:w="0"/>
              <w:right w:type="dxa" w:w="70"/>
            </w:tcMar>
            <w:vAlign w:val="bottom"/>
          </w:tcPr>
          <w:p>
            <w:pPr>
              <w:pStyle w:val="style0"/>
            </w:pPr>
            <w:r>
              <w:rPr>
                <w:rFonts w:ascii="Arial Narrow" w:cs="Calibri" w:hAnsi="Arial Narrow"/>
                <w:sz w:val="22"/>
                <w:szCs w:val="22"/>
              </w:rPr>
            </w:r>
          </w:p>
        </w:tc>
        <w:tc>
          <w:tcPr>
            <w:tcW w:type="dxa" w:w="758"/>
            <w:tcBorders/>
            <w:shd w:fill="FFFFFF" w:val="clear"/>
            <w:tcMar>
              <w:top w:type="dxa" w:w="0"/>
              <w:left w:type="dxa" w:w="70"/>
              <w:bottom w:type="dxa" w:w="0"/>
              <w:right w:type="dxa" w:w="70"/>
            </w:tcMar>
            <w:vAlign w:val="bottom"/>
          </w:tcPr>
          <w:p>
            <w:pPr>
              <w:pStyle w:val="style0"/>
            </w:pPr>
            <w:r>
              <w:rPr>
                <w:sz w:val="20"/>
                <w:szCs w:val="20"/>
              </w:rPr>
            </w:r>
          </w:p>
        </w:tc>
        <w:tc>
          <w:tcPr>
            <w:tcW w:type="dxa" w:w="1019"/>
            <w:tcBorders/>
            <w:shd w:fill="FFFFFF" w:val="clear"/>
            <w:tcMar>
              <w:top w:type="dxa" w:w="0"/>
              <w:left w:type="dxa" w:w="70"/>
              <w:bottom w:type="dxa" w:w="0"/>
              <w:right w:type="dxa" w:w="70"/>
            </w:tcMar>
            <w:vAlign w:val="bottom"/>
          </w:tcPr>
          <w:p>
            <w:pPr>
              <w:pStyle w:val="style0"/>
            </w:pPr>
            <w:r>
              <w:rPr>
                <w:sz w:val="20"/>
                <w:szCs w:val="20"/>
              </w:rPr>
            </w:r>
          </w:p>
        </w:tc>
        <w:tc>
          <w:tcPr>
            <w:tcW w:type="dxa" w:w="1540"/>
            <w:tcBorders/>
            <w:shd w:fill="FFFFFF" w:val="clear"/>
            <w:tcMar>
              <w:top w:type="dxa" w:w="0"/>
              <w:left w:type="dxa" w:w="70"/>
              <w:bottom w:type="dxa" w:w="0"/>
              <w:right w:type="dxa" w:w="70"/>
            </w:tcMar>
            <w:vAlign w:val="bottom"/>
          </w:tcPr>
          <w:p>
            <w:pPr>
              <w:pStyle w:val="style0"/>
            </w:pPr>
            <w:r>
              <w:rPr>
                <w:sz w:val="20"/>
                <w:szCs w:val="20"/>
              </w:rPr>
            </w:r>
          </w:p>
        </w:tc>
        <w:tc>
          <w:tcPr>
            <w:tcW w:type="dxa" w:w="3395"/>
            <w:tcBorders/>
            <w:shd w:fill="FFFFFF" w:val="clear"/>
            <w:tcMar>
              <w:top w:type="dxa" w:w="0"/>
              <w:left w:type="dxa" w:w="70"/>
              <w:bottom w:type="dxa" w:w="0"/>
              <w:right w:type="dxa" w:w="70"/>
            </w:tcMar>
            <w:vAlign w:val="bottom"/>
          </w:tcPr>
          <w:p>
            <w:pPr>
              <w:pStyle w:val="style0"/>
            </w:pPr>
            <w:r>
              <w:rPr>
                <w:sz w:val="20"/>
                <w:szCs w:val="20"/>
              </w:rPr>
            </w:r>
          </w:p>
        </w:tc>
        <w:tc>
          <w:tcPr>
            <w:tcW w:type="dxa" w:w="946"/>
            <w:tcBorders/>
            <w:shd w:fill="FFFFFF" w:val="clear"/>
            <w:tcMar>
              <w:top w:type="dxa" w:w="0"/>
              <w:left w:type="dxa" w:w="70"/>
              <w:bottom w:type="dxa" w:w="0"/>
              <w:right w:type="dxa" w:w="70"/>
            </w:tcMar>
            <w:vAlign w:val="bottom"/>
          </w:tcPr>
          <w:p>
            <w:pPr>
              <w:pStyle w:val="style0"/>
            </w:pPr>
            <w:r>
              <w:rPr>
                <w:sz w:val="20"/>
                <w:szCs w:val="20"/>
              </w:rPr>
            </w:r>
          </w:p>
        </w:tc>
      </w:tr>
    </w:tbl>
    <w:p>
      <w:pPr>
        <w:pStyle w:val="style0"/>
        <w:jc w:val="both"/>
      </w:pPr>
      <w:r>
        <w:rPr>
          <w:rFonts w:ascii="Arial" w:cs="Arial" w:hAnsi="Arial"/>
          <w:sz w:val="22"/>
          <w:szCs w:val="22"/>
        </w:rPr>
        <w:t>Dlhodobé úvery Spoločnosť čerpala na financovanie projektov spolufinancovaných z prostriedkov Európskej únie a zo Štátneho rozpočtu: Projekt ISPA Žilina a projekt Kohézneho fondu Dodávka pitnej vody a odkanalizovanie Horných Kysúc, čiastočne z úverov financovala projekt Verejná kanalizácia Rajec, rekonštrukcia stokovej siete a ČOV. Úvery boli ručené nehnuteľným majetkom a pohľadávkami. Podrobná informácia je uvedená</w:t>
      </w:r>
    </w:p>
    <w:p>
      <w:pPr>
        <w:pStyle w:val="style0"/>
        <w:jc w:val="both"/>
      </w:pPr>
      <w:r>
        <w:rPr>
          <w:rFonts w:ascii="Arial" w:cs="Arial" w:hAnsi="Arial"/>
          <w:sz w:val="22"/>
          <w:szCs w:val="22"/>
        </w:rPr>
        <w:t>v prehľade Údaje o záložnom práve k dlhodobému hmotnému majetku na strane č. 11 a  12. Spoločnosť má s ČSOB  podpísanú Zmluvu o pravidlách úverovania č. 7633/12/44698 upravujúcu pravidlá pre rokovanie zmluvných strán o možnosti uzatvorenia úveru s limitom do výšky 1 659 000 EUR.</w:t>
      </w:r>
    </w:p>
    <w:p>
      <w:pPr>
        <w:pStyle w:val="style0"/>
        <w:jc w:val="both"/>
      </w:pPr>
      <w:r>
        <w:rPr>
          <w:rFonts w:ascii="Arial" w:cs="Arial" w:hAnsi="Arial"/>
          <w:sz w:val="22"/>
          <w:szCs w:val="22"/>
        </w:rPr>
      </w:r>
    </w:p>
    <w:p>
      <w:pPr>
        <w:pStyle w:val="style0"/>
        <w:ind w:hanging="0" w:left="0" w:right="-468"/>
      </w:pPr>
      <w:r>
        <w:rPr>
          <w:rFonts w:ascii="Arial" w:cs="Arial" w:hAnsi="Arial"/>
          <w:b/>
          <w:sz w:val="22"/>
          <w:szCs w:val="22"/>
        </w:rPr>
        <w:t>i.2)</w:t>
      </w:r>
      <w:r>
        <w:rPr>
          <w:rFonts w:ascii="Arial" w:cs="Arial" w:hAnsi="Arial"/>
          <w:sz w:val="22"/>
          <w:szCs w:val="22"/>
        </w:rPr>
        <w:t xml:space="preserve"> </w:t>
      </w:r>
      <w:r>
        <w:rPr>
          <w:rFonts w:ascii="Arial" w:cs="Arial" w:hAnsi="Arial"/>
          <w:b/>
          <w:sz w:val="22"/>
          <w:szCs w:val="22"/>
          <w:u w:val="single"/>
        </w:rPr>
        <w:t>Bankové úvery, pôžičky a návratné finančné výpomoci - hodnota a forma zabezpečenia</w:t>
      </w:r>
    </w:p>
    <w:p>
      <w:pPr>
        <w:pStyle w:val="style0"/>
        <w:ind w:hanging="0" w:left="0" w:right="-468"/>
      </w:pPr>
      <w:r>
        <w:rPr>
          <w:rFonts w:ascii="Arial" w:cs="Arial" w:hAnsi="Arial"/>
          <w:b/>
          <w:sz w:val="22"/>
          <w:szCs w:val="22"/>
          <w:u w:val="single"/>
        </w:rPr>
      </w:r>
    </w:p>
    <w:p>
      <w:pPr>
        <w:pStyle w:val="style0"/>
        <w:ind w:hanging="0" w:left="0" w:right="-468"/>
      </w:pPr>
      <w:r>
        <w:rPr>
          <w:rFonts w:ascii="Arial" w:cs="Arial" w:hAnsi="Arial"/>
          <w:sz w:val="22"/>
          <w:szCs w:val="22"/>
        </w:rPr>
        <w:t xml:space="preserve">Podrobné informácie o forme zabezpečenia bankových úverov , hodnota v eurách sú uvedené v časti F, bod c2). </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j)</w:t>
      </w:r>
      <w:r>
        <w:rPr>
          <w:rFonts w:ascii="Arial" w:cs="Arial" w:hAnsi="Arial"/>
          <w:sz w:val="22"/>
          <w:szCs w:val="22"/>
        </w:rPr>
        <w:t xml:space="preserve"> </w:t>
      </w:r>
      <w:r>
        <w:rPr>
          <w:rFonts w:ascii="Arial" w:cs="Arial" w:hAnsi="Arial"/>
          <w:b/>
          <w:sz w:val="22"/>
          <w:szCs w:val="22"/>
          <w:u w:val="single"/>
        </w:rPr>
        <w:t xml:space="preserve">Významné položky časového rozlíšenia výdavkov budúcich období a výnosov budúcich </w:t>
      </w:r>
    </w:p>
    <w:p>
      <w:pPr>
        <w:pStyle w:val="style0"/>
        <w:ind w:hanging="0" w:left="0" w:right="-468"/>
        <w:jc w:val="both"/>
      </w:pPr>
      <w:r>
        <w:rPr>
          <w:rFonts w:ascii="Arial" w:cs="Arial" w:hAnsi="Arial"/>
          <w:b/>
          <w:sz w:val="22"/>
          <w:szCs w:val="22"/>
          <w:u w:val="single"/>
        </w:rPr>
        <w:t>období</w:t>
      </w:r>
    </w:p>
    <w:p>
      <w:pPr>
        <w:pStyle w:val="style0"/>
        <w:ind w:hanging="0" w:left="0" w:right="-468"/>
        <w:jc w:val="both"/>
      </w:pPr>
      <w:r>
        <w:rPr>
          <w:rFonts w:ascii="Arial" w:cs="Arial" w:hAnsi="Arial"/>
          <w:b/>
          <w:sz w:val="22"/>
          <w:szCs w:val="22"/>
          <w:u w:val="single"/>
        </w:rPr>
      </w:r>
    </w:p>
    <w:p>
      <w:pPr>
        <w:pStyle w:val="style0"/>
        <w:ind w:hanging="0" w:left="0" w:right="-468"/>
        <w:jc w:val="both"/>
      </w:pPr>
      <w:r>
        <w:rPr>
          <w:rFonts w:ascii="Arial" w:cs="Arial" w:hAnsi="Arial"/>
          <w:sz w:val="22"/>
          <w:szCs w:val="22"/>
        </w:rPr>
        <w:t>Informácie sú uvedené v nasledujúcej tabuľke:</w:t>
      </w:r>
    </w:p>
    <w:p>
      <w:pPr>
        <w:pStyle w:val="style0"/>
        <w:ind w:hanging="0" w:left="0" w:right="-468"/>
        <w:jc w:val="both"/>
      </w:pPr>
      <w:bookmarkStart w:id="21" w:name="_MON_1456744647"/>
      <w:bookmarkEnd w:id="21"/>
      <w:r>
        <w:rPr/>
      </w:r>
    </w:p>
    <w:p>
      <w:pPr>
        <w:pStyle w:val="style0"/>
        <w:ind w:hanging="0" w:left="0" w:right="-468"/>
        <w:jc w:val="both"/>
      </w:pPr>
      <w:r>
        <w:rPr>
          <w:rFonts w:ascii="Arial" w:cs="Arial" w:hAnsi="Arial"/>
          <w:color w:val="FF0000"/>
          <w:sz w:val="22"/>
          <w:szCs w:val="22"/>
        </w:rPr>
      </w:r>
    </w:p>
    <w:p>
      <w:pPr>
        <w:pStyle w:val="style0"/>
        <w:ind w:hanging="0" w:left="0" w:right="-468"/>
        <w:jc w:val="both"/>
      </w:pPr>
      <w:r>
        <w:rPr>
          <w:rFonts w:ascii="Arial" w:cs="Arial" w:hAnsi="Arial"/>
          <w:b/>
          <w:sz w:val="22"/>
          <w:szCs w:val="22"/>
        </w:rPr>
        <w:t xml:space="preserve">k) </w:t>
      </w:r>
      <w:r>
        <w:rPr>
          <w:rFonts w:ascii="Arial" w:cs="Arial" w:hAnsi="Arial"/>
          <w:b/>
          <w:sz w:val="22"/>
          <w:szCs w:val="22"/>
          <w:u w:val="single"/>
        </w:rPr>
        <w:t>Významné položky derivátov</w:t>
      </w:r>
    </w:p>
    <w:p>
      <w:pPr>
        <w:pStyle w:val="style0"/>
        <w:ind w:hanging="0" w:left="0" w:right="-468"/>
        <w:jc w:val="both"/>
      </w:pPr>
      <w:r>
        <w:rPr>
          <w:rFonts w:ascii="Arial" w:cs="Arial" w:hAnsi="Arial"/>
          <w:b/>
          <w:sz w:val="22"/>
          <w:szCs w:val="22"/>
          <w:u w:val="single"/>
        </w:rPr>
      </w:r>
    </w:p>
    <w:p>
      <w:pPr>
        <w:pStyle w:val="style0"/>
        <w:ind w:hanging="0" w:left="0" w:right="-468"/>
        <w:jc w:val="both"/>
      </w:pPr>
      <w:r>
        <w:rPr>
          <w:rFonts w:ascii="Arial" w:cs="Arial" w:hAnsi="Arial"/>
          <w:sz w:val="22"/>
          <w:szCs w:val="22"/>
        </w:rPr>
        <w:t>Spoločnosť o derivátoch neúčtuje.</w:t>
      </w:r>
    </w:p>
    <w:p>
      <w:pPr>
        <w:pStyle w:val="style0"/>
        <w:ind w:hanging="0" w:left="0" w:right="-468"/>
        <w:jc w:val="both"/>
      </w:pPr>
      <w:r>
        <w:rPr>
          <w:rFonts w:ascii="Arial" w:cs="Arial" w:hAnsi="Arial"/>
          <w:sz w:val="22"/>
          <w:szCs w:val="22"/>
        </w:rPr>
      </w:r>
    </w:p>
    <w:p>
      <w:pPr>
        <w:pStyle w:val="style0"/>
        <w:spacing w:after="120" w:before="0"/>
        <w:ind w:hanging="0" w:left="0" w:right="-471"/>
        <w:jc w:val="both"/>
      </w:pPr>
      <w:r>
        <w:rPr>
          <w:rFonts w:ascii="Arial" w:cs="Arial" w:hAnsi="Arial"/>
          <w:b/>
          <w:bCs/>
          <w:sz w:val="22"/>
          <w:szCs w:val="22"/>
        </w:rPr>
        <w:t xml:space="preserve">H. INFORMÁCIE O VÝNOSOCH </w:t>
      </w:r>
    </w:p>
    <w:p>
      <w:pPr>
        <w:pStyle w:val="style0"/>
        <w:spacing w:after="120" w:before="0"/>
        <w:ind w:hanging="0" w:left="0" w:right="-471"/>
        <w:jc w:val="both"/>
      </w:pPr>
      <w:r>
        <w:rPr>
          <w:rFonts w:ascii="Arial" w:cs="Arial" w:hAnsi="Arial"/>
          <w:b/>
          <w:bCs/>
          <w:sz w:val="22"/>
          <w:szCs w:val="22"/>
        </w:rPr>
      </w:r>
    </w:p>
    <w:p>
      <w:pPr>
        <w:pStyle w:val="style0"/>
        <w:jc w:val="both"/>
      </w:pPr>
      <w:r>
        <w:rPr>
          <w:rFonts w:ascii="Arial" w:cs="Arial" w:hAnsi="Arial"/>
          <w:b/>
          <w:sz w:val="22"/>
          <w:szCs w:val="22"/>
        </w:rPr>
        <w:t xml:space="preserve">a) </w:t>
      </w:r>
      <w:r>
        <w:rPr>
          <w:rFonts w:ascii="Arial" w:cs="Arial" w:hAnsi="Arial"/>
          <w:b/>
          <w:sz w:val="22"/>
          <w:szCs w:val="22"/>
          <w:u w:val="single"/>
        </w:rPr>
        <w:t>Sumy tržieb za vlastné výkony a tovar</w:t>
      </w:r>
      <w:r>
        <w:rPr>
          <w:rFonts w:ascii="Arial" w:cs="Arial" w:hAnsi="Arial"/>
          <w:sz w:val="22"/>
          <w:szCs w:val="22"/>
        </w:rPr>
        <w:t xml:space="preserve"> </w:t>
      </w:r>
    </w:p>
    <w:p>
      <w:pPr>
        <w:pStyle w:val="style0"/>
        <w:jc w:val="both"/>
      </w:pPr>
      <w:r>
        <w:rPr>
          <w:rFonts w:ascii="Arial" w:cs="Arial" w:hAnsi="Arial"/>
          <w:sz w:val="22"/>
          <w:szCs w:val="22"/>
        </w:rPr>
      </w:r>
    </w:p>
    <w:p>
      <w:pPr>
        <w:pStyle w:val="style0"/>
        <w:jc w:val="both"/>
      </w:pPr>
      <w:r>
        <w:rPr>
          <w:rFonts w:ascii="Arial" w:cs="Arial" w:hAnsi="Arial"/>
          <w:sz w:val="22"/>
          <w:szCs w:val="22"/>
        </w:rPr>
        <w:t>Tržby za vlastné výkony a podľa jednotlivých segmentov, t. j. výrobkov a služieb sú uvedené v nasledujúcom prehľade:</w:t>
      </w:r>
    </w:p>
    <w:p>
      <w:pPr>
        <w:pStyle w:val="style0"/>
        <w:jc w:val="both"/>
      </w:pPr>
      <w:bookmarkStart w:id="22" w:name="_MON_1457446998"/>
      <w:bookmarkEnd w:id="22"/>
      <w:r>
        <w:rPr/>
      </w:r>
    </w:p>
    <w:p>
      <w:pPr>
        <w:pStyle w:val="style0"/>
        <w:jc w:val="both"/>
      </w:pPr>
      <w:r>
        <w:rPr>
          <w:rFonts w:ascii="Arial" w:cs="Arial" w:hAnsi="Arial"/>
          <w:sz w:val="22"/>
          <w:szCs w:val="22"/>
        </w:rPr>
      </w:r>
    </w:p>
    <w:p>
      <w:pPr>
        <w:pStyle w:val="style0"/>
        <w:jc w:val="both"/>
      </w:pPr>
      <w:r>
        <w:rPr>
          <w:rFonts w:ascii="Arial" w:cs="Arial" w:hAnsi="Arial"/>
          <w:b/>
          <w:sz w:val="22"/>
          <w:szCs w:val="22"/>
        </w:rPr>
        <w:t xml:space="preserve">b) Zmeny stavu zásob vlastnej výroby </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Zmenu stavu zásob vlastnej výroby Spoločnosť nevykazuje. </w:t>
      </w:r>
    </w:p>
    <w:p>
      <w:pPr>
        <w:pStyle w:val="style0"/>
        <w:jc w:val="both"/>
      </w:pPr>
      <w:r>
        <w:rPr>
          <w:rFonts w:ascii="Arial" w:cs="Arial" w:hAnsi="Arial"/>
          <w:sz w:val="22"/>
          <w:szCs w:val="22"/>
        </w:rPr>
      </w:r>
    </w:p>
    <w:p>
      <w:pPr>
        <w:pStyle w:val="style0"/>
        <w:jc w:val="both"/>
      </w:pPr>
      <w:r>
        <w:rPr>
          <w:rFonts w:ascii="Arial" w:cs="Arial" w:hAnsi="Arial"/>
          <w:sz w:val="22"/>
          <w:szCs w:val="22"/>
        </w:rPr>
        <w:t>c) Opis a sumu významných položiek výnosov pri aktivácii nákladov</w:t>
      </w:r>
    </w:p>
    <w:p>
      <w:pPr>
        <w:pStyle w:val="style0"/>
        <w:jc w:val="both"/>
      </w:pPr>
      <w:bookmarkStart w:id="23" w:name="_MON_1457527873"/>
      <w:bookmarkEnd w:id="23"/>
      <w:r>
        <w:rPr/>
      </w:r>
    </w:p>
    <w:p>
      <w:pPr>
        <w:pStyle w:val="style0"/>
        <w:jc w:val="both"/>
      </w:pPr>
      <w:r>
        <w:rPr>
          <w:rFonts w:ascii="Arial" w:cs="Arial" w:hAnsi="Arial"/>
          <w:sz w:val="22"/>
          <w:szCs w:val="22"/>
        </w:rPr>
        <w:t xml:space="preserve">f) Sumu položiek </w:t>
      </w:r>
      <w:r>
        <w:rPr>
          <w:rFonts w:ascii="Arial" w:cs="Arial" w:hAnsi="Arial"/>
          <w:sz w:val="22"/>
          <w:szCs w:val="22"/>
          <w:u w:val="single"/>
        </w:rPr>
        <w:t>mimoriadnych výnosov</w:t>
      </w:r>
      <w:r>
        <w:rPr>
          <w:rFonts w:ascii="Arial" w:cs="Arial" w:hAnsi="Arial"/>
          <w:sz w:val="22"/>
          <w:szCs w:val="22"/>
        </w:rPr>
        <w:t xml:space="preserve"> týkajúcich sa bežného účtovného obdobia a ich opis a sumu položiek mimoriadnych výnosov týkajúcich sa predchádzajúcich účtovných období a ich opi Spoločnosť nevykazuje.</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g) </w:t>
      </w:r>
      <w:r>
        <w:rPr>
          <w:rFonts w:ascii="Arial" w:cs="Arial" w:hAnsi="Arial"/>
          <w:sz w:val="22"/>
          <w:szCs w:val="22"/>
          <w:u w:val="single"/>
        </w:rPr>
        <w:t>Suma čistého obratu</w:t>
      </w:r>
      <w:r>
        <w:rPr>
          <w:rFonts w:ascii="Arial" w:cs="Arial" w:hAnsi="Arial"/>
          <w:sz w:val="22"/>
          <w:szCs w:val="22"/>
        </w:rPr>
        <w:t xml:space="preserve"> podľa § 19 ods.1 písm. a)  zákona o účtovníctve ,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r>
        <w:rPr>
          <w:rFonts w:ascii="Arial" w:cs="Arial" w:hAnsi="Arial"/>
          <w:sz w:val="22"/>
          <w:szCs w:val="22"/>
        </w:rPr>
        <w:t>Informácie o čistom obrate sú v nasledujúcej tabuľke:</w:t>
      </w:r>
    </w:p>
    <w:p>
      <w:pPr>
        <w:pStyle w:val="style0"/>
        <w:spacing w:after="120" w:before="0"/>
        <w:ind w:hanging="0" w:left="0" w:right="-471"/>
        <w:jc w:val="both"/>
      </w:pPr>
      <w:bookmarkStart w:id="24" w:name="_MON_1455949689"/>
      <w:bookmarkEnd w:id="24"/>
      <w:r>
        <w:rPr/>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r>
        <w:rPr>
          <w:rFonts w:ascii="Arial" w:cs="Arial" w:hAnsi="Arial"/>
          <w:b/>
          <w:bCs/>
          <w:sz w:val="22"/>
          <w:szCs w:val="22"/>
        </w:rPr>
        <w:t xml:space="preserve">I. INFORMÁCIE O NÁKLADOCH </w:t>
      </w:r>
    </w:p>
    <w:p>
      <w:pPr>
        <w:pStyle w:val="style0"/>
        <w:spacing w:after="120" w:before="0"/>
        <w:ind w:hanging="0" w:left="0" w:right="-471"/>
        <w:jc w:val="both"/>
      </w:pPr>
      <w:r>
        <w:rPr>
          <w:rFonts w:ascii="Arial" w:cs="Arial" w:hAnsi="Arial"/>
          <w:b/>
          <w:bCs/>
          <w:sz w:val="22"/>
          <w:szCs w:val="22"/>
        </w:rPr>
      </w:r>
    </w:p>
    <w:p>
      <w:pPr>
        <w:pStyle w:val="style0"/>
        <w:ind w:hanging="0" w:left="0" w:right="-468"/>
        <w:jc w:val="both"/>
      </w:pPr>
      <w:r>
        <w:rPr>
          <w:rFonts w:ascii="Arial" w:cs="Arial" w:hAnsi="Arial"/>
          <w:b/>
          <w:sz w:val="22"/>
          <w:szCs w:val="22"/>
        </w:rPr>
        <w:t xml:space="preserve">a) </w:t>
      </w:r>
      <w:r>
        <w:rPr>
          <w:rFonts w:ascii="Arial" w:cs="Arial" w:hAnsi="Arial"/>
          <w:b/>
          <w:sz w:val="22"/>
          <w:szCs w:val="22"/>
          <w:u w:val="single"/>
        </w:rPr>
        <w:t>Opis a suma významných položiek</w:t>
      </w:r>
      <w:r>
        <w:rPr>
          <w:rFonts w:ascii="Arial" w:cs="Arial" w:hAnsi="Arial"/>
          <w:b/>
          <w:sz w:val="22"/>
          <w:szCs w:val="22"/>
        </w:rPr>
        <w:t xml:space="preserve"> </w:t>
      </w:r>
      <w:r>
        <w:rPr>
          <w:rFonts w:ascii="Arial" w:cs="Arial" w:hAnsi="Arial"/>
          <w:b/>
          <w:sz w:val="22"/>
          <w:szCs w:val="22"/>
          <w:u w:val="single"/>
        </w:rPr>
        <w:t>nákladov za poskytnuté služby</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sz w:val="22"/>
          <w:szCs w:val="22"/>
        </w:rPr>
        <w:t xml:space="preserve">b) </w:t>
      </w:r>
      <w:r>
        <w:rPr>
          <w:rFonts w:ascii="Arial" w:cs="Arial" w:hAnsi="Arial"/>
          <w:b/>
          <w:sz w:val="22"/>
          <w:szCs w:val="22"/>
          <w:u w:val="single"/>
        </w:rPr>
        <w:t>Opis a suma významných položiek</w:t>
      </w:r>
      <w:r>
        <w:rPr>
          <w:rFonts w:ascii="Arial" w:cs="Arial" w:hAnsi="Arial"/>
          <w:b/>
          <w:sz w:val="22"/>
          <w:szCs w:val="22"/>
        </w:rPr>
        <w:t xml:space="preserve"> </w:t>
      </w:r>
      <w:r>
        <w:rPr>
          <w:rFonts w:ascii="Arial" w:cs="Arial" w:hAnsi="Arial"/>
          <w:b/>
          <w:sz w:val="22"/>
          <w:szCs w:val="22"/>
          <w:u w:val="single"/>
        </w:rPr>
        <w:t>ostatných nákladov z hospodárskej činnosti</w:t>
      </w:r>
    </w:p>
    <w:p>
      <w:pPr>
        <w:pStyle w:val="style0"/>
        <w:ind w:hanging="0" w:left="0" w:right="-468"/>
        <w:jc w:val="both"/>
      </w:pPr>
      <w:r>
        <w:rPr>
          <w:rFonts w:ascii="Arial" w:cs="Arial" w:hAnsi="Arial"/>
          <w:b/>
          <w:sz w:val="22"/>
          <w:szCs w:val="22"/>
        </w:rPr>
      </w:r>
    </w:p>
    <w:p>
      <w:pPr>
        <w:pStyle w:val="style0"/>
        <w:ind w:hanging="0" w:left="0" w:right="-468"/>
        <w:jc w:val="both"/>
      </w:pPr>
      <w:r>
        <w:rPr>
          <w:rFonts w:ascii="Arial" w:cs="Arial" w:hAnsi="Arial"/>
          <w:b/>
          <w:sz w:val="22"/>
          <w:szCs w:val="22"/>
        </w:rPr>
        <w:t>c)</w:t>
      </w:r>
      <w:r>
        <w:rPr>
          <w:rFonts w:ascii="Arial" w:cs="Arial" w:hAnsi="Arial"/>
          <w:b/>
          <w:sz w:val="22"/>
          <w:szCs w:val="22"/>
          <w:u w:val="single"/>
        </w:rPr>
        <w:t xml:space="preserve"> Opis a suma významných položiek finančných nákladov</w:t>
      </w:r>
      <w:r>
        <w:rPr>
          <w:rFonts w:ascii="Arial" w:cs="Arial" w:hAnsi="Arial"/>
          <w:sz w:val="22"/>
          <w:szCs w:val="22"/>
        </w:rPr>
        <w:t xml:space="preserve"> a celková suma kurzových strát; osobitne sa uvádza suma kurzových strát účtovaná ku dňu, ku ktorému sa zostavuje účtovná závierka:</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t xml:space="preserve">d) </w:t>
      </w:r>
      <w:r>
        <w:rPr>
          <w:rFonts w:ascii="Arial" w:cs="Arial" w:hAnsi="Arial"/>
          <w:b/>
          <w:sz w:val="22"/>
          <w:szCs w:val="22"/>
          <w:u w:val="single"/>
        </w:rPr>
        <w:t>Opis a suma položiek mimoriadnych nákladov</w:t>
      </w:r>
      <w:r>
        <w:rPr>
          <w:rFonts w:ascii="Arial" w:cs="Arial" w:hAnsi="Arial"/>
          <w:b/>
          <w:sz w:val="22"/>
          <w:szCs w:val="22"/>
        </w:rPr>
        <w:t xml:space="preserve"> týkajúcich sa bežného účtovného obdobia a položiek mimoriadnych nákladov tkajúcich sa predchádzajúcich účtovných období</w:t>
      </w:r>
    </w:p>
    <w:p>
      <w:pPr>
        <w:pStyle w:val="style0"/>
        <w:ind w:hanging="0" w:left="0" w:right="-468"/>
        <w:jc w:val="both"/>
      </w:pPr>
      <w:r>
        <w:rPr>
          <w:rFonts w:ascii="Arial" w:cs="Arial" w:hAnsi="Arial"/>
          <w:b/>
          <w:sz w:val="22"/>
          <w:szCs w:val="22"/>
        </w:rPr>
      </w:r>
    </w:p>
    <w:p>
      <w:pPr>
        <w:pStyle w:val="style0"/>
        <w:spacing w:after="120" w:before="0"/>
        <w:ind w:hanging="0" w:left="0" w:right="-471"/>
        <w:jc w:val="both"/>
      </w:pPr>
      <w:r>
        <w:rPr>
          <w:rFonts w:ascii="Arial" w:cs="Arial" w:hAnsi="Arial"/>
          <w:b/>
          <w:sz w:val="22"/>
          <w:szCs w:val="22"/>
        </w:rPr>
        <w:t xml:space="preserve">e) </w:t>
      </w:r>
      <w:r>
        <w:rPr>
          <w:rFonts w:ascii="Arial" w:cs="Arial" w:hAnsi="Arial"/>
          <w:b/>
          <w:sz w:val="22"/>
          <w:szCs w:val="22"/>
          <w:u w:val="single"/>
        </w:rPr>
        <w:t>Opis a celková suma nákladov za overenie individuálnej účtovnej závierky audítorom</w:t>
      </w:r>
      <w:r>
        <w:rPr>
          <w:rFonts w:ascii="Arial" w:cs="Arial" w:hAnsi="Arial"/>
          <w:b/>
          <w:sz w:val="22"/>
          <w:szCs w:val="22"/>
        </w:rPr>
        <w:t>:</w:t>
      </w:r>
    </w:p>
    <w:p>
      <w:pPr>
        <w:pStyle w:val="style0"/>
        <w:spacing w:after="120" w:before="0"/>
        <w:ind w:hanging="0" w:left="0" w:right="-471"/>
        <w:jc w:val="both"/>
      </w:pPr>
      <w:r>
        <w:rPr>
          <w:rFonts w:ascii="Arial" w:cs="Arial" w:hAnsi="Arial"/>
          <w:sz w:val="22"/>
          <w:szCs w:val="22"/>
        </w:rPr>
      </w:r>
    </w:p>
    <w:p>
      <w:pPr>
        <w:pStyle w:val="style0"/>
        <w:spacing w:after="120" w:before="0"/>
        <w:ind w:hanging="0" w:left="0" w:right="-471"/>
        <w:jc w:val="both"/>
      </w:pPr>
      <w:r>
        <w:rPr>
          <w:rFonts w:ascii="Arial" w:cs="Arial" w:hAnsi="Arial"/>
          <w:sz w:val="22"/>
          <w:szCs w:val="22"/>
        </w:rPr>
        <w:t>Informácie sú uvedené v nasledujúcej tabuľke:</w:t>
      </w:r>
    </w:p>
    <w:p>
      <w:pPr>
        <w:pStyle w:val="style0"/>
        <w:spacing w:after="120" w:before="0"/>
        <w:ind w:hanging="0" w:left="0" w:right="-471"/>
        <w:jc w:val="both"/>
      </w:pPr>
      <w:r>
        <w:rPr>
          <w:rFonts w:ascii="Arial" w:cs="Arial" w:hAnsi="Arial"/>
          <w:sz w:val="22"/>
          <w:szCs w:val="22"/>
          <w:u w:val="single"/>
        </w:rPr>
      </w:r>
    </w:p>
    <w:p>
      <w:pPr>
        <w:pStyle w:val="style0"/>
        <w:spacing w:after="120" w:before="0"/>
        <w:ind w:hanging="0" w:left="0" w:right="-471"/>
        <w:jc w:val="both"/>
      </w:pPr>
      <w:r>
        <w:rPr>
          <w:rFonts w:ascii="Arial" w:cs="Arial" w:hAnsi="Arial"/>
          <w:sz w:val="22"/>
          <w:szCs w:val="22"/>
          <w:u w:val="single"/>
        </w:rPr>
      </w:r>
    </w:p>
    <w:p>
      <w:pPr>
        <w:pStyle w:val="style0"/>
        <w:spacing w:after="120" w:before="0"/>
        <w:ind w:hanging="0" w:left="0" w:right="-471"/>
        <w:jc w:val="both"/>
      </w:pPr>
      <w:r>
        <w:rPr>
          <w:rFonts w:ascii="Arial" w:cs="Arial" w:hAnsi="Arial"/>
          <w:sz w:val="22"/>
          <w:szCs w:val="22"/>
          <w:u w:val="single"/>
        </w:rPr>
      </w:r>
    </w:p>
    <w:p>
      <w:pPr>
        <w:pStyle w:val="style0"/>
        <w:spacing w:after="120" w:before="0"/>
        <w:ind w:hanging="0" w:left="0" w:right="-471"/>
        <w:jc w:val="both"/>
      </w:pPr>
      <w:bookmarkStart w:id="25" w:name="_MON_1457449133"/>
      <w:bookmarkEnd w:id="25"/>
      <w:r>
        <w:rPr/>
      </w:r>
    </w:p>
    <w:p>
      <w:pPr>
        <w:pStyle w:val="style0"/>
        <w:spacing w:after="120" w:before="0"/>
        <w:ind w:hanging="0" w:left="0" w:right="-471"/>
        <w:jc w:val="both"/>
      </w:pPr>
      <w:r>
        <w:rPr>
          <w:rFonts w:ascii="Arial" w:cs="Arial" w:hAnsi="Arial"/>
          <w:b/>
          <w:bCs/>
          <w:sz w:val="22"/>
          <w:szCs w:val="22"/>
        </w:rPr>
        <w:t xml:space="preserve">J. INFORMÁCIE O DANIACH Z PRÍJMOV </w:t>
      </w:r>
    </w:p>
    <w:p>
      <w:pPr>
        <w:pStyle w:val="style0"/>
        <w:spacing w:after="120" w:before="0"/>
        <w:jc w:val="both"/>
      </w:pPr>
      <w:r>
        <w:rPr>
          <w:rFonts w:ascii="Arial" w:cs="Arial" w:hAnsi="Arial"/>
          <w:b/>
          <w:bCs/>
          <w:sz w:val="22"/>
          <w:szCs w:val="22"/>
        </w:rPr>
      </w:r>
    </w:p>
    <w:p>
      <w:pPr>
        <w:pStyle w:val="style0"/>
        <w:spacing w:after="120" w:before="0"/>
        <w:jc w:val="both"/>
      </w:pPr>
      <w:r>
        <w:rPr>
          <w:rFonts w:ascii="Arial" w:cs="Arial" w:hAnsi="Arial"/>
          <w:b/>
          <w:sz w:val="22"/>
          <w:szCs w:val="22"/>
        </w:rPr>
        <w:t xml:space="preserve">a,b,c,d,e) </w:t>
      </w:r>
      <w:r>
        <w:rPr>
          <w:rFonts w:ascii="Arial" w:cs="Arial" w:hAnsi="Arial"/>
          <w:b/>
          <w:sz w:val="22"/>
          <w:szCs w:val="22"/>
          <w:u w:val="single"/>
        </w:rPr>
        <w:t>Informácie o daniach z príjmov</w:t>
      </w:r>
      <w:r>
        <w:rPr>
          <w:rFonts w:ascii="Arial" w:cs="Arial" w:hAnsi="Arial"/>
          <w:sz w:val="22"/>
          <w:szCs w:val="22"/>
          <w:u w:val="single"/>
        </w:rPr>
        <w:t>:</w:t>
      </w:r>
    </w:p>
    <w:p>
      <w:pPr>
        <w:pStyle w:val="style0"/>
        <w:spacing w:after="120" w:before="0"/>
        <w:ind w:hanging="0" w:left="0" w:right="-468"/>
        <w:jc w:val="both"/>
      </w:pPr>
      <w:r>
        <w:rPr>
          <w:rFonts w:ascii="Arial" w:cs="Arial" w:hAnsi="Arial"/>
          <w:sz w:val="22"/>
          <w:szCs w:val="22"/>
        </w:rPr>
        <w:t>Informácie o daniach z príjmov sú uvedené v nasledujúcej tabuľke:</w:t>
      </w:r>
    </w:p>
    <w:p>
      <w:pPr>
        <w:pStyle w:val="style0"/>
        <w:spacing w:after="120" w:before="0"/>
        <w:ind w:hanging="0" w:left="0" w:right="-468"/>
        <w:jc w:val="both"/>
      </w:pPr>
      <w:r>
        <w:rPr>
          <w:rFonts w:ascii="Arial" w:cs="Arial" w:hAnsi="Arial"/>
          <w:sz w:val="22"/>
          <w:szCs w:val="22"/>
        </w:rPr>
        <w:t xml:space="preserve">Spoločnosť o odloženom daňovom záväzku  ako   náklad alebo o výnos vyplývajúci zo zmeny sadzby dane z príjmov k 31.12.2013 neúčtovala. </w:t>
      </w:r>
    </w:p>
    <w:p>
      <w:pPr>
        <w:pStyle w:val="style0"/>
        <w:spacing w:after="120" w:before="0"/>
        <w:ind w:hanging="0" w:left="0" w:right="-468"/>
        <w:jc w:val="both"/>
      </w:pPr>
      <w:bookmarkStart w:id="26" w:name="_MON_1455951349"/>
      <w:bookmarkEnd w:id="26"/>
      <w:r>
        <w:rPr/>
      </w:r>
    </w:p>
    <w:p>
      <w:pPr>
        <w:pStyle w:val="style0"/>
        <w:spacing w:after="120" w:before="0"/>
        <w:jc w:val="both"/>
      </w:pPr>
      <w:r>
        <w:rPr>
          <w:rFonts w:ascii="Arial" w:cs="Arial" w:hAnsi="Arial"/>
          <w:b/>
          <w:sz w:val="22"/>
          <w:szCs w:val="22"/>
        </w:rPr>
      </w:r>
    </w:p>
    <w:p>
      <w:pPr>
        <w:pStyle w:val="style0"/>
        <w:spacing w:after="120" w:before="0"/>
        <w:jc w:val="both"/>
      </w:pPr>
      <w:r>
        <w:rPr>
          <w:rFonts w:ascii="Arial" w:cs="Arial" w:hAnsi="Arial"/>
          <w:b/>
          <w:sz w:val="22"/>
          <w:szCs w:val="22"/>
        </w:rPr>
        <w:t xml:space="preserve">f,g) </w:t>
      </w:r>
      <w:r>
        <w:rPr>
          <w:rFonts w:ascii="Arial" w:cs="Arial" w:hAnsi="Arial"/>
          <w:b/>
          <w:sz w:val="22"/>
          <w:szCs w:val="22"/>
          <w:u w:val="single"/>
        </w:rPr>
        <w:t>Informácie o daniach z príjmov:</w:t>
      </w:r>
    </w:p>
    <w:p>
      <w:pPr>
        <w:pStyle w:val="style0"/>
        <w:spacing w:after="120" w:before="0"/>
        <w:ind w:hanging="0" w:left="0" w:right="-468"/>
        <w:jc w:val="both"/>
      </w:pPr>
      <w:r>
        <w:rPr>
          <w:rFonts w:ascii="Arial" w:cs="Arial" w:hAnsi="Arial"/>
          <w:sz w:val="22"/>
          <w:szCs w:val="22"/>
          <w:shd w:fill="FFFF00" w:val="clear"/>
        </w:rPr>
      </w:r>
    </w:p>
    <w:p>
      <w:pPr>
        <w:pStyle w:val="style0"/>
        <w:spacing w:after="120" w:before="0"/>
        <w:ind w:hanging="0" w:left="0" w:right="-468"/>
        <w:jc w:val="both"/>
      </w:pPr>
      <w:r>
        <w:rPr>
          <w:rFonts w:ascii="Arial" w:cs="Arial" w:hAnsi="Arial"/>
          <w:sz w:val="22"/>
          <w:szCs w:val="22"/>
        </w:rPr>
        <w:t>Informácie  o daniach z príjmov sú uvedené v nasledujúcej tabuľke:</w:t>
      </w:r>
    </w:p>
    <w:p>
      <w:pPr>
        <w:pStyle w:val="style0"/>
        <w:spacing w:after="120" w:before="0"/>
        <w:ind w:hanging="0" w:left="0" w:right="-468"/>
        <w:jc w:val="both"/>
      </w:pPr>
      <w:r>
        <w:rPr>
          <w:rFonts w:ascii="Arial" w:cs="Arial" w:hAnsi="Arial"/>
          <w:sz w:val="22"/>
          <w:szCs w:val="22"/>
        </w:rPr>
      </w:r>
    </w:p>
    <w:p>
      <w:pPr>
        <w:pStyle w:val="style0"/>
        <w:spacing w:after="120" w:before="0"/>
        <w:ind w:hanging="0" w:left="0" w:right="-468"/>
        <w:jc w:val="both"/>
      </w:pPr>
      <w:bookmarkStart w:id="27" w:name="_MON_1456033674"/>
      <w:bookmarkEnd w:id="27"/>
      <w:r>
        <w:rPr/>
      </w:r>
    </w:p>
    <w:p>
      <w:pPr>
        <w:pStyle w:val="style0"/>
        <w:spacing w:after="120" w:before="0"/>
        <w:ind w:hanging="0" w:left="0" w:right="-471"/>
        <w:jc w:val="both"/>
      </w:pPr>
      <w:r>
        <w:rPr>
          <w:rFonts w:ascii="Arial" w:cs="Arial" w:hAnsi="Arial"/>
          <w:b/>
          <w:bCs/>
          <w:sz w:val="22"/>
          <w:szCs w:val="22"/>
        </w:rPr>
        <w:t>K. ÚDAJE NA PODSÚVAHOVÝCH ÚČTOCH</w:t>
      </w:r>
    </w:p>
    <w:p>
      <w:pPr>
        <w:pStyle w:val="style0"/>
        <w:spacing w:after="120" w:before="0"/>
        <w:ind w:hanging="0" w:left="0" w:right="-471"/>
        <w:jc w:val="both"/>
      </w:pPr>
      <w:r>
        <w:rPr>
          <w:rFonts w:ascii="Arial" w:cs="Arial" w:hAnsi="Arial"/>
          <w:b/>
          <w:bCs/>
          <w:sz w:val="22"/>
          <w:szCs w:val="22"/>
        </w:rPr>
      </w:r>
    </w:p>
    <w:p>
      <w:pPr>
        <w:pStyle w:val="style0"/>
        <w:ind w:hanging="0" w:left="0" w:right="-468"/>
        <w:jc w:val="both"/>
      </w:pPr>
      <w:r>
        <w:rPr>
          <w:rFonts w:ascii="Arial" w:cs="Arial" w:hAnsi="Arial"/>
          <w:bCs/>
          <w:sz w:val="22"/>
          <w:szCs w:val="22"/>
        </w:rPr>
        <w:t xml:space="preserve">Tu sa </w:t>
      </w:r>
      <w:r>
        <w:rPr>
          <w:rFonts w:ascii="Arial" w:cs="Arial" w:hAnsi="Arial"/>
          <w:sz w:val="22"/>
          <w:szCs w:val="22"/>
        </w:rPr>
        <w:t>uvádzajú informácie o</w:t>
      </w:r>
      <w:r>
        <w:rPr>
          <w:rFonts w:ascii="Arial" w:cs="Arial" w:hAnsi="Arial"/>
          <w:b/>
          <w:bCs/>
          <w:sz w:val="22"/>
          <w:szCs w:val="22"/>
        </w:rPr>
        <w:t xml:space="preserve"> </w:t>
      </w:r>
      <w:r>
        <w:rPr>
          <w:rFonts w:ascii="Arial" w:cs="Arial" w:hAnsi="Arial"/>
          <w:sz w:val="22"/>
          <w:szCs w:val="22"/>
        </w:rPr>
        <w:t>významných položkách prenajatého majetku, majetku prijatého do úschovy, o pohľadávkach a záväzkoch z opcií, o odpísaných pohľadávkach a pohľadávkach a záväzkoch.</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bCs/>
          <w:sz w:val="22"/>
          <w:szCs w:val="22"/>
        </w:rPr>
      </w:r>
    </w:p>
    <w:p>
      <w:pPr>
        <w:pStyle w:val="style0"/>
        <w:ind w:hanging="0" w:left="0" w:right="-468"/>
        <w:jc w:val="both"/>
      </w:pPr>
      <w:r>
        <w:rPr>
          <w:rFonts w:ascii="Arial" w:cs="Arial" w:hAnsi="Arial"/>
          <w:b/>
          <w:bCs/>
          <w:sz w:val="22"/>
          <w:szCs w:val="22"/>
        </w:rPr>
        <w:t>L. INFORMÁCIE O INÝCH AKTÍVACH A INÝCH PASÍVACH</w:t>
      </w:r>
    </w:p>
    <w:p>
      <w:pPr>
        <w:pStyle w:val="style0"/>
        <w:ind w:hanging="0" w:left="0" w:right="-468"/>
        <w:jc w:val="both"/>
      </w:pPr>
      <w:r>
        <w:rPr>
          <w:rFonts w:ascii="Arial" w:cs="Arial" w:hAnsi="Arial"/>
          <w:b/>
          <w:bCs/>
          <w:sz w:val="22"/>
          <w:szCs w:val="22"/>
        </w:rPr>
      </w:r>
    </w:p>
    <w:p>
      <w:pPr>
        <w:pStyle w:val="style0"/>
        <w:ind w:hanging="0" w:left="0" w:right="-468"/>
        <w:jc w:val="both"/>
      </w:pPr>
      <w:r>
        <w:rPr>
          <w:rFonts w:ascii="Arial" w:cs="Arial" w:hAnsi="Arial"/>
          <w:b/>
          <w:bCs/>
          <w:sz w:val="22"/>
          <w:szCs w:val="22"/>
        </w:rPr>
      </w:r>
    </w:p>
    <w:p>
      <w:pPr>
        <w:pStyle w:val="style0"/>
        <w:jc w:val="both"/>
      </w:pPr>
      <w:r>
        <w:rPr>
          <w:rFonts w:ascii="Arial" w:cs="Arial" w:hAnsi="Arial"/>
          <w:sz w:val="22"/>
          <w:szCs w:val="22"/>
        </w:rPr>
        <w:t xml:space="preserve">a)  </w:t>
      </w:r>
      <w:r>
        <w:rPr>
          <w:rFonts w:ascii="Arial" w:cs="Arial" w:hAnsi="Arial"/>
          <w:b/>
          <w:sz w:val="22"/>
          <w:szCs w:val="22"/>
          <w:u w:val="single"/>
        </w:rPr>
        <w:t>Podmienené záväzky</w:t>
      </w:r>
      <w:r>
        <w:rPr>
          <w:rFonts w:ascii="Arial" w:cs="Arial" w:hAnsi="Arial"/>
          <w:sz w:val="22"/>
          <w:szCs w:val="22"/>
        </w:rPr>
        <w:t xml:space="preserve"> Spoločnosť od 01. januára 2013 do 31.12.2013 nevykazuje.</w:t>
      </w:r>
    </w:p>
    <w:p>
      <w:pPr>
        <w:pStyle w:val="style0"/>
        <w:jc w:val="both"/>
      </w:pPr>
      <w:r>
        <w:rPr>
          <w:rFonts w:ascii="Arial" w:cs="Arial" w:hAnsi="Arial"/>
          <w:sz w:val="22"/>
          <w:szCs w:val="22"/>
        </w:rPr>
      </w:r>
    </w:p>
    <w:p>
      <w:pPr>
        <w:pStyle w:val="style0"/>
        <w:jc w:val="both"/>
      </w:pPr>
      <w:r>
        <w:rPr>
          <w:rFonts w:ascii="Arial" w:cs="Arial" w:hAnsi="Arial"/>
          <w:sz w:val="22"/>
          <w:szCs w:val="22"/>
        </w:rPr>
        <w:t xml:space="preserve">b)  </w:t>
      </w:r>
      <w:r>
        <w:rPr>
          <w:rFonts w:ascii="Arial" w:cs="Arial" w:hAnsi="Arial"/>
          <w:b/>
          <w:sz w:val="22"/>
          <w:szCs w:val="22"/>
          <w:u w:val="single"/>
        </w:rPr>
        <w:t xml:space="preserve">O podmienených záväzkov voči spriazneným osobám </w:t>
      </w:r>
      <w:r>
        <w:rPr>
          <w:rFonts w:ascii="Arial" w:cs="Arial" w:hAnsi="Arial"/>
          <w:sz w:val="22"/>
          <w:szCs w:val="22"/>
        </w:rPr>
        <w:t>Spoločnosť neúčtuje.</w:t>
      </w:r>
    </w:p>
    <w:p>
      <w:pPr>
        <w:pStyle w:val="style0"/>
        <w:jc w:val="both"/>
      </w:pPr>
      <w:r>
        <w:rPr>
          <w:rFonts w:ascii="Arial" w:cs="Arial" w:hAnsi="Arial"/>
          <w:sz w:val="22"/>
          <w:szCs w:val="22"/>
        </w:rPr>
        <w:t xml:space="preserve"> </w:t>
      </w:r>
    </w:p>
    <w:p>
      <w:pPr>
        <w:pStyle w:val="style0"/>
        <w:jc w:val="both"/>
      </w:pPr>
      <w:r>
        <w:rPr>
          <w:rFonts w:ascii="Arial" w:cs="Arial" w:hAnsi="Arial"/>
          <w:sz w:val="22"/>
          <w:szCs w:val="22"/>
        </w:rPr>
        <w:t xml:space="preserve">c)  </w:t>
      </w:r>
      <w:r>
        <w:rPr>
          <w:rFonts w:ascii="Arial" w:cs="Arial" w:hAnsi="Arial"/>
          <w:b/>
          <w:sz w:val="22"/>
          <w:szCs w:val="22"/>
          <w:u w:val="single"/>
        </w:rPr>
        <w:t xml:space="preserve">Podmienený majetok  </w:t>
      </w:r>
      <w:r>
        <w:rPr>
          <w:rFonts w:ascii="Arial" w:cs="Arial" w:hAnsi="Arial"/>
          <w:sz w:val="22"/>
          <w:szCs w:val="22"/>
        </w:rPr>
        <w:t>Spoločnosť neeviduje.</w:t>
      </w:r>
    </w:p>
    <w:p>
      <w:pPr>
        <w:pStyle w:val="style0"/>
        <w:ind w:hanging="0" w:left="0" w:right="-468"/>
        <w:jc w:val="both"/>
      </w:pPr>
      <w:r>
        <w:rPr>
          <w:rFonts w:ascii="Arial" w:cs="Arial" w:hAnsi="Arial"/>
          <w:b/>
          <w:bCs/>
          <w:sz w:val="22"/>
          <w:szCs w:val="22"/>
        </w:rPr>
      </w:r>
    </w:p>
    <w:p>
      <w:pPr>
        <w:pStyle w:val="style0"/>
        <w:spacing w:after="120" w:before="0"/>
        <w:ind w:hanging="0" w:left="0" w:right="-471"/>
        <w:jc w:val="both"/>
      </w:pPr>
      <w:r>
        <w:rPr>
          <w:rFonts w:ascii="Arial" w:cs="Arial" w:hAnsi="Arial"/>
          <w:b/>
          <w:bCs/>
          <w:sz w:val="22"/>
          <w:szCs w:val="22"/>
        </w:rPr>
        <w:t xml:space="preserve">M. PRÍJMY A VÝHODY ČLENOV ŠTATUTÁRNEHO ORGÁNU, DOZORNÉHO ORGÁNU </w:t>
      </w:r>
    </w:p>
    <w:p>
      <w:pPr>
        <w:pStyle w:val="style0"/>
        <w:spacing w:after="120" w:before="0"/>
        <w:ind w:hanging="0" w:left="0" w:right="-471"/>
        <w:jc w:val="both"/>
      </w:pPr>
      <w:r>
        <w:rPr>
          <w:rFonts w:ascii="Arial" w:cs="Arial" w:hAnsi="Arial"/>
          <w:b/>
          <w:bCs/>
          <w:sz w:val="22"/>
          <w:szCs w:val="22"/>
        </w:rPr>
        <w:t xml:space="preserve">     </w:t>
      </w:r>
      <w:r>
        <w:rPr>
          <w:rFonts w:ascii="Arial" w:cs="Arial" w:hAnsi="Arial"/>
          <w:b/>
          <w:bCs/>
          <w:sz w:val="22"/>
          <w:szCs w:val="22"/>
        </w:rPr>
        <w:t>A INÉHO ORGÁNU ÚČTOVNEJ JEDNOTKY</w:t>
      </w:r>
    </w:p>
    <w:p>
      <w:pPr>
        <w:pStyle w:val="style0"/>
        <w:spacing w:after="120" w:before="0"/>
        <w:ind w:hanging="0" w:left="0" w:right="-471"/>
        <w:jc w:val="both"/>
      </w:pPr>
      <w:r>
        <w:rPr>
          <w:rFonts w:ascii="Arial" w:cs="Arial" w:hAnsi="Arial"/>
          <w:b/>
          <w:bCs/>
          <w:sz w:val="22"/>
          <w:szCs w:val="22"/>
        </w:rPr>
      </w:r>
    </w:p>
    <w:p>
      <w:pPr>
        <w:pStyle w:val="style0"/>
        <w:spacing w:after="120" w:before="0"/>
        <w:ind w:hanging="0" w:left="0" w:right="-471"/>
        <w:jc w:val="both"/>
      </w:pPr>
      <w:r>
        <w:rPr>
          <w:rFonts w:ascii="Arial" w:cs="Arial" w:hAnsi="Arial"/>
          <w:b/>
          <w:bCs/>
          <w:sz w:val="22"/>
          <w:szCs w:val="22"/>
        </w:rPr>
        <w:t xml:space="preserve">a,b,c,d,e) </w:t>
      </w:r>
      <w:r>
        <w:rPr>
          <w:rFonts w:ascii="Arial" w:cs="Arial" w:hAnsi="Arial"/>
          <w:b/>
          <w:bCs/>
          <w:sz w:val="22"/>
          <w:szCs w:val="22"/>
          <w:u w:val="single"/>
        </w:rPr>
        <w:t>Priznané odmeny (záruky, pôžičky – istina a úroky, iné plnenia)</w:t>
      </w:r>
      <w:r>
        <w:rPr>
          <w:rFonts w:ascii="Arial" w:cs="Arial" w:hAnsi="Arial"/>
          <w:b/>
          <w:bCs/>
          <w:sz w:val="22"/>
          <w:szCs w:val="22"/>
        </w:rPr>
        <w:t xml:space="preserve"> </w:t>
      </w:r>
    </w:p>
    <w:p>
      <w:pPr>
        <w:pStyle w:val="style0"/>
        <w:spacing w:after="120" w:before="0"/>
        <w:ind w:hanging="0" w:left="0" w:right="-471"/>
        <w:jc w:val="both"/>
      </w:pPr>
      <w:r>
        <w:rPr>
          <w:rFonts w:ascii="Arial" w:cs="Arial" w:hAnsi="Arial"/>
          <w:bCs/>
          <w:sz w:val="22"/>
          <w:szCs w:val="22"/>
        </w:rPr>
        <w:t>Priznané odmeny členov štatutárnych orgánov a dozorných orgánov za ich činnosť za obdobie od 1. januára 2013 do 31. decembra 2013:</w:t>
      </w:r>
    </w:p>
    <w:p>
      <w:pPr>
        <w:pStyle w:val="style0"/>
        <w:spacing w:after="120" w:before="0"/>
        <w:ind w:hanging="0" w:left="0" w:right="-471"/>
        <w:jc w:val="both"/>
      </w:pPr>
      <w:r>
        <w:rPr>
          <w:rFonts w:ascii="Arial" w:cs="Arial" w:hAnsi="Arial"/>
          <w:bCs/>
          <w:sz w:val="22"/>
          <w:szCs w:val="22"/>
        </w:rPr>
        <w:t>Štatutárny orgán:         41 205,64 EUR</w:t>
      </w:r>
    </w:p>
    <w:p>
      <w:pPr>
        <w:pStyle w:val="style0"/>
        <w:spacing w:after="120" w:before="0"/>
        <w:ind w:hanging="0" w:left="0" w:right="-471"/>
        <w:jc w:val="both"/>
      </w:pPr>
      <w:r>
        <w:rPr>
          <w:rFonts w:ascii="Arial" w:cs="Arial" w:hAnsi="Arial"/>
          <w:bCs/>
          <w:sz w:val="22"/>
          <w:szCs w:val="22"/>
        </w:rPr>
        <w:t>Dozorný orgán:              9 840,00 EUR</w:t>
      </w:r>
    </w:p>
    <w:p>
      <w:pPr>
        <w:pStyle w:val="style0"/>
        <w:spacing w:after="120" w:before="0"/>
        <w:ind w:hanging="0" w:left="0" w:right="-471"/>
        <w:jc w:val="both"/>
      </w:pPr>
      <w:r>
        <w:rPr>
          <w:rFonts w:ascii="Arial" w:cs="Arial" w:hAnsi="Arial"/>
          <w:bCs/>
          <w:sz w:val="22"/>
          <w:szCs w:val="22"/>
        </w:rPr>
        <w:t>Iný orgán:                             0,00 EUR</w:t>
      </w:r>
    </w:p>
    <w:p>
      <w:pPr>
        <w:pStyle w:val="style0"/>
        <w:jc w:val="both"/>
      </w:pPr>
      <w:r>
        <w:rPr>
          <w:rFonts w:ascii="Arial" w:cs="Arial" w:hAnsi="Arial"/>
          <w:b/>
          <w:bCs/>
          <w:sz w:val="22"/>
          <w:szCs w:val="22"/>
        </w:rPr>
      </w:r>
    </w:p>
    <w:p>
      <w:pPr>
        <w:pStyle w:val="style0"/>
        <w:jc w:val="both"/>
      </w:pPr>
      <w:r>
        <w:rPr>
          <w:rFonts w:ascii="Arial" w:cs="Arial" w:hAnsi="Arial"/>
          <w:b/>
          <w:bCs/>
          <w:sz w:val="22"/>
          <w:szCs w:val="22"/>
        </w:rPr>
      </w:r>
    </w:p>
    <w:p>
      <w:pPr>
        <w:pStyle w:val="style0"/>
        <w:jc w:val="both"/>
      </w:pPr>
      <w:r>
        <w:rPr>
          <w:rFonts w:ascii="Arial" w:cs="Arial" w:hAnsi="Arial"/>
          <w:b/>
          <w:bCs/>
          <w:sz w:val="22"/>
          <w:szCs w:val="22"/>
        </w:rPr>
        <w:t>N. INFORMÁCIE O EKONOMICKÝCH VZTAHOCH ÚĆTOVNEJ JEDNOTKY</w:t>
      </w:r>
    </w:p>
    <w:p>
      <w:pPr>
        <w:pStyle w:val="style0"/>
        <w:jc w:val="both"/>
      </w:pPr>
      <w:r>
        <w:rPr>
          <w:rFonts w:ascii="Arial" w:cs="Arial" w:hAnsi="Arial"/>
          <w:b/>
          <w:bCs/>
          <w:sz w:val="22"/>
          <w:szCs w:val="22"/>
        </w:rPr>
        <w:t xml:space="preserve">    </w:t>
      </w:r>
      <w:r>
        <w:rPr>
          <w:rFonts w:ascii="Arial" w:cs="Arial" w:hAnsi="Arial"/>
          <w:b/>
          <w:bCs/>
          <w:sz w:val="22"/>
          <w:szCs w:val="22"/>
        </w:rPr>
        <w:t>A SPRIAZNENÝCH OSôB</w:t>
      </w:r>
    </w:p>
    <w:p>
      <w:pPr>
        <w:pStyle w:val="style0"/>
        <w:ind w:hanging="0" w:left="964" w:right="-468"/>
        <w:jc w:val="both"/>
      </w:pPr>
      <w:r>
        <w:rPr>
          <w:rFonts w:ascii="Arial" w:cs="Arial" w:hAnsi="Arial"/>
          <w:sz w:val="22"/>
          <w:szCs w:val="22"/>
        </w:rPr>
      </w:r>
    </w:p>
    <w:p>
      <w:pPr>
        <w:pStyle w:val="style0"/>
        <w:jc w:val="both"/>
      </w:pPr>
      <w:r>
        <w:rPr>
          <w:rFonts w:ascii="Arial" w:cs="Arial" w:hAnsi="Arial"/>
          <w:b/>
          <w:sz w:val="22"/>
          <w:szCs w:val="22"/>
        </w:rPr>
        <w:t>a,b,c)</w:t>
      </w:r>
      <w:r>
        <w:rPr>
          <w:rFonts w:ascii="Arial" w:cs="Arial" w:hAnsi="Arial"/>
          <w:b/>
          <w:sz w:val="22"/>
          <w:szCs w:val="22"/>
          <w:u w:val="single"/>
        </w:rPr>
        <w:t>Zoznam obchodov, neuzavretých na základe obvyklých obchodných podmienok, medzi účtovnou jednotkou a spriaznenými osobami</w:t>
      </w:r>
    </w:p>
    <w:p>
      <w:pPr>
        <w:pStyle w:val="style0"/>
        <w:jc w:val="both"/>
      </w:pPr>
      <w:r>
        <w:rPr>
          <w:rFonts w:ascii="Arial" w:cs="Arial" w:hAnsi="Arial"/>
          <w:sz w:val="22"/>
          <w:szCs w:val="22"/>
          <w:u w:val="single"/>
        </w:rPr>
      </w:r>
    </w:p>
    <w:p>
      <w:pPr>
        <w:pStyle w:val="style0"/>
        <w:jc w:val="both"/>
      </w:pPr>
      <w:r>
        <w:rPr>
          <w:rFonts w:ascii="Arial" w:cs="Arial" w:hAnsi="Arial"/>
          <w:sz w:val="22"/>
          <w:szCs w:val="22"/>
        </w:rPr>
        <w:t>Spoločnosť od 01. januára 2013  do 31. decembra 2013 neuzatvorila zmluvy so spriaznenými osobami.</w:t>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sz w:val="22"/>
          <w:szCs w:val="22"/>
        </w:rPr>
      </w:r>
    </w:p>
    <w:p>
      <w:pPr>
        <w:pStyle w:val="style0"/>
        <w:ind w:hanging="0" w:left="0" w:right="-468"/>
        <w:jc w:val="both"/>
      </w:pPr>
      <w:r>
        <w:rPr>
          <w:rFonts w:ascii="Arial" w:cs="Arial" w:hAnsi="Arial"/>
          <w:b/>
          <w:bCs/>
          <w:sz w:val="22"/>
          <w:szCs w:val="22"/>
        </w:rPr>
        <w:t>O. INFORMÁCIE O SKUTOĆNOSTIACH, KTORÉ NASTALI PO DNI, KU KTORÉMU SA</w:t>
      </w:r>
    </w:p>
    <w:p>
      <w:pPr>
        <w:pStyle w:val="style0"/>
        <w:ind w:hanging="0" w:left="0" w:right="-468"/>
        <w:jc w:val="both"/>
      </w:pPr>
      <w:r>
        <w:rPr>
          <w:rFonts w:ascii="Arial" w:cs="Arial" w:hAnsi="Arial"/>
          <w:b/>
          <w:bCs/>
          <w:sz w:val="22"/>
          <w:szCs w:val="22"/>
        </w:rPr>
        <w:t xml:space="preserve">     </w:t>
      </w:r>
      <w:r>
        <w:rPr>
          <w:rFonts w:ascii="Arial" w:cs="Arial" w:hAnsi="Arial"/>
          <w:b/>
          <w:bCs/>
          <w:sz w:val="22"/>
          <w:szCs w:val="22"/>
        </w:rPr>
        <w:t>ZOSTAVUJE ÚĆTOVNÁ ZÁVIERKA DO DŃA ZOSTAVENIA ÚĆTOVNEJ  ZÁVIERKY</w:t>
      </w:r>
    </w:p>
    <w:p>
      <w:pPr>
        <w:pStyle w:val="style0"/>
        <w:ind w:hanging="0" w:left="0" w:right="-468"/>
        <w:jc w:val="both"/>
      </w:pPr>
      <w:r>
        <w:rPr>
          <w:rFonts w:ascii="Arial" w:cs="Arial" w:hAnsi="Arial"/>
          <w:b/>
          <w:bCs/>
          <w:sz w:val="22"/>
          <w:szCs w:val="22"/>
        </w:rPr>
      </w:r>
    </w:p>
    <w:p>
      <w:pPr>
        <w:pStyle w:val="style0"/>
        <w:ind w:hanging="0" w:left="0" w:right="-468"/>
        <w:jc w:val="both"/>
      </w:pPr>
      <w:r>
        <w:rPr>
          <w:rFonts w:ascii="Arial" w:cs="Arial" w:hAnsi="Arial"/>
          <w:b/>
          <w:bCs/>
          <w:sz w:val="22"/>
          <w:szCs w:val="22"/>
        </w:rPr>
      </w:r>
    </w:p>
    <w:p>
      <w:pPr>
        <w:pStyle w:val="style0"/>
        <w:ind w:hanging="0" w:left="0" w:right="-468"/>
        <w:jc w:val="both"/>
      </w:pPr>
      <w:r>
        <w:rPr>
          <w:rFonts w:ascii="Arial" w:cs="Arial" w:hAnsi="Arial"/>
          <w:bCs/>
          <w:sz w:val="22"/>
          <w:szCs w:val="22"/>
        </w:rPr>
        <w:t xml:space="preserve">Po 31.decembri 2013 nenastali udalosti majúce významný vplyv na verné zobrazenie skutočností, ktoré sú predmetom účtovníctva. </w:t>
      </w:r>
    </w:p>
    <w:p>
      <w:pPr>
        <w:pStyle w:val="style0"/>
        <w:spacing w:after="120" w:before="0"/>
        <w:ind w:hanging="0" w:left="0" w:right="-471"/>
        <w:jc w:val="both"/>
      </w:pPr>
      <w:r>
        <w:rPr>
          <w:rFonts w:ascii="Arial" w:cs="Arial" w:hAnsi="Arial"/>
          <w:b/>
          <w:bCs/>
          <w:sz w:val="22"/>
          <w:szCs w:val="22"/>
          <w:shd w:fill="FFFF00" w:val="clear"/>
        </w:rPr>
      </w:r>
    </w:p>
    <w:p>
      <w:pPr>
        <w:pStyle w:val="style0"/>
        <w:spacing w:after="120" w:before="0"/>
        <w:ind w:hanging="0" w:left="0" w:right="-471"/>
        <w:jc w:val="both"/>
      </w:pPr>
      <w:r>
        <w:rPr>
          <w:rFonts w:ascii="Arial" w:cs="Arial" w:hAnsi="Arial"/>
          <w:b/>
          <w:bCs/>
          <w:sz w:val="22"/>
          <w:szCs w:val="22"/>
        </w:rPr>
        <w:t>P. PREHĹAD ZMIEN  VLASTNÉHO IMANIA</w:t>
      </w:r>
    </w:p>
    <w:p>
      <w:pPr>
        <w:pStyle w:val="style0"/>
        <w:spacing w:after="120" w:before="0"/>
        <w:ind w:hanging="0" w:left="0" w:right="-471"/>
        <w:jc w:val="both"/>
      </w:pPr>
      <w:r>
        <w:rPr>
          <w:rFonts w:ascii="Arial" w:cs="Arial" w:hAnsi="Arial"/>
          <w:b/>
          <w:bCs/>
          <w:sz w:val="22"/>
          <w:szCs w:val="22"/>
        </w:rPr>
      </w:r>
    </w:p>
    <w:p>
      <w:pPr>
        <w:pStyle w:val="style0"/>
        <w:spacing w:after="120" w:before="0"/>
        <w:ind w:hanging="0" w:left="0" w:right="-471"/>
        <w:jc w:val="both"/>
      </w:pPr>
      <w:r>
        <w:rPr>
          <w:rFonts w:ascii="Arial" w:cs="Arial" w:hAnsi="Arial"/>
          <w:sz w:val="22"/>
          <w:szCs w:val="22"/>
        </w:rPr>
        <w:t>Informácie o výške základného imania účtovnej jednotky sú popísané v časti C.</w:t>
      </w:r>
    </w:p>
    <w:p>
      <w:pPr>
        <w:pStyle w:val="style0"/>
        <w:spacing w:after="120" w:before="0"/>
        <w:ind w:hanging="0" w:left="0" w:right="-471"/>
        <w:jc w:val="both"/>
      </w:pPr>
      <w:r>
        <w:rPr>
          <w:rFonts w:ascii="Arial" w:cs="Arial" w:hAnsi="Arial"/>
          <w:sz w:val="22"/>
          <w:szCs w:val="22"/>
        </w:rPr>
        <w:t>Informácie o zmenách vlastného imania sú uvedené v nasledujúcich tabuľkách</w:t>
      </w:r>
    </w:p>
    <w:p>
      <w:pPr>
        <w:pStyle w:val="style0"/>
        <w:spacing w:after="120" w:before="0"/>
        <w:ind w:hanging="0" w:left="0" w:right="-471"/>
        <w:jc w:val="both"/>
      </w:pPr>
      <w:r>
        <w:rPr>
          <w:rFonts w:ascii="Arial" w:cs="Arial" w:hAnsi="Arial"/>
          <w:sz w:val="22"/>
          <w:szCs w:val="22"/>
        </w:rPr>
        <w:t>Tabuľka č. 1</w:t>
      </w:r>
    </w:p>
    <w:p>
      <w:pPr>
        <w:pStyle w:val="style0"/>
        <w:tabs>
          <w:tab w:leader="none" w:pos="1276" w:val="left"/>
        </w:tabs>
      </w:pPr>
      <w:bookmarkStart w:id="28" w:name="_MON_1457442090"/>
      <w:bookmarkEnd w:id="28"/>
      <w:r>
        <w:rPr/>
      </w:r>
    </w:p>
    <w:p>
      <w:pPr>
        <w:pStyle w:val="style0"/>
      </w:pPr>
      <w:r>
        <w:rPr>
          <w:rFonts w:ascii="Arial" w:cs="Arial" w:hAnsi="Arial"/>
          <w:sz w:val="22"/>
          <w:szCs w:val="22"/>
        </w:rPr>
      </w:r>
    </w:p>
    <w:p>
      <w:pPr>
        <w:pStyle w:val="style0"/>
      </w:pPr>
      <w:bookmarkStart w:id="29" w:name="_GoBack"/>
      <w:bookmarkEnd w:id="29"/>
      <w:r>
        <w:rPr>
          <w:rFonts w:ascii="Arial" w:cs="Arial" w:hAnsi="Arial"/>
          <w:sz w:val="22"/>
          <w:szCs w:val="22"/>
        </w:rPr>
        <w:t>Tabuľka č.2</w:t>
      </w:r>
    </w:p>
    <w:p>
      <w:pPr>
        <w:pStyle w:val="style0"/>
        <w:tabs>
          <w:tab w:leader="none" w:pos="1276" w:val="left"/>
        </w:tabs>
      </w:pPr>
      <w:bookmarkStart w:id="30" w:name="_MON_1455952300"/>
      <w:bookmarkEnd w:id="30"/>
      <w:r>
        <w:rPr/>
      </w:r>
    </w:p>
    <w:p>
      <w:pPr>
        <w:pStyle w:val="style0"/>
        <w:tabs>
          <w:tab w:leader="none" w:pos="1276" w:val="left"/>
        </w:tabs>
      </w:pPr>
      <w:r>
        <w:rPr>
          <w:rFonts w:ascii="Arial" w:cs="Arial" w:hAnsi="Arial"/>
          <w:b/>
          <w:bCs/>
          <w:sz w:val="22"/>
          <w:szCs w:val="22"/>
        </w:rPr>
        <w:t xml:space="preserve">R. PREHĹAD PEŃAŹNÝCH TOKOV   </w:t>
      </w:r>
    </w:p>
    <w:p>
      <w:pPr>
        <w:pStyle w:val="style0"/>
        <w:tabs>
          <w:tab w:leader="none" w:pos="1276" w:val="left"/>
        </w:tabs>
      </w:pPr>
      <w:r>
        <w:rPr>
          <w:rFonts w:ascii="Arial" w:cs="Arial" w:hAnsi="Arial"/>
          <w:sz w:val="22"/>
          <w:szCs w:val="22"/>
        </w:rPr>
      </w:r>
    </w:p>
    <w:p>
      <w:pPr>
        <w:pStyle w:val="style0"/>
        <w:spacing w:after="120" w:before="0"/>
        <w:ind w:hanging="0" w:left="0" w:right="-471"/>
        <w:jc w:val="both"/>
      </w:pPr>
      <w:bookmarkStart w:id="31" w:name="_MON_1457424145"/>
      <w:bookmarkEnd w:id="31"/>
      <w:r>
        <w:rPr/>
      </w:r>
    </w:p>
    <w:p>
      <w:pPr>
        <w:pStyle w:val="style0"/>
        <w:spacing w:after="120" w:before="0"/>
        <w:ind w:hanging="0" w:left="0" w:right="-471"/>
        <w:jc w:val="both"/>
      </w:pPr>
      <w:r>
        <w:rPr>
          <w:rFonts w:ascii="Arial" w:cs="Arial" w:hAnsi="Arial"/>
          <w:b/>
          <w:bCs/>
          <w:sz w:val="22"/>
          <w:szCs w:val="22"/>
        </w:rPr>
      </w:r>
    </w:p>
    <w:p>
      <w:pPr>
        <w:pStyle w:val="style0"/>
        <w:spacing w:after="120" w:before="0"/>
        <w:ind w:hanging="0" w:left="0" w:right="-471"/>
        <w:jc w:val="both"/>
      </w:pPr>
      <w:r>
        <w:rPr>
          <w:rFonts w:ascii="Arial" w:cs="Arial" w:hAnsi="Arial"/>
          <w:b/>
          <w:bCs/>
          <w:sz w:val="22"/>
          <w:szCs w:val="22"/>
        </w:rPr>
      </w:r>
    </w:p>
    <w:p>
      <w:pPr>
        <w:pStyle w:val="style0"/>
        <w:spacing w:after="120" w:before="0"/>
        <w:ind w:hanging="0" w:left="0" w:right="-471"/>
        <w:jc w:val="both"/>
      </w:pPr>
      <w:bookmarkStart w:id="32" w:name="_MON_1457424288"/>
      <w:bookmarkEnd w:id="32"/>
      <w:r>
        <w:rPr/>
      </w:r>
    </w:p>
    <w:sectPr>
      <w:headerReference r:id="rId2" w:type="default"/>
      <w:footerReference r:id="rId3" w:type="default"/>
      <w:type w:val="nextPage"/>
      <w:pgSz w:h="16838" w:w="11906"/>
      <w:pgMar w:bottom="1418" w:footer="567" w:gutter="0" w:header="567" w:left="1418" w:right="1418" w:top="1418"/>
      <w:pgNumType w:fmt="decimal"/>
      <w:formProt w:val="false"/>
      <w:textDirection w:val="lrTb"/>
      <w:docGrid w:charSpace="0" w:linePitch="326" w:type="default"/>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35"/>
      <w:jc w:val="right"/>
    </w:pPr>
    <w:r>
      <w:rPr/>
      <w:fldChar w:fldCharType="begin"/>
    </w:r>
    <w:r>
      <w:instrText> PAGE </w:instrText>
    </w:r>
    <w:r>
      <w:fldChar w:fldCharType="separate"/>
    </w:r>
    <w:r>
      <w:t>27</w:t>
    </w:r>
    <w:r>
      <w:fldChar w:fldCharType="end"/>
    </w:r>
  </w:p>
  <w:p>
    <w:pPr>
      <w:pStyle w:val="style35"/>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pPr>
    <w:r>
      <w:rPr>
        <w:rFonts w:ascii="Arial" w:cs="Arial" w:hAnsi="Arial"/>
        <w:color w:val="000000"/>
        <w:sz w:val="22"/>
        <w:szCs w:val="22"/>
      </w:rPr>
      <w:t>Poznámky Úč POD 3 - 04</w:t>
    </w:r>
  </w:p>
  <w:p>
    <w:pPr>
      <w:pStyle w:val="style0"/>
      <w:jc w:val="center"/>
    </w:pPr>
    <w:r>
      <w:rPr>
        <w:rFonts w:ascii="Arial" w:cs="Arial" w:hAnsi="Arial"/>
        <w:color w:val="000000"/>
        <w:sz w:val="22"/>
        <w:szCs w:val="22"/>
      </w:rPr>
    </w:r>
  </w:p>
  <w:p>
    <w:pPr>
      <w:pStyle w:val="style0"/>
    </w:pPr>
    <w:r>
      <w:rPr>
        <w:rFonts w:ascii="Arial" w:cs="Arial" w:hAnsi="Arial"/>
        <w:color w:val="000000"/>
        <w:sz w:val="22"/>
        <w:szCs w:val="22"/>
      </w:rPr>
      <w:t>DIČ</w:t>
    </w:r>
  </w:p>
  <w:p>
    <w:pPr>
      <w:pStyle w:val="style0"/>
      <w:jc w:val="center"/>
    </w:pPr>
    <w:r>
      <w:rPr>
        <w:rFonts w:ascii="Arial" w:cs="Arial" w:hAnsi="Arial"/>
        <w:sz w:val="22"/>
        <w:szCs w:val="22"/>
      </w:rPr>
      <w:t>2</w:t>
    </w:r>
  </w:p>
  <w:p>
    <w:pPr>
      <w:pStyle w:val="style0"/>
      <w:jc w:val="center"/>
    </w:pPr>
    <w:r>
      <w:rPr>
        <w:rFonts w:ascii="Arial" w:cs="Arial" w:hAnsi="Arial"/>
        <w:sz w:val="22"/>
        <w:szCs w:val="22"/>
      </w:rPr>
      <w:t>0</w:t>
    </w:r>
  </w:p>
  <w:p>
    <w:pPr>
      <w:pStyle w:val="style0"/>
      <w:jc w:val="center"/>
    </w:pPr>
    <w:r>
      <w:rPr>
        <w:rFonts w:ascii="Arial" w:cs="Arial" w:hAnsi="Arial"/>
        <w:sz w:val="22"/>
        <w:szCs w:val="22"/>
      </w:rPr>
      <w:t>2</w:t>
    </w:r>
  </w:p>
  <w:p>
    <w:pPr>
      <w:pStyle w:val="style0"/>
      <w:jc w:val="center"/>
    </w:pPr>
    <w:r>
      <w:rPr>
        <w:rFonts w:ascii="Arial" w:cs="Arial" w:hAnsi="Arial"/>
        <w:sz w:val="22"/>
        <w:szCs w:val="22"/>
      </w:rPr>
      <w:t>2</w:t>
    </w:r>
  </w:p>
  <w:p>
    <w:pPr>
      <w:pStyle w:val="style0"/>
      <w:jc w:val="center"/>
    </w:pPr>
    <w:r>
      <w:rPr>
        <w:rFonts w:ascii="Arial" w:cs="Arial" w:hAnsi="Arial"/>
        <w:sz w:val="22"/>
        <w:szCs w:val="22"/>
      </w:rPr>
      <w:t>2</w:t>
    </w:r>
  </w:p>
  <w:p>
    <w:pPr>
      <w:pStyle w:val="style0"/>
      <w:jc w:val="center"/>
    </w:pPr>
    <w:r>
      <w:rPr>
        <w:rFonts w:ascii="Arial" w:cs="Arial" w:hAnsi="Arial"/>
        <w:sz w:val="22"/>
        <w:szCs w:val="22"/>
      </w:rPr>
      <w:t>3</w:t>
    </w:r>
  </w:p>
  <w:p>
    <w:pPr>
      <w:pStyle w:val="style0"/>
      <w:jc w:val="center"/>
    </w:pPr>
    <w:r>
      <w:rPr>
        <w:rFonts w:ascii="Arial" w:cs="Arial" w:hAnsi="Arial"/>
        <w:sz w:val="22"/>
        <w:szCs w:val="22"/>
      </w:rPr>
      <w:t>8</w:t>
    </w:r>
  </w:p>
  <w:p>
    <w:pPr>
      <w:pStyle w:val="style0"/>
      <w:jc w:val="center"/>
    </w:pPr>
    <w:r>
      <w:rPr>
        <w:rFonts w:ascii="Arial" w:cs="Arial" w:hAnsi="Arial"/>
        <w:sz w:val="22"/>
        <w:szCs w:val="22"/>
      </w:rPr>
      <w:t>9</w:t>
    </w:r>
  </w:p>
  <w:p>
    <w:pPr>
      <w:pStyle w:val="style0"/>
      <w:jc w:val="center"/>
    </w:pPr>
    <w:r>
      <w:rPr>
        <w:rFonts w:ascii="Arial" w:cs="Arial" w:hAnsi="Arial"/>
        <w:sz w:val="22"/>
        <w:szCs w:val="22"/>
      </w:rPr>
      <w:t>0</w:t>
    </w:r>
  </w:p>
  <w:p>
    <w:pPr>
      <w:pStyle w:val="style0"/>
      <w:jc w:val="center"/>
    </w:pPr>
    <w:r>
      <w:rPr>
        <w:rFonts w:ascii="Arial" w:cs="Arial" w:hAnsi="Arial"/>
        <w:sz w:val="22"/>
        <w:szCs w:val="22"/>
      </w:rPr>
      <w:t>0</w:t>
    </w:r>
  </w:p>
  <w:p>
    <w:pPr>
      <w:pStyle w:val="style39"/>
    </w:pPr>
    <w:r>
      <w:rPr/>
    </w:r>
  </w:p>
</w:hdr>
</file>

<file path=word/numbering.xml><?xml version="1.0" encoding="utf-8"?>
<w:numbering xmlns:w="http://schemas.openxmlformats.org/wordprocessingml/2006/main">
  <w:abstractNum w:abstractNumId="1">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abstractNum w:abstractNumId="2">
    <w:lvl w:ilvl="0">
      <w:start w:val="1"/>
      <w:numFmt w:val="lowerLetter"/>
      <w:lvlText w:val="%1)"/>
      <w:lvlJc w:val="left"/>
      <w:pPr>
        <w:ind w:hanging="360" w:left="720"/>
      </w:pPr>
    </w:lvl>
    <w:lvl w:ilvl="1">
      <w:start w:val="1"/>
      <w:numFmt w:val="lowerLetter"/>
      <w:lvlText w:val="%2."/>
      <w:lvlJc w:val="left"/>
      <w:pPr>
        <w:ind w:hanging="360" w:left="1440"/>
      </w:pPr>
    </w:lvl>
    <w:lvl w:ilvl="2">
      <w:start w:val="1"/>
      <w:numFmt w:val="lowerRoman"/>
      <w:lvlText w:val="%3."/>
      <w:lvlJc w:val="right"/>
      <w:pPr>
        <w:ind w:hanging="180" w:left="2160"/>
      </w:pPr>
    </w:lvl>
    <w:lvl w:ilvl="3">
      <w:start w:val="1"/>
      <w:numFmt w:val="decimal"/>
      <w:lvlText w:val="%4."/>
      <w:lvlJc w:val="left"/>
      <w:pPr>
        <w:ind w:hanging="360" w:left="2880"/>
      </w:pPr>
    </w:lvl>
    <w:lvl w:ilvl="4">
      <w:start w:val="1"/>
      <w:numFmt w:val="lowerLetter"/>
      <w:lvlText w:val="%5."/>
      <w:lvlJc w:val="left"/>
      <w:pPr>
        <w:ind w:hanging="360" w:left="3600"/>
      </w:pPr>
    </w:lvl>
    <w:lvl w:ilvl="5">
      <w:start w:val="1"/>
      <w:numFmt w:val="lowerRoman"/>
      <w:lvlText w:val="%6."/>
      <w:lvlJc w:val="right"/>
      <w:pPr>
        <w:ind w:hanging="180" w:left="4320"/>
      </w:pPr>
    </w:lvl>
    <w:lvl w:ilvl="6">
      <w:start w:val="1"/>
      <w:numFmt w:val="decimal"/>
      <w:lvlText w:val="%7."/>
      <w:lvlJc w:val="left"/>
      <w:pPr>
        <w:ind w:hanging="360" w:left="5040"/>
      </w:pPr>
    </w:lvl>
    <w:lvl w:ilvl="7">
      <w:start w:val="1"/>
      <w:numFmt w:val="lowerLetter"/>
      <w:lvlText w:val="%8."/>
      <w:lvlJc w:val="left"/>
      <w:pPr>
        <w:ind w:hanging="360" w:left="5760"/>
      </w:pPr>
    </w:lvl>
    <w:lvl w:ilvl="8">
      <w:start w:val="1"/>
      <w:numFmt w:val="lowerRoman"/>
      <w:lvlText w:val="%9."/>
      <w:lvlJc w:val="right"/>
      <w:pPr>
        <w:ind w:hanging="180" w:left="6480"/>
      </w:pPr>
    </w:lvl>
  </w:abstractNum>
  <w:num w:numId="1">
    <w:abstractNumId w:val="1"/>
  </w:num>
  <w:num w:numId="2">
    <w:abstractNumId w:val="2"/>
  </w:num>
</w:numbering>
</file>

<file path=word/styles.xml><?xml version="1.0" encoding="utf-8"?>
<w:styles xmlns:w="http://schemas.openxmlformats.org/wordprocessingml/2006/main">
  <w:style w:styleId="style0" w:type="paragraph">
    <w:name w:val="Východzie"/>
    <w:next w:val="style0"/>
    <w:pPr>
      <w:widowControl/>
      <w:tabs>
        <w:tab w:leader="none" w:pos="708" w:val="left"/>
      </w:tabs>
      <w:suppressAutoHyphens w:val="true"/>
    </w:pPr>
    <w:rPr>
      <w:rFonts w:ascii="Times New Roman" w:cs="Times New Roman" w:eastAsia="Times New Roman" w:hAnsi="Times New Roman"/>
      <w:color w:val="auto"/>
      <w:sz w:val="24"/>
      <w:szCs w:val="24"/>
      <w:lang w:bidi="ar-SA" w:eastAsia="sk-SK" w:val="sk-SK"/>
    </w:rPr>
  </w:style>
  <w:style w:styleId="style1" w:type="paragraph">
    <w:name w:val="Nadpis 1"/>
    <w:basedOn w:val="style0"/>
    <w:next w:val="style29"/>
    <w:pPr>
      <w:keepNext/>
      <w:spacing w:after="60" w:before="240"/>
      <w:jc w:val="center"/>
    </w:pPr>
    <w:rPr>
      <w:b/>
      <w:bCs/>
    </w:rPr>
  </w:style>
  <w:style w:styleId="style2" w:type="paragraph">
    <w:name w:val="Nadpis 2"/>
    <w:basedOn w:val="style0"/>
    <w:next w:val="style29"/>
    <w:pPr>
      <w:keepNext/>
      <w:numPr>
        <w:ilvl w:val="1"/>
        <w:numId w:val="1"/>
      </w:numPr>
      <w:spacing w:after="120" w:before="0"/>
      <w:jc w:val="center"/>
      <w:outlineLvl w:val="1"/>
    </w:pPr>
    <w:rPr>
      <w:b/>
      <w:bCs/>
    </w:rPr>
  </w:style>
  <w:style w:styleId="style15" w:type="character">
    <w:name w:val="Default Paragraph Font"/>
    <w:next w:val="style15"/>
    <w:rPr/>
  </w:style>
  <w:style w:styleId="style16" w:type="character">
    <w:name w:val="Nadpis 1 Char"/>
    <w:next w:val="style16"/>
    <w:rPr>
      <w:b/>
      <w:bCs/>
      <w:sz w:val="24"/>
      <w:szCs w:val="24"/>
      <w:lang w:eastAsia="sk-SK" w:val="sk-SK"/>
    </w:rPr>
  </w:style>
  <w:style w:styleId="style17" w:type="character">
    <w:name w:val="Nadpis 2 Char"/>
    <w:next w:val="style17"/>
    <w:rPr>
      <w:rFonts w:ascii="Cambria" w:cs="Cambria" w:eastAsia="Times New Roman" w:hAnsi="Cambria"/>
      <w:b/>
      <w:bCs/>
      <w:i/>
      <w:iCs/>
      <w:sz w:val="28"/>
      <w:szCs w:val="28"/>
    </w:rPr>
  </w:style>
  <w:style w:styleId="style18" w:type="character">
    <w:name w:val="Text poznámky pod čiarou Char"/>
    <w:next w:val="style18"/>
    <w:rPr>
      <w:sz w:val="20"/>
      <w:szCs w:val="20"/>
    </w:rPr>
  </w:style>
  <w:style w:styleId="style19" w:type="character">
    <w:name w:val="footnote reference"/>
    <w:next w:val="style19"/>
    <w:rPr>
      <w:vertAlign w:val="superscript"/>
    </w:rPr>
  </w:style>
  <w:style w:styleId="style20" w:type="character">
    <w:name w:val="Päta Char"/>
    <w:next w:val="style20"/>
    <w:rPr>
      <w:sz w:val="24"/>
      <w:szCs w:val="24"/>
    </w:rPr>
  </w:style>
  <w:style w:styleId="style21" w:type="character">
    <w:name w:val="page number"/>
    <w:basedOn w:val="style15"/>
    <w:next w:val="style21"/>
    <w:rPr/>
  </w:style>
  <w:style w:styleId="style22" w:type="character">
    <w:name w:val="Názov Char"/>
    <w:next w:val="style22"/>
    <w:rPr>
      <w:rFonts w:ascii="Arial Narrow" w:cs="Arial Narrow" w:hAnsi="Arial Narrow"/>
      <w:b/>
      <w:bCs/>
      <w:sz w:val="32"/>
      <w:szCs w:val="32"/>
      <w:lang w:val="sk-SK"/>
    </w:rPr>
  </w:style>
  <w:style w:styleId="style23" w:type="character">
    <w:name w:val="Hlavička Char"/>
    <w:next w:val="style23"/>
    <w:rPr>
      <w:sz w:val="24"/>
      <w:szCs w:val="24"/>
      <w:lang w:eastAsia="sk-SK" w:val="sk-SK"/>
    </w:rPr>
  </w:style>
  <w:style w:styleId="style24" w:type="character">
    <w:name w:val="Text bubliny Char"/>
    <w:basedOn w:val="style15"/>
    <w:next w:val="style24"/>
    <w:rPr>
      <w:rFonts w:ascii="Segoe UI" w:cs="Segoe UI" w:hAnsi="Segoe UI"/>
      <w:sz w:val="18"/>
      <w:szCs w:val="18"/>
    </w:rPr>
  </w:style>
  <w:style w:styleId="style25" w:type="character">
    <w:name w:val="ListLabel 1"/>
    <w:next w:val="style25"/>
    <w:rPr>
      <w:rFonts w:cs="Times New Roman"/>
      <w:b w:val="false"/>
      <w:bCs w:val="false"/>
      <w:i w:val="false"/>
      <w:iCs w:val="false"/>
      <w:caps w:val="false"/>
      <w:smallCaps w:val="false"/>
      <w:strike w:val="false"/>
      <w:dstrike w:val="false"/>
      <w:vanish w:val="false"/>
      <w:color w:val="00000A"/>
      <w:spacing w:val="0"/>
      <w:w w:val="100"/>
      <w:position w:val="0"/>
      <w:sz w:val="24"/>
      <w:sz w:val="24"/>
      <w:szCs w:val="24"/>
      <w:u w:val="none"/>
      <w:vertAlign w:val="baseline"/>
    </w:rPr>
  </w:style>
  <w:style w:styleId="style26" w:type="character">
    <w:name w:val="ListLabel 2"/>
    <w:next w:val="style26"/>
    <w:rPr>
      <w:rFonts w:cs="Times New Roman"/>
    </w:rPr>
  </w:style>
  <w:style w:styleId="style27" w:type="character">
    <w:name w:val="ListLabel 3"/>
    <w:next w:val="style27"/>
    <w:rPr>
      <w:rFonts w:cs="Courier New"/>
    </w:rPr>
  </w:style>
  <w:style w:styleId="style28" w:type="paragraph">
    <w:name w:val="Nadpis"/>
    <w:basedOn w:val="style0"/>
    <w:next w:val="style29"/>
    <w:pPr>
      <w:keepNext/>
      <w:spacing w:after="120" w:before="240"/>
    </w:pPr>
    <w:rPr>
      <w:rFonts w:ascii="Arial" w:cs="Mangal" w:eastAsia="Microsoft YaHei" w:hAnsi="Arial"/>
      <w:sz w:val="28"/>
      <w:szCs w:val="28"/>
    </w:rPr>
  </w:style>
  <w:style w:styleId="style29" w:type="paragraph">
    <w:name w:val="Telo textu"/>
    <w:basedOn w:val="style0"/>
    <w:next w:val="style29"/>
    <w:pPr>
      <w:spacing w:after="120" w:before="0"/>
    </w:pPr>
    <w:rPr/>
  </w:style>
  <w:style w:styleId="style30" w:type="paragraph">
    <w:name w:val="Zoznam"/>
    <w:basedOn w:val="style29"/>
    <w:next w:val="style30"/>
    <w:pPr/>
    <w:rPr>
      <w:rFonts w:cs="Mangal"/>
    </w:rPr>
  </w:style>
  <w:style w:styleId="style31" w:type="paragraph">
    <w:name w:val="Popis"/>
    <w:basedOn w:val="style0"/>
    <w:next w:val="style31"/>
    <w:pPr>
      <w:suppressLineNumbers/>
      <w:spacing w:after="120" w:before="120"/>
    </w:pPr>
    <w:rPr>
      <w:rFonts w:cs="Mangal"/>
      <w:i/>
      <w:iCs/>
      <w:sz w:val="24"/>
      <w:szCs w:val="24"/>
    </w:rPr>
  </w:style>
  <w:style w:styleId="style32" w:type="paragraph">
    <w:name w:val="Index"/>
    <w:basedOn w:val="style0"/>
    <w:next w:val="style32"/>
    <w:pPr>
      <w:suppressLineNumbers/>
    </w:pPr>
    <w:rPr>
      <w:rFonts w:cs="Mangal"/>
    </w:rPr>
  </w:style>
  <w:style w:styleId="style33" w:type="paragraph">
    <w:name w:val="Základní text"/>
    <w:next w:val="style33"/>
    <w:pPr>
      <w:widowControl/>
      <w:tabs>
        <w:tab w:leader="none" w:pos="708" w:val="left"/>
      </w:tabs>
      <w:suppressAutoHyphens w:val="true"/>
      <w:spacing w:after="240" w:before="0"/>
      <w:jc w:val="both"/>
    </w:pPr>
    <w:rPr>
      <w:rFonts w:ascii="Times New Roman" w:cs="Times New Roman" w:eastAsia="Times New Roman" w:hAnsi="Times New Roman"/>
      <w:color w:val="000000"/>
      <w:sz w:val="24"/>
      <w:szCs w:val="24"/>
      <w:lang w:bidi="ar-SA" w:eastAsia="sk-SK" w:val="sk-SK"/>
    </w:rPr>
  </w:style>
  <w:style w:styleId="style34" w:type="paragraph">
    <w:name w:val="footnote text"/>
    <w:basedOn w:val="style0"/>
    <w:next w:val="style34"/>
    <w:pPr/>
    <w:rPr>
      <w:sz w:val="20"/>
      <w:szCs w:val="20"/>
    </w:rPr>
  </w:style>
  <w:style w:styleId="style35" w:type="paragraph">
    <w:name w:val="Päta"/>
    <w:basedOn w:val="style0"/>
    <w:next w:val="style35"/>
    <w:pPr>
      <w:suppressLineNumbers/>
      <w:tabs>
        <w:tab w:leader="none" w:pos="4536" w:val="center"/>
        <w:tab w:leader="none" w:pos="9072" w:val="right"/>
      </w:tabs>
    </w:pPr>
    <w:rPr/>
  </w:style>
  <w:style w:styleId="style36" w:type="paragraph">
    <w:name w:val="Názov"/>
    <w:basedOn w:val="style0"/>
    <w:next w:val="style37"/>
    <w:pPr>
      <w:keepNext/>
      <w:spacing w:after="220" w:before="28"/>
      <w:jc w:val="center"/>
    </w:pPr>
    <w:rPr>
      <w:rFonts w:ascii="Arial Narrow" w:cs="Arial Narrow" w:hAnsi="Arial Narrow"/>
      <w:b/>
      <w:bCs/>
      <w:sz w:val="22"/>
      <w:szCs w:val="22"/>
      <w:lang w:eastAsia="en-US"/>
    </w:rPr>
  </w:style>
  <w:style w:styleId="style37" w:type="paragraph">
    <w:name w:val="Podnázov"/>
    <w:basedOn w:val="style28"/>
    <w:next w:val="style29"/>
    <w:pPr>
      <w:jc w:val="center"/>
    </w:pPr>
    <w:rPr>
      <w:i/>
      <w:iCs/>
      <w:sz w:val="28"/>
      <w:szCs w:val="28"/>
    </w:rPr>
  </w:style>
  <w:style w:styleId="style38" w:type="paragraph">
    <w:name w:val="Top Header"/>
    <w:basedOn w:val="style0"/>
    <w:next w:val="style38"/>
    <w:pPr>
      <w:jc w:val="center"/>
    </w:pPr>
    <w:rPr>
      <w:rFonts w:ascii="Arial Narrow" w:cs="Arial Narrow" w:hAnsi="Arial Narrow"/>
      <w:b/>
      <w:bCs/>
      <w:sz w:val="22"/>
      <w:szCs w:val="22"/>
      <w:lang w:eastAsia="en-US"/>
    </w:rPr>
  </w:style>
  <w:style w:styleId="style39" w:type="paragraph">
    <w:name w:val="Hlavička"/>
    <w:basedOn w:val="style0"/>
    <w:next w:val="style39"/>
    <w:pPr>
      <w:suppressLineNumbers/>
      <w:tabs>
        <w:tab w:leader="none" w:pos="4703" w:val="center"/>
        <w:tab w:leader="none" w:pos="9406" w:val="right"/>
      </w:tabs>
    </w:pPr>
    <w:rPr/>
  </w:style>
  <w:style w:styleId="style40" w:type="paragraph">
    <w:name w:val="List Paragraph"/>
    <w:basedOn w:val="style0"/>
    <w:next w:val="style40"/>
    <w:pPr>
      <w:ind w:hanging="0" w:left="720" w:right="0"/>
    </w:pPr>
    <w:rPr/>
  </w:style>
  <w:style w:styleId="style41" w:type="paragraph">
    <w:name w:val="Balloon Text"/>
    <w:basedOn w:val="style0"/>
    <w:next w:val="style41"/>
    <w:pPr/>
    <w:rPr>
      <w:rFonts w:ascii="Segoe UI" w:cs="Segoe UI" w:hAnsi="Segoe UI"/>
      <w:sz w:val="18"/>
      <w:szCs w:val="18"/>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
</Relationships>
</file>

<file path=docProps/app.xml><?xml version="1.0" encoding="utf-8"?>
<Properties xmlns="http://schemas.openxmlformats.org/officeDocument/2006/extended-properties" xmlns:vt="http://schemas.openxmlformats.org/officeDocument/2006/docPropsVTypes">
  <Template>Normal</Template>
  <TotalTime>3481</TotalTime>
  <Application>Microsoft Office Word</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2014-01-17T13:17:00.00Z</dcterms:created>
  <dc:creator>user</dc:creator>
  <cp:lastModifiedBy>Mária KORENČIAKOVÁ Ing.</cp:lastModifiedBy>
  <cp:lastPrinted>2014-03-28T06:09:00.00Z</cp:lastPrinted>
  <dcterms:modified xsi:type="dcterms:W3CDTF">2014-03-28T15:28:00.00Z</dcterms:modified>
  <cp:revision>723</cp:revision>
  <dc:title>Návrh</dc:title>
</cp:coreProperties>
</file>