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322" w:rsidRDefault="00D67322">
      <w:pPr>
        <w:pStyle w:val="Zkladntext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Príloha k účtovnej závierke k 31.12.201</w:t>
      </w:r>
      <w:r w:rsidR="00330AB3">
        <w:rPr>
          <w:rFonts w:ascii="Arial" w:hAnsi="Arial"/>
          <w:b/>
          <w:sz w:val="24"/>
        </w:rPr>
        <w:t>3</w:t>
      </w:r>
    </w:p>
    <w:p w:rsidR="00D67322" w:rsidRDefault="00D67322">
      <w:pPr>
        <w:pStyle w:val="Zkladntext"/>
        <w:rPr>
          <w:rFonts w:ascii="Arial" w:hAnsi="Arial"/>
        </w:rPr>
      </w:pPr>
    </w:p>
    <w:p w:rsidR="00D67322" w:rsidRDefault="00D67322">
      <w:pPr>
        <w:pStyle w:val="Nadpis1"/>
        <w:ind w:left="720" w:hanging="720"/>
        <w:rPr>
          <w:rFonts w:ascii="Arial" w:hAnsi="Arial"/>
        </w:rPr>
      </w:pPr>
    </w:p>
    <w:p w:rsidR="00D67322" w:rsidRDefault="00D67322">
      <w:pPr>
        <w:pStyle w:val="Zkladntext"/>
        <w:ind w:left="0"/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Čl. I.</w:t>
      </w:r>
    </w:p>
    <w:p w:rsidR="00D67322" w:rsidRDefault="00D67322">
      <w:pPr>
        <w:pStyle w:val="Zkladntext"/>
        <w:ind w:left="0"/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Všeobecné údaje</w:t>
      </w:r>
    </w:p>
    <w:p w:rsidR="00D67322" w:rsidRDefault="00D67322">
      <w:pPr>
        <w:pStyle w:val="Zkladntext"/>
        <w:ind w:left="0"/>
        <w:jc w:val="center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1.) Obchodné meno a sídlo spoločnosti: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 xml:space="preserve">J.T.ČOP, s.r.o., </w:t>
      </w:r>
      <w:r w:rsidR="00330AB3">
        <w:rPr>
          <w:rFonts w:ascii="Arial" w:hAnsi="Arial"/>
        </w:rPr>
        <w:t>Baška 1124, 04016 Baška</w:t>
      </w:r>
      <w:r>
        <w:rPr>
          <w:rFonts w:ascii="Arial" w:hAnsi="Arial"/>
        </w:rPr>
        <w:t>.</w:t>
      </w:r>
      <w:r w:rsidR="006F721A">
        <w:rPr>
          <w:rFonts w:ascii="Arial" w:hAnsi="Arial"/>
        </w:rPr>
        <w:t xml:space="preserve"> (zmena k 7.6.2013)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 xml:space="preserve">Spoločnosť J.T.ČOP, s.r.o. Košice  bola založená 1.1.2005 a do obchodného registra bola zapísaná 1.1.2005. 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>Identifikačné číslo organizácie (IČO) je 36 587 125.</w:t>
      </w:r>
    </w:p>
    <w:p w:rsidR="00D67322" w:rsidRDefault="00D67322">
      <w:pPr>
        <w:numPr>
          <w:ilvl w:val="12"/>
          <w:numId w:val="0"/>
        </w:numPr>
        <w:rPr>
          <w:rFonts w:ascii="Arial" w:hAnsi="Arial"/>
          <w:i/>
          <w:iCs/>
          <w:color w:val="FF0000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2. ) Hlavnými činnosťami spoločnosti sú: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>- veľkoobchod a maloobchod v rozsahu voľných živností, manažment a podnikateľské poradenstvo.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3.) Zoznam členov štatutárnych a dozorných orgánov spoločnosti v účtovnom období:</w:t>
      </w:r>
    </w:p>
    <w:p w:rsidR="00D67322" w:rsidRDefault="00D67322"/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>Štatutárny orgán: konate</w:t>
      </w:r>
      <w:r w:rsidR="00330AB3">
        <w:rPr>
          <w:rFonts w:ascii="Arial" w:hAnsi="Arial"/>
        </w:rPr>
        <w:t>ľ</w:t>
      </w:r>
      <w:r>
        <w:rPr>
          <w:rFonts w:ascii="Arial" w:hAnsi="Arial"/>
        </w:rPr>
        <w:t xml:space="preserve"> </w:t>
      </w:r>
      <w:r w:rsidR="00330AB3">
        <w:rPr>
          <w:rFonts w:ascii="Arial" w:hAnsi="Arial"/>
        </w:rPr>
        <w:t xml:space="preserve">- </w:t>
      </w:r>
      <w:r>
        <w:rPr>
          <w:rFonts w:ascii="Arial" w:hAnsi="Arial"/>
        </w:rPr>
        <w:t xml:space="preserve">Tamara Čopová            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4.) Štruktúra spoločníkov spoločnosti :</w:t>
      </w:r>
    </w:p>
    <w:p w:rsidR="00D67322" w:rsidRDefault="00D67322">
      <w:pPr>
        <w:pStyle w:val="Zkladntext"/>
        <w:ind w:left="0"/>
        <w:rPr>
          <w:rFonts w:ascii="Arial" w:hAnsi="Arial"/>
        </w:rPr>
      </w:pPr>
    </w:p>
    <w:p w:rsidR="00D67322" w:rsidRDefault="00D67322">
      <w:pPr>
        <w:pStyle w:val="Zkladntext"/>
        <w:ind w:left="0"/>
        <w:rPr>
          <w:rFonts w:ascii="Arial" w:hAnsi="Arial"/>
        </w:rPr>
      </w:pPr>
    </w:p>
    <w:p w:rsidR="00D67322" w:rsidRDefault="00D67322">
      <w:pPr>
        <w:pStyle w:val="Zkladntext"/>
        <w:ind w:left="0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8893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12"/>
        <w:gridCol w:w="1721"/>
        <w:gridCol w:w="1005"/>
        <w:gridCol w:w="430"/>
        <w:gridCol w:w="1004"/>
        <w:gridCol w:w="430"/>
        <w:gridCol w:w="1291"/>
      </w:tblGrid>
      <w:tr w:rsidR="00D67322" w:rsidTr="006F721A">
        <w:tblPrEx>
          <w:tblCellMar>
            <w:top w:w="0" w:type="dxa"/>
            <w:bottom w:w="0" w:type="dxa"/>
          </w:tblCellMar>
        </w:tblPrEx>
        <w:trPr>
          <w:cantSplit/>
          <w:trHeight w:val="253"/>
        </w:trPr>
        <w:tc>
          <w:tcPr>
            <w:tcW w:w="4733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Meno </w:t>
            </w:r>
          </w:p>
        </w:tc>
        <w:tc>
          <w:tcPr>
            <w:tcW w:w="2439" w:type="dxa"/>
            <w:gridSpan w:val="3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podiel na základnom imaní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291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hlasovacie práva</w:t>
            </w:r>
          </w:p>
        </w:tc>
      </w:tr>
      <w:tr w:rsidR="00D67322" w:rsidTr="006F721A">
        <w:tblPrEx>
          <w:tblCellMar>
            <w:top w:w="0" w:type="dxa"/>
            <w:bottom w:w="0" w:type="dxa"/>
          </w:tblCellMar>
        </w:tblPrEx>
        <w:trPr>
          <w:cantSplit/>
          <w:trHeight w:val="253"/>
        </w:trPr>
        <w:tc>
          <w:tcPr>
            <w:tcW w:w="301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172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1005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004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%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291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%</w:t>
            </w:r>
          </w:p>
        </w:tc>
      </w:tr>
      <w:tr w:rsidR="00D67322" w:rsidTr="006F721A">
        <w:tblPrEx>
          <w:tblCellMar>
            <w:top w:w="0" w:type="dxa"/>
            <w:bottom w:w="0" w:type="dxa"/>
          </w:tblCellMar>
        </w:tblPrEx>
        <w:trPr>
          <w:cantSplit/>
          <w:trHeight w:val="253"/>
        </w:trPr>
        <w:tc>
          <w:tcPr>
            <w:tcW w:w="4733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1005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004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291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</w:tr>
      <w:tr w:rsidR="00D67322" w:rsidTr="006F721A">
        <w:tblPrEx>
          <w:tblCellMar>
            <w:top w:w="0" w:type="dxa"/>
            <w:bottom w:w="0" w:type="dxa"/>
          </w:tblCellMar>
        </w:tblPrEx>
        <w:trPr>
          <w:cantSplit/>
          <w:trHeight w:val="253"/>
        </w:trPr>
        <w:tc>
          <w:tcPr>
            <w:tcW w:w="4733" w:type="dxa"/>
            <w:gridSpan w:val="2"/>
          </w:tcPr>
          <w:p w:rsidR="00D67322" w:rsidRDefault="006F721A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Tamara Č</w:t>
            </w:r>
            <w:r w:rsidR="00D67322">
              <w:rPr>
                <w:rFonts w:ascii="Arial" w:hAnsi="Arial"/>
              </w:rPr>
              <w:t>opová</w:t>
            </w:r>
          </w:p>
        </w:tc>
        <w:tc>
          <w:tcPr>
            <w:tcW w:w="1005" w:type="dxa"/>
          </w:tcPr>
          <w:p w:rsidR="00D67322" w:rsidRDefault="006F721A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6640</w:t>
            </w:r>
            <w:r w:rsidR="00330AB3">
              <w:rPr>
                <w:rFonts w:ascii="Arial" w:hAnsi="Arial"/>
              </w:rPr>
              <w:t>00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004" w:type="dxa"/>
          </w:tcPr>
          <w:p w:rsidR="00D67322" w:rsidRDefault="00330AB3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100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291" w:type="dxa"/>
          </w:tcPr>
          <w:p w:rsidR="00D67322" w:rsidRDefault="00330AB3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100</w:t>
            </w:r>
          </w:p>
        </w:tc>
      </w:tr>
      <w:tr w:rsidR="00D67322" w:rsidTr="006F721A">
        <w:tblPrEx>
          <w:tblCellMar>
            <w:top w:w="0" w:type="dxa"/>
            <w:bottom w:w="0" w:type="dxa"/>
          </w:tblCellMar>
        </w:tblPrEx>
        <w:trPr>
          <w:cantSplit/>
          <w:trHeight w:val="253"/>
        </w:trPr>
        <w:tc>
          <w:tcPr>
            <w:tcW w:w="4733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</w:t>
            </w:r>
          </w:p>
        </w:tc>
        <w:tc>
          <w:tcPr>
            <w:tcW w:w="1005" w:type="dxa"/>
            <w:tcBorders>
              <w:bottom w:val="double" w:sz="6" w:space="0" w:color="auto"/>
            </w:tcBorders>
          </w:tcPr>
          <w:p w:rsidR="00D67322" w:rsidRDefault="00D67322" w:rsidP="006F721A">
            <w:pPr>
              <w:pStyle w:val="Tabulka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6.6</w:t>
            </w:r>
            <w:r w:rsidR="006F721A">
              <w:rPr>
                <w:rFonts w:ascii="Arial" w:hAnsi="Arial"/>
                <w:b/>
              </w:rPr>
              <w:t>40</w:t>
            </w:r>
            <w:r>
              <w:rPr>
                <w:rFonts w:ascii="Arial" w:hAnsi="Arial"/>
                <w:b/>
              </w:rPr>
              <w:t>,00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004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100</w:t>
            </w:r>
          </w:p>
        </w:tc>
        <w:tc>
          <w:tcPr>
            <w:tcW w:w="430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291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100</w:t>
            </w:r>
          </w:p>
        </w:tc>
      </w:tr>
    </w:tbl>
    <w:p w:rsidR="00D67322" w:rsidRDefault="00D67322">
      <w:pPr>
        <w:pStyle w:val="Zkladntext"/>
        <w:ind w:left="0"/>
        <w:rPr>
          <w:rFonts w:ascii="Arial" w:hAnsi="Arial"/>
        </w:rPr>
      </w:pPr>
    </w:p>
    <w:p w:rsidR="006F721A" w:rsidRDefault="006F721A">
      <w:pPr>
        <w:pStyle w:val="Zkladntext"/>
        <w:ind w:left="0"/>
        <w:rPr>
          <w:rFonts w:ascii="Arial" w:hAnsi="Arial"/>
        </w:rPr>
      </w:pPr>
    </w:p>
    <w:p w:rsidR="00D67322" w:rsidRDefault="00D67322">
      <w:pPr>
        <w:pStyle w:val="Zkladntext"/>
        <w:numPr>
          <w:ilvl w:val="0"/>
          <w:numId w:val="3"/>
        </w:numPr>
        <w:rPr>
          <w:rFonts w:ascii="Arial" w:hAnsi="Arial"/>
        </w:rPr>
      </w:pPr>
      <w:r>
        <w:rPr>
          <w:rFonts w:ascii="Arial" w:hAnsi="Arial"/>
        </w:rPr>
        <w:t>Priemerný počet pracovníkov Spoločnosti v roku 201</w:t>
      </w:r>
      <w:r w:rsidR="00933556">
        <w:rPr>
          <w:rFonts w:ascii="Arial" w:hAnsi="Arial"/>
        </w:rPr>
        <w:t>2</w:t>
      </w:r>
      <w:r>
        <w:rPr>
          <w:rFonts w:ascii="Arial" w:hAnsi="Arial"/>
        </w:rPr>
        <w:t xml:space="preserve"> bol </w:t>
      </w:r>
      <w:r w:rsidR="00330AB3">
        <w:rPr>
          <w:rFonts w:ascii="Arial" w:hAnsi="Arial"/>
        </w:rPr>
        <w:t>1,5</w:t>
      </w:r>
      <w:r w:rsidR="006F721A">
        <w:rPr>
          <w:rFonts w:ascii="Arial" w:hAnsi="Arial"/>
        </w:rPr>
        <w:t>.</w:t>
      </w:r>
    </w:p>
    <w:p w:rsidR="006F721A" w:rsidRDefault="006F721A">
      <w:pPr>
        <w:pStyle w:val="Zkladntext"/>
        <w:numPr>
          <w:ilvl w:val="0"/>
          <w:numId w:val="3"/>
        </w:numPr>
        <w:rPr>
          <w:rFonts w:ascii="Arial" w:hAnsi="Arial"/>
        </w:rPr>
      </w:pPr>
    </w:p>
    <w:p w:rsidR="00D67322" w:rsidRDefault="00D67322">
      <w:pPr>
        <w:pStyle w:val="Zkladntext"/>
        <w:ind w:left="360"/>
        <w:rPr>
          <w:rFonts w:ascii="Arial" w:hAnsi="Arial"/>
          <w:b/>
        </w:rPr>
      </w:pPr>
    </w:p>
    <w:p w:rsidR="00D67322" w:rsidRDefault="00D67322">
      <w:pPr>
        <w:pStyle w:val="Zkladntext"/>
        <w:ind w:hanging="426"/>
        <w:rPr>
          <w:rFonts w:ascii="Arial" w:hAnsi="Arial"/>
        </w:rPr>
      </w:pPr>
      <w:r>
        <w:rPr>
          <w:rFonts w:ascii="Arial" w:hAnsi="Arial"/>
          <w:b/>
        </w:rPr>
        <w:t>6.)</w:t>
      </w:r>
      <w:r>
        <w:rPr>
          <w:rFonts w:ascii="Arial" w:hAnsi="Arial"/>
        </w:rPr>
        <w:tab/>
        <w:t>Účtovná závierka Spoločnosti k 31. decembru 201</w:t>
      </w:r>
      <w:r w:rsidR="00330AB3">
        <w:rPr>
          <w:rFonts w:ascii="Arial" w:hAnsi="Arial"/>
        </w:rPr>
        <w:t>3</w:t>
      </w:r>
      <w:r>
        <w:rPr>
          <w:rFonts w:ascii="Arial" w:hAnsi="Arial"/>
        </w:rPr>
        <w:t xml:space="preserve"> je zostavená ako riadna účtovná závierka podľa § 19 ods. 1  zákona č. 431/2002 Zz. o účtovníctve, za účtovné obdobie od 1. januára 201</w:t>
      </w:r>
      <w:r w:rsidR="00330AB3">
        <w:rPr>
          <w:rFonts w:ascii="Arial" w:hAnsi="Arial"/>
        </w:rPr>
        <w:t>3</w:t>
      </w:r>
      <w:r>
        <w:rPr>
          <w:rFonts w:ascii="Arial" w:hAnsi="Arial"/>
        </w:rPr>
        <w:t xml:space="preserve"> do 31. decembra 201</w:t>
      </w:r>
      <w:r w:rsidR="00330AB3">
        <w:rPr>
          <w:rFonts w:ascii="Arial" w:hAnsi="Arial"/>
        </w:rPr>
        <w:t>3</w:t>
      </w:r>
      <w:r>
        <w:rPr>
          <w:rFonts w:ascii="Arial" w:hAnsi="Arial"/>
        </w:rPr>
        <w:t>. Bola zostavená za predpokladu nepretržitého trvania Spoločnosti.</w:t>
      </w:r>
    </w:p>
    <w:p w:rsidR="00D67322" w:rsidRDefault="00D67322">
      <w:pPr>
        <w:pStyle w:val="Zkladntext"/>
        <w:ind w:left="0"/>
        <w:rPr>
          <w:rFonts w:ascii="Arial" w:hAnsi="Arial"/>
        </w:rPr>
      </w:pPr>
    </w:p>
    <w:p w:rsidR="00D67322" w:rsidRDefault="00D67322">
      <w:pPr>
        <w:pStyle w:val="Zkladntext"/>
        <w:jc w:val="center"/>
        <w:rPr>
          <w:rFonts w:ascii="Arial" w:hAnsi="Arial"/>
          <w:sz w:val="22"/>
        </w:rPr>
      </w:pPr>
    </w:p>
    <w:p w:rsidR="00D67322" w:rsidRDefault="00D67322">
      <w:pPr>
        <w:pStyle w:val="Zkladntext"/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Čl. II.</w:t>
      </w:r>
    </w:p>
    <w:p w:rsidR="00D67322" w:rsidRDefault="00D67322">
      <w:pPr>
        <w:pStyle w:val="Nadpis1"/>
        <w:jc w:val="center"/>
        <w:rPr>
          <w:rFonts w:ascii="Arial" w:hAnsi="Arial"/>
        </w:rPr>
      </w:pPr>
      <w:r>
        <w:rPr>
          <w:rFonts w:ascii="Arial" w:hAnsi="Arial"/>
          <w:b w:val="0"/>
          <w:sz w:val="22"/>
        </w:rPr>
        <w:t>informácie o účtovných metódach a všeobecných účtovných zásadách</w:t>
      </w:r>
    </w:p>
    <w:p w:rsidR="00D67322" w:rsidRDefault="00D67322">
      <w:pPr>
        <w:rPr>
          <w:rFonts w:ascii="Arial" w:hAnsi="Arial"/>
        </w:rPr>
      </w:pPr>
    </w:p>
    <w:p w:rsidR="00D67322" w:rsidRDefault="00D67322">
      <w:pPr>
        <w:pStyle w:val="Nadpis1"/>
        <w:rPr>
          <w:rFonts w:ascii="Arial" w:hAnsi="Arial"/>
        </w:rPr>
      </w:pPr>
      <w:r>
        <w:rPr>
          <w:rFonts w:ascii="Arial" w:hAnsi="Arial"/>
        </w:rPr>
        <w:t>1.) Spôsob oceňovania jednotlivých položiek</w:t>
      </w:r>
    </w:p>
    <w:p w:rsidR="00D67322" w:rsidRDefault="00D67322">
      <w:pPr>
        <w:pStyle w:val="Zkladntext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Nehmotný a hmotný investičný majetok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Investičný majetok  nakupovaný sa oceňuje obstarávacou cenou, ktorá zahrnuje cenu obstarania a náklady súvisiace s obstaraním (clo, dovoznú prirážku, prepravu, montáž, poistné a pod.). Súčasťou obstarávacej ceny sú aj úroky z cudzích zdrojov ako aj realizované kurzové rozdiely, ktoré vznikli do momentu uvedenia investičného majetku do používania.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Odpisy hmotného investičného majetku sú stanovené vychádzajúc z predpokladanej doby jeho používania a predpokladaného priebehu jeho opotrebovania. Odpisovať sa začína prvým dňom mesiaca nasledujúceho po uvedení investičného majetku do používania.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 xml:space="preserve">Drobný hmotný investičný majetok, ktorého obstarávacia cena je 1.000,- EUR a nižšia, sa odpisuje jednorazovo pri uvedení do používania. 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 xml:space="preserve">Zásoby 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Zásoby nakupované sa oceňujú obstarávacou cenou, ktorá zahrnuje cenu obstarania a náklady súvisiace s obstaraním (prepravu, poistné, provízie,  a pod.). Úroky z cudzích zdrojov nie sú súčasťou obstarávacej ceny. Nakupované zásoby sú oceňované metódou FIFO .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Pohľadávky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Pohľadávky sa oceňujú ich nominálnou hodnotou. Toto ocenenie sa znižuje o pochybné a nedobytné pohľadávky, s výnimkou zákonnej rezervy.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Peňažné prostriedky a ceniny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Peňažné prostriedky a ceniny sa oceňujú ich nominálnou hodnotou. Zníženie ich hodnoty sa vyjadruje opravnou položkou.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Náklady budúcich období a príjmy budúcich období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Náklady budúcich období a príjmy budúcich období sa vykazujú vo výške, ktorá je potrebná na dodržanie zásady vecnej a časovej súvislosti s účtovným obdobím.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  <w:b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  <w:b/>
        </w:rPr>
      </w:pPr>
      <w:r>
        <w:rPr>
          <w:rFonts w:ascii="Arial" w:hAnsi="Arial"/>
          <w:b/>
        </w:rPr>
        <w:t>Výdavky budúcich období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Výdaje budúcich období  sa vykazujú vo výške, ktorá je potrebná na dodržanie zásady vecnej a časovej súvislosti s účtovným obdobím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Výnosy budúcich období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Výnosy budúcich období sa účtujú v prijatej výške, ako zaplatené účastnícke poplatky za kurz  na ďalšie účtovné obdobie / november, december na mesiac január/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Rezervy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Rezervy sa oceňujú vo výške potrebnej na krytie známych rizík alebo strát z podnikania a zahŕňajú aj zníženie hodnoty pohľadávok voči dlžníkom v konkurznom a vyrovnávacom konaní.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  <w:r>
        <w:rPr>
          <w:rFonts w:ascii="Arial" w:hAnsi="Arial"/>
        </w:rPr>
        <w:t>Záväzky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Záväzky sa oceňujú ich nominálnou hodnotou.</w:t>
      </w:r>
    </w:p>
    <w:p w:rsidR="00D67322" w:rsidRDefault="00D67322">
      <w:pPr>
        <w:pStyle w:val="Pismenka"/>
        <w:numPr>
          <w:ilvl w:val="0"/>
          <w:numId w:val="0"/>
        </w:numPr>
        <w:ind w:left="426" w:hanging="426"/>
        <w:rPr>
          <w:rFonts w:ascii="Arial" w:hAnsi="Arial"/>
        </w:rPr>
      </w:pPr>
    </w:p>
    <w:p w:rsidR="00D67322" w:rsidRDefault="00D67322">
      <w:pPr>
        <w:pStyle w:val="Zkladntext"/>
        <w:ind w:left="0"/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Čl . III.</w:t>
      </w:r>
    </w:p>
    <w:p w:rsidR="00D67322" w:rsidRDefault="00D67322">
      <w:pPr>
        <w:pStyle w:val="Zkladntext"/>
        <w:ind w:left="0"/>
        <w:jc w:val="center"/>
        <w:rPr>
          <w:rFonts w:ascii="Arial" w:hAnsi="Arial"/>
        </w:rPr>
      </w:pPr>
      <w:r>
        <w:rPr>
          <w:rFonts w:ascii="Arial" w:hAnsi="Arial"/>
          <w:sz w:val="22"/>
        </w:rPr>
        <w:t>Doplňujúce informácie k súvahe a výkazu ziskov a strát</w:t>
      </w:r>
    </w:p>
    <w:p w:rsidR="00D67322" w:rsidRDefault="00D67322">
      <w:pPr>
        <w:pStyle w:val="Zkladntext"/>
        <w:ind w:left="0"/>
        <w:jc w:val="center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Prehľad o pohybe nehmotného a hmotného investičného majetku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>Pohyb nehmotného a hmotného investičného majetku od 1. januára 201</w:t>
      </w:r>
      <w:r w:rsidR="00933556">
        <w:rPr>
          <w:rFonts w:ascii="Arial" w:hAnsi="Arial"/>
        </w:rPr>
        <w:t>2</w:t>
      </w:r>
      <w:r>
        <w:rPr>
          <w:rFonts w:ascii="Arial" w:hAnsi="Arial"/>
        </w:rPr>
        <w:t xml:space="preserve"> do 31. decembra 201</w:t>
      </w:r>
      <w:r w:rsidR="00933556">
        <w:rPr>
          <w:rFonts w:ascii="Arial" w:hAnsi="Arial"/>
        </w:rPr>
        <w:t>2</w:t>
      </w:r>
      <w:r>
        <w:rPr>
          <w:rFonts w:ascii="Arial" w:hAnsi="Arial"/>
        </w:rPr>
        <w:t xml:space="preserve"> nebol zaznamenaný. 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771"/>
        <w:gridCol w:w="1134"/>
      </w:tblGrid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bottom w:val="single" w:sz="12" w:space="0" w:color="000000"/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513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134" w:type="dxa"/>
            <w:tcBorders>
              <w:bottom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Stroje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Obstarávacia cena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 1.1.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0,-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bottom w:val="single" w:sz="6" w:space="0" w:color="auto"/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134" w:type="dxa"/>
            <w:tcBorders>
              <w:bottom w:val="single" w:sz="6" w:space="0" w:color="auto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0,-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31.12.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0,-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Oprávky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 1.1.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0,-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bottom w:val="single" w:sz="6" w:space="0" w:color="auto"/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134" w:type="dxa"/>
            <w:tcBorders>
              <w:bottom w:val="single" w:sz="6" w:space="0" w:color="auto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 31.12.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Zostatková cena</w:t>
            </w:r>
          </w:p>
        </w:tc>
        <w:tc>
          <w:tcPr>
            <w:tcW w:w="1134" w:type="dxa"/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bottom w:val="single" w:sz="6" w:space="0" w:color="auto"/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 1.1.</w:t>
            </w:r>
          </w:p>
        </w:tc>
        <w:tc>
          <w:tcPr>
            <w:tcW w:w="1134" w:type="dxa"/>
            <w:tcBorders>
              <w:bottom w:val="single" w:sz="6" w:space="0" w:color="auto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0,-</w:t>
            </w:r>
          </w:p>
        </w:tc>
      </w:tr>
      <w:tr w:rsidR="00D67322" w:rsidTr="007E20E0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bottom w:val="single" w:sz="6" w:space="0" w:color="auto"/>
              <w:right w:val="single" w:sz="12" w:space="0" w:color="000000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 31.12.</w:t>
            </w:r>
          </w:p>
        </w:tc>
        <w:tc>
          <w:tcPr>
            <w:tcW w:w="1134" w:type="dxa"/>
            <w:tcBorders>
              <w:bottom w:val="single" w:sz="6" w:space="0" w:color="auto"/>
            </w:tcBorders>
          </w:tcPr>
          <w:p w:rsidR="00D67322" w:rsidRDefault="00D67322" w:rsidP="007E20E0">
            <w:pPr>
              <w:pStyle w:val="Zkladntext"/>
              <w:numPr>
                <w:ilvl w:val="12"/>
                <w:numId w:val="0"/>
              </w:numPr>
              <w:tabs>
                <w:tab w:val="center" w:pos="1985"/>
                <w:tab w:val="center" w:pos="7655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0,-</w:t>
            </w:r>
          </w:p>
        </w:tc>
      </w:tr>
    </w:tbl>
    <w:p w:rsidR="00D67322" w:rsidRDefault="007E20E0">
      <w:pPr>
        <w:pStyle w:val="Zkladntext"/>
        <w:numPr>
          <w:ilvl w:val="12"/>
          <w:numId w:val="0"/>
        </w:numPr>
        <w:tabs>
          <w:tab w:val="center" w:pos="1985"/>
          <w:tab w:val="center" w:pos="7655"/>
        </w:tabs>
        <w:rPr>
          <w:rFonts w:ascii="Arial" w:hAnsi="Arial"/>
        </w:rPr>
      </w:pPr>
      <w:r>
        <w:rPr>
          <w:rFonts w:ascii="Arial" w:hAnsi="Arial"/>
        </w:rPr>
        <w:t xml:space="preserve"> </w:t>
      </w:r>
      <w:r>
        <w:rPr>
          <w:rFonts w:ascii="Arial" w:hAnsi="Arial"/>
        </w:rPr>
        <w:br w:type="textWrapping" w:clear="all"/>
      </w:r>
    </w:p>
    <w:p w:rsidR="00D67322" w:rsidRDefault="007E20E0">
      <w:pPr>
        <w:pStyle w:val="Nadpis2"/>
        <w:rPr>
          <w:rFonts w:ascii="Arial" w:hAnsi="Arial"/>
        </w:rPr>
      </w:pPr>
      <w:r>
        <w:rPr>
          <w:rFonts w:ascii="Arial" w:hAnsi="Arial"/>
        </w:rPr>
        <w:t xml:space="preserve">        </w:t>
      </w:r>
      <w:r w:rsidR="00D67322">
        <w:rPr>
          <w:rFonts w:ascii="Arial" w:hAnsi="Arial"/>
        </w:rPr>
        <w:t>Zásoby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  <w:color w:val="00000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268"/>
        <w:gridCol w:w="425"/>
        <w:gridCol w:w="1134"/>
        <w:gridCol w:w="80"/>
      </w:tblGrid>
      <w:tr w:rsidR="00D67322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cantSplit/>
          <w:trHeight w:val="68"/>
        </w:trPr>
        <w:tc>
          <w:tcPr>
            <w:tcW w:w="2268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42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13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 k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cantSplit/>
          <w:trHeight w:val="68"/>
        </w:trPr>
        <w:tc>
          <w:tcPr>
            <w:tcW w:w="2268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42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134" w:type="dxa"/>
          </w:tcPr>
          <w:p w:rsidR="00D67322" w:rsidRDefault="00D67322" w:rsidP="00330AB3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31.12.201</w:t>
            </w:r>
            <w:r w:rsidR="00330AB3">
              <w:rPr>
                <w:rFonts w:ascii="Arial" w:hAnsi="Arial"/>
              </w:rPr>
              <w:t>3</w:t>
            </w:r>
          </w:p>
        </w:tc>
        <w:tc>
          <w:tcPr>
            <w:tcW w:w="80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cantSplit/>
          <w:trHeight w:val="68"/>
        </w:trPr>
        <w:tc>
          <w:tcPr>
            <w:tcW w:w="2268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80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387"/>
        </w:trPr>
        <w:tc>
          <w:tcPr>
            <w:tcW w:w="2268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materiál na sklade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13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0</w:t>
            </w:r>
          </w:p>
        </w:tc>
        <w:tc>
          <w:tcPr>
            <w:tcW w:w="80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68"/>
        </w:trPr>
        <w:tc>
          <w:tcPr>
            <w:tcW w:w="2268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tovar na sklade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134" w:type="dxa"/>
          </w:tcPr>
          <w:p w:rsidR="00D67322" w:rsidRDefault="00330AB3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2419</w:t>
            </w:r>
            <w:r w:rsidR="00D67322">
              <w:rPr>
                <w:rFonts w:ascii="Arial" w:hAnsi="Arial"/>
              </w:rPr>
              <w:t>,-</w:t>
            </w:r>
          </w:p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0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68"/>
        </w:trPr>
        <w:tc>
          <w:tcPr>
            <w:tcW w:w="2268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vedľajšie náklady obstarania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</w:p>
        </w:tc>
        <w:tc>
          <w:tcPr>
            <w:tcW w:w="113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80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</w:tbl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  <w:color w:val="FF0000"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>Opravné položky neboli vytvorené.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B07BB7" w:rsidRDefault="00B07BB7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  <w:b/>
        </w:rPr>
      </w:pPr>
      <w:r>
        <w:rPr>
          <w:rFonts w:ascii="Arial" w:hAnsi="Arial"/>
          <w:b/>
        </w:rPr>
        <w:t>Pohľadávky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Veková štruktúra pohľadávok je uvedená v nasledujúcej tabuľke: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</w:tblGrid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528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41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k 31.12.201</w:t>
            </w:r>
            <w:r w:rsidR="00B07BB7">
              <w:rPr>
                <w:rFonts w:ascii="Arial" w:hAnsi="Arial"/>
              </w:rPr>
              <w:t>2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3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985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417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528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lastRenderedPageBreak/>
              <w:t>Pohľadávky v lehote splatnosti</w:t>
            </w:r>
          </w:p>
        </w:tc>
        <w:tc>
          <w:tcPr>
            <w:tcW w:w="141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528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Pohľadávky po lehote splatnosti</w:t>
            </w:r>
          </w:p>
        </w:tc>
        <w:tc>
          <w:tcPr>
            <w:tcW w:w="1417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528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</w:t>
            </w:r>
          </w:p>
        </w:tc>
        <w:tc>
          <w:tcPr>
            <w:tcW w:w="1417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0,-</w:t>
            </w:r>
          </w:p>
        </w:tc>
      </w:tr>
    </w:tbl>
    <w:p w:rsidR="00B07BB7" w:rsidRPr="00B07BB7" w:rsidRDefault="00B07BB7" w:rsidP="00B07BB7"/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Finančný majetok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Ako finančný majetok sú vykázané peniaze v pokladnici, účty v bankách.</w:t>
      </w:r>
    </w:p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  <w:r>
        <w:rPr>
          <w:rFonts w:ascii="Arial" w:hAnsi="Arial"/>
        </w:rPr>
        <w:t xml:space="preserve">        Účtami v bankách môže Spoločnosť voľne disponovať / ČSOB a.s 4001896708/7500 – </w:t>
      </w:r>
      <w:r w:rsidR="00416500">
        <w:rPr>
          <w:rFonts w:ascii="Arial" w:hAnsi="Arial"/>
          <w:b/>
        </w:rPr>
        <w:t>173</w:t>
      </w:r>
      <w:r>
        <w:rPr>
          <w:rFonts w:ascii="Arial" w:hAnsi="Arial"/>
          <w:b/>
        </w:rPr>
        <w:t>,- EUR</w:t>
      </w:r>
      <w:r>
        <w:rPr>
          <w:rFonts w:ascii="Arial" w:hAnsi="Arial"/>
        </w:rPr>
        <w:t xml:space="preserve">,               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 xml:space="preserve">Pokladňa </w:t>
      </w:r>
      <w:r w:rsidR="0019479E">
        <w:rPr>
          <w:rFonts w:ascii="Arial" w:hAnsi="Arial"/>
          <w:b/>
        </w:rPr>
        <w:t>229</w:t>
      </w:r>
      <w:r>
        <w:rPr>
          <w:rFonts w:ascii="Arial" w:hAnsi="Arial"/>
          <w:b/>
        </w:rPr>
        <w:t>,-EUR</w:t>
      </w:r>
      <w:r>
        <w:rPr>
          <w:rFonts w:ascii="Arial" w:hAnsi="Arial"/>
        </w:rPr>
        <w:t>.</w:t>
      </w:r>
    </w:p>
    <w:p w:rsidR="00D67322" w:rsidRDefault="00D67322">
      <w:pPr>
        <w:pStyle w:val="Nadpis2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Ostatné aktíva – prechodné účty aktív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Ide o nasledovné položky: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110"/>
        <w:gridCol w:w="993"/>
        <w:gridCol w:w="1842"/>
        <w:gridCol w:w="284"/>
        <w:gridCol w:w="1559"/>
      </w:tblGrid>
      <w:tr w:rsidR="00D67322">
        <w:tblPrEx>
          <w:tblCellMar>
            <w:top w:w="0" w:type="dxa"/>
            <w:bottom w:w="0" w:type="dxa"/>
          </w:tblCellMar>
        </w:tblPrEx>
        <w:trPr>
          <w:cantSplit/>
          <w:trHeight w:val="250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8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31.12.201</w:t>
            </w:r>
            <w:r w:rsidR="0019479E">
              <w:rPr>
                <w:rFonts w:ascii="Arial" w:hAnsi="Arial"/>
              </w:rPr>
              <w:t>3</w:t>
            </w:r>
          </w:p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cantSplit/>
          <w:trHeight w:val="147"/>
        </w:trPr>
        <w:tc>
          <w:tcPr>
            <w:tcW w:w="4110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99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332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Náklady budúcich období – leasing</w:t>
            </w:r>
          </w:p>
        </w:tc>
        <w:tc>
          <w:tcPr>
            <w:tcW w:w="18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Ostatné náklady budúcich období</w:t>
            </w:r>
          </w:p>
        </w:tc>
        <w:tc>
          <w:tcPr>
            <w:tcW w:w="18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Príjmy budúcich období</w:t>
            </w:r>
          </w:p>
        </w:tc>
        <w:tc>
          <w:tcPr>
            <w:tcW w:w="18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429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8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8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</w:t>
            </w:r>
          </w:p>
        </w:tc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113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103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</w:t>
            </w:r>
          </w:p>
        </w:tc>
        <w:tc>
          <w:tcPr>
            <w:tcW w:w="1842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0</w:t>
            </w:r>
          </w:p>
        </w:tc>
        <w:tc>
          <w:tcPr>
            <w:tcW w:w="284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  <w:tc>
          <w:tcPr>
            <w:tcW w:w="1559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</w:p>
        </w:tc>
      </w:tr>
    </w:tbl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ind w:left="426"/>
        <w:jc w:val="left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Vlastné imanie</w:t>
      </w:r>
    </w:p>
    <w:p w:rsidR="00D67322" w:rsidRDefault="00D67322">
      <w:pPr>
        <w:pStyle w:val="Zkladntext"/>
        <w:numPr>
          <w:ilvl w:val="12"/>
          <w:numId w:val="0"/>
        </w:numPr>
        <w:ind w:left="426"/>
        <w:jc w:val="left"/>
        <w:rPr>
          <w:rFonts w:ascii="Arial" w:hAnsi="Arial"/>
        </w:rPr>
      </w:pPr>
    </w:p>
    <w:p w:rsidR="00D67322" w:rsidRDefault="00D67322">
      <w:pPr>
        <w:pStyle w:val="Zkladntext"/>
        <w:ind w:left="0"/>
        <w:rPr>
          <w:rFonts w:ascii="Arial" w:hAnsi="Arial"/>
        </w:rPr>
      </w:pPr>
      <w:r>
        <w:rPr>
          <w:rFonts w:ascii="Arial" w:hAnsi="Arial"/>
        </w:rPr>
        <w:t xml:space="preserve">        Prehľad o pohybe vlastného imania v priebehu účtovného obdobia je uvedený v nasledujúcej tabuľke:</w:t>
      </w:r>
    </w:p>
    <w:p w:rsidR="00D67322" w:rsidRDefault="00D67322">
      <w:pPr>
        <w:pStyle w:val="Zkladntext"/>
        <w:rPr>
          <w:rFonts w:ascii="Arial" w:hAnsi="Arial"/>
        </w:rPr>
      </w:pPr>
    </w:p>
    <w:tbl>
      <w:tblPr>
        <w:tblW w:w="8505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1"/>
        <w:gridCol w:w="2835"/>
        <w:gridCol w:w="142"/>
        <w:gridCol w:w="709"/>
        <w:gridCol w:w="425"/>
        <w:gridCol w:w="992"/>
        <w:gridCol w:w="142"/>
        <w:gridCol w:w="992"/>
        <w:gridCol w:w="142"/>
        <w:gridCol w:w="992"/>
        <w:gridCol w:w="142"/>
        <w:gridCol w:w="851"/>
      </w:tblGrid>
      <w:tr w:rsidR="00D67322">
        <w:tblPrEx>
          <w:tblCellMar>
            <w:top w:w="0" w:type="dxa"/>
            <w:bottom w:w="0" w:type="dxa"/>
          </w:tblCellMar>
        </w:tblPrEx>
        <w:trPr>
          <w:trHeight w:val="323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31.12. 201</w:t>
            </w:r>
            <w:r w:rsidR="0019479E">
              <w:rPr>
                <w:rFonts w:ascii="Arial" w:hAnsi="Arial"/>
              </w:rPr>
              <w:t>3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Prírastky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presuny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31.12. 201</w:t>
            </w:r>
            <w:r w:rsidR="0019479E">
              <w:rPr>
                <w:rFonts w:ascii="Arial" w:hAnsi="Arial"/>
              </w:rPr>
              <w:t>2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cantSplit/>
          <w:trHeight w:val="250"/>
        </w:trPr>
        <w:tc>
          <w:tcPr>
            <w:tcW w:w="2976" w:type="dxa"/>
            <w:gridSpan w:val="2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709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3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Základné imanie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Základné imanie</w:t>
            </w:r>
          </w:p>
        </w:tc>
        <w:tc>
          <w:tcPr>
            <w:tcW w:w="709" w:type="dxa"/>
          </w:tcPr>
          <w:p w:rsidR="00D67322" w:rsidRDefault="00D67322" w:rsidP="006F721A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66</w:t>
            </w:r>
            <w:r w:rsidR="006F721A">
              <w:rPr>
                <w:rFonts w:ascii="Arial" w:hAnsi="Arial"/>
              </w:rPr>
              <w:t>40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6639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Vlastné akcie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3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Kapitálové fondy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Emisné ážio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Ostatné kapitálové fondy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Oceň. rozdiely z precenenia majetku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Oceň. rozdiely z kapitálových účastín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3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Fondy zo zisku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Zákonný rezervný fond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Nedeliteľný fond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Štatutárne a ostatné fondy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3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Hospodársky výsledok minulých rokov</w:t>
            </w:r>
          </w:p>
        </w:tc>
        <w:tc>
          <w:tcPr>
            <w:tcW w:w="709" w:type="dxa"/>
          </w:tcPr>
          <w:p w:rsidR="00D67322" w:rsidRDefault="00933556" w:rsidP="0019479E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</w:t>
            </w:r>
            <w:r w:rsidR="0019479E">
              <w:rPr>
                <w:rFonts w:ascii="Arial" w:hAnsi="Arial"/>
              </w:rPr>
              <w:t>4801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19479E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-5901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Nerozdelený zisk minulých rokov</w:t>
            </w: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</w:t>
            </w:r>
            <w:r w:rsidR="00933556"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Neuhradená strata minulých rokov</w:t>
            </w:r>
          </w:p>
        </w:tc>
        <w:tc>
          <w:tcPr>
            <w:tcW w:w="709" w:type="dxa"/>
          </w:tcPr>
          <w:p w:rsidR="00D67322" w:rsidRDefault="0019479E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-10702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19479E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-5901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3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  <w:r>
              <w:rPr>
                <w:rFonts w:ascii="Arial" w:hAnsi="Arial"/>
              </w:rPr>
              <w:t>Hosp. výsledok bežného účt. obdobia</w:t>
            </w:r>
          </w:p>
        </w:tc>
        <w:tc>
          <w:tcPr>
            <w:tcW w:w="709" w:type="dxa"/>
            <w:tcBorders>
              <w:bottom w:val="single" w:sz="6" w:space="0" w:color="auto"/>
            </w:tcBorders>
          </w:tcPr>
          <w:p w:rsidR="00D67322" w:rsidRDefault="00D67322" w:rsidP="0019479E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</w:t>
            </w:r>
            <w:r w:rsidR="0019479E">
              <w:rPr>
                <w:rFonts w:ascii="Arial" w:hAnsi="Arial"/>
              </w:rPr>
              <w:t>553</w:t>
            </w: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</w:t>
            </w: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:rsidR="00D67322" w:rsidRDefault="0019479E">
            <w:pPr>
              <w:pStyle w:val="Tabulka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-4801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41" w:type="dxa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2977" w:type="dxa"/>
            <w:gridSpan w:val="2"/>
          </w:tcPr>
          <w:p w:rsidR="00D67322" w:rsidRDefault="00D67322">
            <w:pPr>
              <w:pStyle w:val="Tabulka"/>
              <w:rPr>
                <w:rFonts w:ascii="Arial" w:hAnsi="Arial"/>
              </w:rPr>
            </w:pPr>
          </w:p>
        </w:tc>
        <w:tc>
          <w:tcPr>
            <w:tcW w:w="709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425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99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  <w:tc>
          <w:tcPr>
            <w:tcW w:w="851" w:type="dxa"/>
          </w:tcPr>
          <w:p w:rsidR="00D67322" w:rsidRDefault="00D67322">
            <w:pPr>
              <w:pStyle w:val="Tabulka"/>
              <w:jc w:val="right"/>
              <w:rPr>
                <w:rFonts w:ascii="Arial" w:hAnsi="Arial"/>
              </w:rPr>
            </w:pPr>
          </w:p>
        </w:tc>
      </w:tr>
    </w:tbl>
    <w:p w:rsidR="00D67322" w:rsidRDefault="00D67322">
      <w:pPr>
        <w:pStyle w:val="Zkladntext"/>
        <w:rPr>
          <w:rFonts w:ascii="Arial" w:hAnsi="Arial"/>
        </w:rPr>
      </w:pPr>
    </w:p>
    <w:p w:rsidR="00D67322" w:rsidRDefault="00D67322">
      <w:pPr>
        <w:pStyle w:val="Zkladntext"/>
        <w:rPr>
          <w:rFonts w:ascii="Arial" w:hAnsi="Arial"/>
        </w:rPr>
      </w:pPr>
    </w:p>
    <w:p w:rsidR="00D67322" w:rsidRDefault="00D67322">
      <w:pPr>
        <w:pStyle w:val="Zkladntext"/>
        <w:rPr>
          <w:rFonts w:ascii="Arial" w:hAnsi="Arial"/>
        </w:rPr>
      </w:pPr>
      <w:r>
        <w:rPr>
          <w:rFonts w:ascii="Arial" w:hAnsi="Arial"/>
        </w:rPr>
        <w:t xml:space="preserve">Základné imanie sa </w:t>
      </w:r>
      <w:r w:rsidR="006F721A">
        <w:rPr>
          <w:rFonts w:ascii="Arial" w:hAnsi="Arial"/>
        </w:rPr>
        <w:t>ku dňu 7.6.2013 zmenilo zaokrúhlením na 6640,- EUR</w:t>
      </w:r>
      <w:r>
        <w:rPr>
          <w:rFonts w:ascii="Arial" w:hAnsi="Arial"/>
        </w:rPr>
        <w:t>.</w:t>
      </w:r>
    </w:p>
    <w:p w:rsidR="00D67322" w:rsidRDefault="00D67322">
      <w:pPr>
        <w:pStyle w:val="Zkladntext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Rezervy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Rezervy na kurzové straty sa nevytvárali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Rezervy na pohľadávky voči dlžníkom v konkurznom konaní sa nevytvárali.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lastRenderedPageBreak/>
        <w:t>Záväzky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Štruktúra záväzkov (okrem bankových úverov) podľa zostatkovej doby splatnosti je uvedená v nasledujúcej tabuľke: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567"/>
        <w:gridCol w:w="1719"/>
        <w:gridCol w:w="407"/>
      </w:tblGrid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719" w:type="dxa"/>
          </w:tcPr>
          <w:p w:rsidR="00D67322" w:rsidRDefault="00D67322" w:rsidP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k 31.12.201</w:t>
            </w:r>
            <w:r w:rsidR="0019479E">
              <w:rPr>
                <w:rFonts w:ascii="Arial" w:hAnsi="Arial"/>
              </w:rPr>
              <w:t>3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394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56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719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záväzky po lehote splatnosti</w:t>
            </w:r>
          </w:p>
        </w:tc>
        <w:tc>
          <w:tcPr>
            <w:tcW w:w="1719" w:type="dxa"/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10031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záväzky v lehote  splatnosti </w:t>
            </w:r>
          </w:p>
        </w:tc>
        <w:tc>
          <w:tcPr>
            <w:tcW w:w="1719" w:type="dxa"/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194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 krátkodobé záväzky</w:t>
            </w:r>
          </w:p>
        </w:tc>
        <w:tc>
          <w:tcPr>
            <w:tcW w:w="1719" w:type="dxa"/>
            <w:tcBorders>
              <w:bottom w:val="double" w:sz="6" w:space="0" w:color="auto"/>
            </w:tcBorders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10225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71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záväzky so zostatkovou dobou splatnosti 1 až 5 rokov</w:t>
            </w:r>
          </w:p>
        </w:tc>
        <w:tc>
          <w:tcPr>
            <w:tcW w:w="171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záväzky so zostatkovou dobou splatnosti dlhšou 5 rokov</w:t>
            </w:r>
          </w:p>
        </w:tc>
        <w:tc>
          <w:tcPr>
            <w:tcW w:w="171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4961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 dlhodobé záväzky</w:t>
            </w:r>
          </w:p>
        </w:tc>
        <w:tc>
          <w:tcPr>
            <w:tcW w:w="1719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0</w:t>
            </w:r>
          </w:p>
        </w:tc>
        <w:tc>
          <w:tcPr>
            <w:tcW w:w="40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</w:tr>
    </w:tbl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  <w:i/>
          <w:iCs/>
          <w:color w:val="FF0000"/>
        </w:rPr>
      </w:pPr>
      <w:r>
        <w:rPr>
          <w:rFonts w:ascii="Arial" w:hAnsi="Arial"/>
        </w:rPr>
        <w:tab/>
      </w:r>
      <w:r>
        <w:rPr>
          <w:rFonts w:ascii="Arial" w:hAnsi="Arial"/>
          <w:i/>
          <w:iCs/>
          <w:color w:val="FF0000"/>
        </w:rPr>
        <w:tab/>
      </w:r>
    </w:p>
    <w:p w:rsidR="00D67322" w:rsidRDefault="00D67322"/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Tržby za vlastné výkony a tovaru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Tržby za vlastné výkony a tovar podľa jednotlivých segmentov, t.j. podľa hlavných produktov a hlavných teritórií sú uvedené v nasledujúcej tabuľke: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59"/>
        <w:gridCol w:w="283"/>
        <w:gridCol w:w="820"/>
        <w:gridCol w:w="112"/>
        <w:gridCol w:w="143"/>
        <w:gridCol w:w="142"/>
        <w:gridCol w:w="59"/>
        <w:gridCol w:w="537"/>
        <w:gridCol w:w="142"/>
        <w:gridCol w:w="313"/>
      </w:tblGrid>
      <w:tr w:rsidR="00D67322">
        <w:tblPrEx>
          <w:tblCellMar>
            <w:top w:w="0" w:type="dxa"/>
            <w:bottom w:w="0" w:type="dxa"/>
          </w:tblCellMar>
        </w:tblPrEx>
        <w:trPr>
          <w:cantSplit/>
          <w:trHeight w:val="250"/>
        </w:trPr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276" w:type="dxa"/>
            <w:gridSpan w:val="5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53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31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gridAfter w:val="4"/>
          <w:wAfter w:w="1051" w:type="dxa"/>
          <w:trHeight w:val="250"/>
        </w:trPr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20" w:type="dxa"/>
          </w:tcPr>
          <w:p w:rsidR="00D67322" w:rsidRDefault="00D67322" w:rsidP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201</w:t>
            </w:r>
            <w:r w:rsidR="0019479E">
              <w:rPr>
                <w:rFonts w:ascii="Arial" w:hAnsi="Arial"/>
              </w:rPr>
              <w:t>3</w:t>
            </w:r>
          </w:p>
        </w:tc>
        <w:tc>
          <w:tcPr>
            <w:tcW w:w="11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gridAfter w:val="4"/>
          <w:wAfter w:w="1051" w:type="dxa"/>
          <w:trHeight w:val="250"/>
        </w:trPr>
        <w:tc>
          <w:tcPr>
            <w:tcW w:w="1559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20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11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gridAfter w:val="4"/>
          <w:wAfter w:w="1051" w:type="dxa"/>
          <w:trHeight w:val="250"/>
        </w:trPr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Vlastné výkony</w:t>
            </w: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20" w:type="dxa"/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3648</w:t>
            </w:r>
          </w:p>
        </w:tc>
        <w:tc>
          <w:tcPr>
            <w:tcW w:w="11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14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gridAfter w:val="4"/>
          <w:wAfter w:w="1051" w:type="dxa"/>
          <w:trHeight w:val="250"/>
        </w:trPr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Tovar</w:t>
            </w: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20" w:type="dxa"/>
          </w:tcPr>
          <w:p w:rsidR="00D67322" w:rsidRDefault="00933556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14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gridAfter w:val="4"/>
          <w:wAfter w:w="1051" w:type="dxa"/>
          <w:trHeight w:val="303"/>
        </w:trPr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20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1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14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gridAfter w:val="4"/>
          <w:wAfter w:w="1051" w:type="dxa"/>
          <w:trHeight w:val="250"/>
        </w:trPr>
        <w:tc>
          <w:tcPr>
            <w:tcW w:w="1559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</w:t>
            </w:r>
          </w:p>
        </w:tc>
        <w:tc>
          <w:tcPr>
            <w:tcW w:w="28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820" w:type="dxa"/>
            <w:tcBorders>
              <w:bottom w:val="double" w:sz="6" w:space="0" w:color="auto"/>
            </w:tcBorders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3648</w:t>
            </w:r>
          </w:p>
        </w:tc>
        <w:tc>
          <w:tcPr>
            <w:tcW w:w="11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  <w:tc>
          <w:tcPr>
            <w:tcW w:w="14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  <w:tc>
          <w:tcPr>
            <w:tcW w:w="142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right"/>
              <w:rPr>
                <w:rFonts w:ascii="Arial" w:hAnsi="Arial"/>
                <w:b/>
              </w:rPr>
            </w:pPr>
          </w:p>
        </w:tc>
      </w:tr>
    </w:tbl>
    <w:p w:rsidR="00D67322" w:rsidRDefault="00D67322">
      <w:pPr>
        <w:pStyle w:val="Zkladntext"/>
        <w:numPr>
          <w:ilvl w:val="12"/>
          <w:numId w:val="0"/>
        </w:numPr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Daň z príjmov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  <w:r>
        <w:rPr>
          <w:rFonts w:ascii="Arial" w:hAnsi="Arial"/>
        </w:rPr>
        <w:t>Prehľad o výške dani z príjmov je uvedený v nasledujúcej tabuľke:</w:t>
      </w:r>
    </w:p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2127"/>
        <w:gridCol w:w="1448"/>
        <w:gridCol w:w="253"/>
        <w:gridCol w:w="1417"/>
      </w:tblGrid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0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448" w:type="dxa"/>
          </w:tcPr>
          <w:p w:rsidR="00D67322" w:rsidRDefault="00D67322" w:rsidP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201</w:t>
            </w:r>
            <w:r w:rsidR="0019479E">
              <w:rPr>
                <w:rFonts w:ascii="Arial" w:hAnsi="Arial"/>
              </w:rPr>
              <w:t>3</w:t>
            </w:r>
          </w:p>
        </w:tc>
        <w:tc>
          <w:tcPr>
            <w:tcW w:w="25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17" w:type="dxa"/>
          </w:tcPr>
          <w:p w:rsidR="00D67322" w:rsidRDefault="00D67322" w:rsidP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201</w:t>
            </w:r>
            <w:r w:rsidR="0019479E">
              <w:rPr>
                <w:rFonts w:ascii="Arial" w:hAnsi="Arial"/>
              </w:rPr>
              <w:t>2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3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Daň z príjmov</w:t>
            </w:r>
          </w:p>
        </w:tc>
        <w:tc>
          <w:tcPr>
            <w:tcW w:w="212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</w:p>
        </w:tc>
        <w:tc>
          <w:tcPr>
            <w:tcW w:w="1448" w:type="dxa"/>
            <w:tcBorders>
              <w:bottom w:val="single" w:sz="6" w:space="0" w:color="auto"/>
            </w:tcBorders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  <w:tc>
          <w:tcPr>
            <w:tcW w:w="25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17" w:type="dxa"/>
            <w:tcBorders>
              <w:bottom w:val="single" w:sz="6" w:space="0" w:color="auto"/>
            </w:tcBorders>
          </w:tcPr>
          <w:p w:rsidR="00D67322" w:rsidRDefault="0019479E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EUR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0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daň splatná</w:t>
            </w:r>
          </w:p>
        </w:tc>
        <w:tc>
          <w:tcPr>
            <w:tcW w:w="1448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5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1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0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daň odložená</w:t>
            </w:r>
          </w:p>
        </w:tc>
        <w:tc>
          <w:tcPr>
            <w:tcW w:w="1448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5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</w:p>
        </w:tc>
        <w:tc>
          <w:tcPr>
            <w:tcW w:w="1417" w:type="dxa"/>
            <w:tcBorders>
              <w:bottom w:val="sing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0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</w:p>
        </w:tc>
        <w:tc>
          <w:tcPr>
            <w:tcW w:w="1448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</w:p>
        </w:tc>
        <w:tc>
          <w:tcPr>
            <w:tcW w:w="25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417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</w:p>
        </w:tc>
      </w:tr>
      <w:tr w:rsidR="00D6732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0" w:type="dxa"/>
            <w:gridSpan w:val="2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spolu</w:t>
            </w:r>
          </w:p>
        </w:tc>
        <w:tc>
          <w:tcPr>
            <w:tcW w:w="1448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0</w:t>
            </w:r>
          </w:p>
        </w:tc>
        <w:tc>
          <w:tcPr>
            <w:tcW w:w="253" w:type="dxa"/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417" w:type="dxa"/>
            <w:tcBorders>
              <w:bottom w:val="double" w:sz="6" w:space="0" w:color="auto"/>
            </w:tcBorders>
          </w:tcPr>
          <w:p w:rsidR="00D67322" w:rsidRDefault="00D67322">
            <w:pPr>
              <w:pStyle w:val="Tabulka"/>
              <w:numPr>
                <w:ilvl w:val="12"/>
                <w:numId w:val="0"/>
              </w:num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0</w:t>
            </w:r>
          </w:p>
        </w:tc>
      </w:tr>
    </w:tbl>
    <w:p w:rsidR="00D67322" w:rsidRDefault="00D67322">
      <w:pPr>
        <w:pStyle w:val="Zkladntext"/>
        <w:numPr>
          <w:ilvl w:val="12"/>
          <w:numId w:val="0"/>
        </w:numPr>
        <w:ind w:left="426"/>
        <w:rPr>
          <w:rFonts w:ascii="Arial" w:hAnsi="Arial"/>
        </w:rPr>
      </w:pP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Prenajatý a najatý majetok</w:t>
      </w:r>
    </w:p>
    <w:p w:rsidR="00D67322" w:rsidRDefault="0019479E">
      <w:pPr>
        <w:pStyle w:val="Zkladntext"/>
        <w:ind w:left="0"/>
        <w:rPr>
          <w:rFonts w:ascii="Arial" w:hAnsi="Arial"/>
        </w:rPr>
      </w:pPr>
      <w:r>
        <w:rPr>
          <w:rFonts w:ascii="Arial" w:hAnsi="Arial"/>
        </w:rPr>
        <w:t>Žiadny.</w:t>
      </w:r>
    </w:p>
    <w:p w:rsidR="00D67322" w:rsidRDefault="00D67322">
      <w:pPr>
        <w:pStyle w:val="Nadpis2"/>
        <w:rPr>
          <w:rFonts w:ascii="Arial" w:hAnsi="Arial"/>
        </w:rPr>
      </w:pPr>
      <w:r>
        <w:rPr>
          <w:rFonts w:ascii="Arial" w:hAnsi="Arial"/>
        </w:rPr>
        <w:t>Údaje o členoch štatutárnych a dozorných orgánov</w:t>
      </w:r>
    </w:p>
    <w:p w:rsidR="00D67322" w:rsidRDefault="00D67322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/>
        </w:rPr>
      </w:pPr>
      <w:r>
        <w:rPr>
          <w:rFonts w:ascii="Arial" w:hAnsi="Arial"/>
        </w:rPr>
        <w:t>Nemáme náplň pre položku.</w:t>
      </w: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  <w:r>
        <w:rPr>
          <w:rFonts w:ascii="Arial" w:hAnsi="Arial"/>
        </w:rPr>
        <w:t xml:space="preserve">V Košiciach </w:t>
      </w:r>
      <w:r w:rsidR="0019479E">
        <w:rPr>
          <w:rFonts w:ascii="Arial" w:hAnsi="Arial"/>
        </w:rPr>
        <w:t>29.03.2014</w:t>
      </w: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</w:p>
    <w:p w:rsidR="00D67322" w:rsidRDefault="00D67322">
      <w:pPr>
        <w:pStyle w:val="Zkladntext"/>
        <w:tabs>
          <w:tab w:val="center" w:pos="1985"/>
          <w:tab w:val="center" w:pos="7655"/>
        </w:tabs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                                                                         podpis štatutárneho orgánu</w:t>
      </w:r>
    </w:p>
    <w:p w:rsidR="00D67322" w:rsidRDefault="00D67322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/>
        </w:rPr>
      </w:pPr>
    </w:p>
    <w:p w:rsidR="00D67322" w:rsidRDefault="00D67322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/>
        </w:rPr>
      </w:pPr>
    </w:p>
    <w:sectPr w:rsidR="00D67322">
      <w:headerReference w:type="default" r:id="rId7"/>
      <w:footerReference w:type="even" r:id="rId8"/>
      <w:footerReference w:type="default" r:id="rId9"/>
      <w:pgSz w:w="11682" w:h="16840" w:code="9"/>
      <w:pgMar w:top="1701" w:right="1021" w:bottom="851" w:left="1673" w:header="680" w:footer="680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640" w:rsidRDefault="001B7640">
      <w:r>
        <w:separator/>
      </w:r>
    </w:p>
  </w:endnote>
  <w:endnote w:type="continuationSeparator" w:id="1">
    <w:p w:rsidR="001B7640" w:rsidRDefault="001B76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0E0" w:rsidRDefault="007E20E0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</w:t>
    </w:r>
    <w:r>
      <w:rPr>
        <w:rStyle w:val="slostrnky"/>
      </w:rPr>
      <w:fldChar w:fldCharType="end"/>
    </w:r>
  </w:p>
  <w:p w:rsidR="007E20E0" w:rsidRDefault="007E20E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0E0" w:rsidRDefault="007E20E0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9479E">
      <w:rPr>
        <w:rStyle w:val="slostrnky"/>
        <w:noProof/>
      </w:rPr>
      <w:t>4</w:t>
    </w:r>
    <w:r>
      <w:rPr>
        <w:rStyle w:val="slostrnky"/>
      </w:rPr>
      <w:fldChar w:fldCharType="end"/>
    </w:r>
  </w:p>
  <w:p w:rsidR="007E20E0" w:rsidRDefault="007E20E0">
    <w:pPr>
      <w:pStyle w:val="Zpat"/>
      <w:numPr>
        <w:ilvl w:val="12"/>
        <w:numId w:val="0"/>
      </w:numPr>
      <w:tabs>
        <w:tab w:val="clear" w:pos="4153"/>
        <w:tab w:val="clear" w:pos="8306"/>
        <w:tab w:val="center" w:pos="4536"/>
        <w:tab w:val="right" w:pos="9214"/>
      </w:tabs>
      <w:ind w:right="360"/>
    </w:pPr>
  </w:p>
  <w:p w:rsidR="007E20E0" w:rsidRDefault="007E20E0">
    <w:pPr>
      <w:pStyle w:val="Zpat"/>
      <w:framePr w:wrap="auto" w:vAnchor="text" w:hAnchor="page" w:x="6193" w:y="45"/>
      <w:numPr>
        <w:ilvl w:val="12"/>
        <w:numId w:val="0"/>
      </w:numPr>
      <w:rPr>
        <w:rStyle w:val="slostrnky"/>
        <w:sz w:val="18"/>
      </w:rPr>
    </w:pPr>
  </w:p>
  <w:p w:rsidR="007E20E0" w:rsidRDefault="007E20E0">
    <w:pPr>
      <w:pStyle w:val="Zpat"/>
      <w:numPr>
        <w:ilvl w:val="12"/>
        <w:numId w:val="0"/>
      </w:numPr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640" w:rsidRDefault="001B7640">
      <w:r>
        <w:separator/>
      </w:r>
    </w:p>
  </w:footnote>
  <w:footnote w:type="continuationSeparator" w:id="1">
    <w:p w:rsidR="001B7640" w:rsidRDefault="001B76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0E0" w:rsidRDefault="007E20E0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65B10DC2"/>
    <w:multiLevelType w:val="hybridMultilevel"/>
    <w:tmpl w:val="714C0B28"/>
    <w:lvl w:ilvl="0" w:tplc="6B7607E6">
      <w:start w:val="5"/>
      <w:numFmt w:val="decimal"/>
      <w:lvlText w:val="%1.)"/>
      <w:lvlJc w:val="left"/>
      <w:pPr>
        <w:tabs>
          <w:tab w:val="num" w:pos="780"/>
        </w:tabs>
        <w:ind w:left="780" w:hanging="4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709" w:hanging="283"/>
        </w:pPr>
        <w:rPr>
          <w:rFonts w:ascii="Symbol" w:hAnsi="Symbol" w:hint="default"/>
          <w:b w:val="0"/>
          <w:i w:val="0"/>
          <w:sz w:val="18"/>
          <w:u w:val="none"/>
        </w:rPr>
      </w:lvl>
    </w:lvlOverride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786" w:hanging="360"/>
        </w:pPr>
      </w:lvl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3556"/>
    <w:rsid w:val="0019479E"/>
    <w:rsid w:val="001B7640"/>
    <w:rsid w:val="00330AB3"/>
    <w:rsid w:val="00416500"/>
    <w:rsid w:val="006F721A"/>
    <w:rsid w:val="007E20E0"/>
    <w:rsid w:val="00933556"/>
    <w:rsid w:val="00B07BB7"/>
    <w:rsid w:val="00D67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lang w:eastAsia="cs-CZ"/>
    </w:rPr>
  </w:style>
  <w:style w:type="paragraph" w:styleId="Nadpis1">
    <w:name w:val="heading 1"/>
    <w:basedOn w:val="Normln"/>
    <w:next w:val="Normln"/>
    <w:qFormat/>
    <w:pPr>
      <w:keepNext/>
      <w:tabs>
        <w:tab w:val="num" w:pos="720"/>
      </w:tabs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qFormat/>
    <w:pPr>
      <w:keepNext/>
      <w:tabs>
        <w:tab w:val="num" w:pos="426"/>
      </w:tabs>
      <w:outlineLvl w:val="1"/>
    </w:pPr>
    <w:rPr>
      <w:b/>
      <w:sz w:val="18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sz w:val="3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153"/>
        <w:tab w:val="right" w:pos="8306"/>
      </w:tabs>
    </w:pPr>
  </w:style>
  <w:style w:type="paragraph" w:styleId="Zpat">
    <w:name w:val="footer"/>
    <w:basedOn w:val="Normln"/>
    <w:pPr>
      <w:tabs>
        <w:tab w:val="center" w:pos="4153"/>
        <w:tab w:val="right" w:pos="8306"/>
      </w:tabs>
    </w:pPr>
  </w:style>
  <w:style w:type="character" w:styleId="slostrnky">
    <w:name w:val="page number"/>
    <w:basedOn w:val="Standardnpsmoodstavce"/>
  </w:style>
  <w:style w:type="paragraph" w:styleId="Zkladntext">
    <w:name w:val="Body Text"/>
    <w:basedOn w:val="Normln"/>
    <w:pPr>
      <w:ind w:left="426"/>
      <w:jc w:val="both"/>
    </w:pPr>
    <w:rPr>
      <w:sz w:val="18"/>
    </w:rPr>
  </w:style>
  <w:style w:type="paragraph" w:customStyle="1" w:styleId="Uvod">
    <w:name w:val="Uvod"/>
    <w:basedOn w:val="Normln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"/>
    <w:rPr>
      <w:color w:val="000000"/>
      <w:sz w:val="18"/>
    </w:rPr>
  </w:style>
  <w:style w:type="paragraph" w:customStyle="1" w:styleId="Pismenka">
    <w:name w:val="Pismenka"/>
    <w:basedOn w:val="Nadpis2"/>
    <w:pPr>
      <w:ind w:left="426" w:hanging="426"/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1023</Words>
  <Characters>5832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meno</dc:creator>
  <cp:lastModifiedBy>Jaromil Čop</cp:lastModifiedBy>
  <cp:revision>2</cp:revision>
  <cp:lastPrinted>2013-03-09T13:40:00Z</cp:lastPrinted>
  <dcterms:created xsi:type="dcterms:W3CDTF">2014-03-29T15:53:00Z</dcterms:created>
  <dcterms:modified xsi:type="dcterms:W3CDTF">2014-03-29T15:53:00Z</dcterms:modified>
</cp:coreProperties>
</file>