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BF0D8F" w:rsidRDefault="00BF0D8F">
      <w:pPr>
        <w:suppressAutoHyphens w:val="0"/>
        <w:jc w:val="both"/>
        <w:rPr>
          <w:b/>
          <w:bCs/>
          <w:i/>
          <w:iCs/>
        </w:rPr>
      </w:pPr>
    </w:p>
    <w:p w:rsidR="00BF0D8F" w:rsidRDefault="00BF0D8F">
      <w:pPr>
        <w:suppressAutoHyphens w:val="0"/>
        <w:jc w:val="both"/>
        <w:rPr>
          <w:rFonts w:ascii="Times New Roman" w:hAnsi="Times New Roman" w:cs="Times New Roman"/>
          <w:i/>
          <w:iCs/>
          <w:lang w:eastAsia="en-US"/>
        </w:rPr>
      </w:pPr>
      <w:r>
        <w:rPr>
          <w:b/>
          <w:bCs/>
          <w:i/>
          <w:iCs/>
        </w:rPr>
        <w:t>A. a</w:t>
      </w:r>
      <w:r>
        <w:t xml:space="preserve">  </w:t>
      </w:r>
      <w:r>
        <w:rPr>
          <w:rFonts w:ascii="Times New Roman" w:hAnsi="Times New Roman" w:cs="Times New Roman"/>
        </w:rPr>
        <w:t>Spoločnosť AFIMA s.r.o. (ďalej len Spoločnosť) bola založená 26.01.2010. Spoločnosť je registrovaná v Obchodnom registri Okresného súdu Nitra., oddiel s.r.o., vložka č. 25869/N</w:t>
      </w:r>
    </w:p>
    <w:p w:rsidR="00BF0D8F" w:rsidRDefault="00BF0D8F">
      <w:pPr>
        <w:pStyle w:val="Heading2"/>
        <w:numPr>
          <w:ilvl w:val="0"/>
          <w:numId w:val="0"/>
        </w:numPr>
        <w:rPr>
          <w:rFonts w:ascii="Times New Roman" w:hAnsi="Times New Roman" w:cs="Times New Roman"/>
          <w:sz w:val="22"/>
          <w:szCs w:val="22"/>
          <w:lang w:eastAsia="en-US"/>
        </w:rPr>
      </w:pPr>
      <w:r>
        <w:rPr>
          <w:rFonts w:ascii="Times New Roman" w:hAnsi="Times New Roman" w:cs="Times New Roman"/>
          <w:sz w:val="22"/>
          <w:szCs w:val="22"/>
        </w:rPr>
        <w:t xml:space="preserve">A. b  </w:t>
      </w:r>
      <w:r>
        <w:rPr>
          <w:rFonts w:ascii="Times New Roman" w:hAnsi="Times New Roman" w:cs="Times New Roman"/>
          <w:b w:val="0"/>
          <w:bCs w:val="0"/>
          <w:sz w:val="22"/>
          <w:szCs w:val="22"/>
        </w:rPr>
        <w:t>Opis hospodárskej činnosti:</w:t>
      </w:r>
    </w:p>
    <w:p w:rsidR="00BF0D8F" w:rsidRDefault="00BF0D8F">
      <w:pPr>
        <w:pStyle w:val="Heading8"/>
        <w:rPr>
          <w:rFonts w:ascii="Times New Roman" w:hAnsi="Times New Roman" w:cs="Times New Roman"/>
          <w:lang w:eastAsia="en-US"/>
        </w:rPr>
      </w:pPr>
      <w:r>
        <w:rPr>
          <w:rFonts w:ascii="Times New Roman" w:hAnsi="Times New Roman" w:cs="Times New Roman"/>
        </w:rPr>
        <w:t>Hlavnými činnosťami Spoločnosti sú:</w:t>
      </w:r>
    </w:p>
    <w:p w:rsidR="00BF0D8F" w:rsidRDefault="00BF0D8F">
      <w:pPr>
        <w:numPr>
          <w:ilvl w:val="0"/>
          <w:numId w:val="5"/>
        </w:numPr>
        <w:jc w:val="both"/>
        <w:rPr>
          <w:rFonts w:ascii="Times New Roman" w:hAnsi="Times New Roman" w:cs="Times New Roman"/>
          <w:lang w:eastAsia="en-US"/>
        </w:rPr>
      </w:pPr>
      <w:r>
        <w:rPr>
          <w:rFonts w:ascii="Times New Roman" w:hAnsi="Times New Roman" w:cs="Times New Roman"/>
        </w:rPr>
        <w:t>Kúpa tovaru za účelom jeho predaja konečnému spotrebiteľovi (maloobchod)</w:t>
      </w:r>
    </w:p>
    <w:p w:rsidR="00BF0D8F" w:rsidRDefault="00BF0D8F">
      <w:pPr>
        <w:numPr>
          <w:ilvl w:val="0"/>
          <w:numId w:val="5"/>
        </w:numPr>
        <w:jc w:val="both"/>
        <w:rPr>
          <w:rFonts w:ascii="Times New Roman" w:hAnsi="Times New Roman" w:cs="Times New Roman"/>
          <w:lang w:eastAsia="en-US"/>
        </w:rPr>
      </w:pPr>
      <w:r>
        <w:rPr>
          <w:rFonts w:ascii="Times New Roman" w:hAnsi="Times New Roman" w:cs="Times New Roman"/>
        </w:rPr>
        <w:t>Kúpa tovaru  za účelom jeho predaja iným prevádzkovateľom živnosti (veľkoobchod)</w:t>
      </w:r>
    </w:p>
    <w:p w:rsidR="00BF0D8F" w:rsidRDefault="00BF0D8F">
      <w:pPr>
        <w:numPr>
          <w:ilvl w:val="0"/>
          <w:numId w:val="5"/>
        </w:numPr>
        <w:jc w:val="both"/>
        <w:rPr>
          <w:rFonts w:ascii="Times New Roman" w:hAnsi="Times New Roman" w:cs="Times New Roman"/>
          <w:lang w:eastAsia="en-US"/>
        </w:rPr>
      </w:pPr>
      <w:r>
        <w:rPr>
          <w:rFonts w:ascii="Times New Roman" w:hAnsi="Times New Roman" w:cs="Times New Roman"/>
        </w:rPr>
        <w:t>Počítačové služby</w:t>
      </w:r>
    </w:p>
    <w:p w:rsidR="00BF0D8F" w:rsidRDefault="00BF0D8F">
      <w:pPr>
        <w:numPr>
          <w:ilvl w:val="0"/>
          <w:numId w:val="5"/>
        </w:numPr>
        <w:jc w:val="both"/>
        <w:rPr>
          <w:rFonts w:ascii="Times New Roman" w:hAnsi="Times New Roman" w:cs="Times New Roman"/>
          <w:lang w:eastAsia="en-US"/>
        </w:rPr>
      </w:pPr>
      <w:r>
        <w:rPr>
          <w:rFonts w:ascii="Times New Roman" w:hAnsi="Times New Roman" w:cs="Times New Roman"/>
        </w:rPr>
        <w:t>Služby súvisiace s počítačovým spracovním údajov</w:t>
      </w:r>
    </w:p>
    <w:p w:rsidR="00BF0D8F" w:rsidRDefault="00BF0D8F">
      <w:pPr>
        <w:jc w:val="both"/>
        <w:rPr>
          <w:rFonts w:ascii="Times New Roman" w:hAnsi="Times New Roman" w:cs="Times New Roman"/>
          <w:lang w:eastAsia="en-US"/>
        </w:rPr>
      </w:pPr>
    </w:p>
    <w:p w:rsidR="00BF0D8F" w:rsidRDefault="00BF0D8F">
      <w:pPr>
        <w:pStyle w:val="BodyText"/>
        <w:rPr>
          <w:rFonts w:ascii="Times New Roman" w:hAnsi="Times New Roman" w:cs="Times New Roman"/>
          <w:sz w:val="22"/>
          <w:szCs w:val="22"/>
          <w:lang w:eastAsia="en-US"/>
        </w:rPr>
      </w:pPr>
    </w:p>
    <w:p w:rsidR="00BF0D8F" w:rsidRDefault="00BF0D8F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 xml:space="preserve">A. c 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i/>
          <w:iCs/>
        </w:rPr>
        <w:t>Právny dôvod zostavenia UJ</w:t>
      </w:r>
      <w:r>
        <w:rPr>
          <w:rFonts w:ascii="Times New Roman" w:hAnsi="Times New Roman" w:cs="Times New Roman"/>
          <w:b/>
          <w:bCs/>
        </w:rPr>
        <w:t>:</w:t>
      </w:r>
    </w:p>
    <w:p w:rsidR="00BF0D8F" w:rsidRDefault="00BF0D8F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Riadna ročná závierka k 31.12.2013 je zostavená ako riadna účtovná závierka podľa §17 ods.6 zákona č.431/2002 Z.z.o účtovníctve v znení neskorších predpisov</w:t>
      </w:r>
      <w:r>
        <w:rPr>
          <w:rFonts w:ascii="Times New Roman" w:hAnsi="Times New Roman" w:cs="Times New Roman"/>
          <w:color w:val="4B4B4B"/>
          <w:shd w:val="clear" w:color="auto" w:fill="E4E4E4"/>
        </w:rPr>
        <w:t> </w:t>
      </w:r>
      <w:r>
        <w:rPr>
          <w:rFonts w:ascii="Times New Roman" w:hAnsi="Times New Roman" w:cs="Times New Roman"/>
        </w:rPr>
        <w:t xml:space="preserve"> za predpokladu nepretržitého trvania   spoločnosti.</w:t>
      </w:r>
    </w:p>
    <w:p w:rsidR="00BF0D8F" w:rsidRDefault="00BF0D8F">
      <w:pPr>
        <w:pStyle w:val="Title"/>
        <w:spacing w:before="0" w:after="6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.</w:t>
      </w:r>
    </w:p>
    <w:p w:rsidR="00BF0D8F" w:rsidRDefault="00BF0D8F">
      <w:pPr>
        <w:pStyle w:val="Title"/>
        <w:spacing w:before="0" w:after="60"/>
        <w:jc w:val="left"/>
        <w:rPr>
          <w:rFonts w:ascii="Times New Roman" w:hAnsi="Times New Roman" w:cs="Times New Roman"/>
        </w:rPr>
      </w:pPr>
    </w:p>
    <w:p w:rsidR="00BF0D8F" w:rsidRDefault="00BF0D8F">
      <w:pPr>
        <w:pStyle w:val="Title"/>
        <w:spacing w:before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0"/>
        <w:gridCol w:w="2736"/>
        <w:gridCol w:w="2973"/>
      </w:tblGrid>
      <w:tr w:rsidR="00BF0D8F">
        <w:trPr>
          <w:jc w:val="center"/>
        </w:trPr>
        <w:tc>
          <w:tcPr>
            <w:tcW w:w="36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0D8F" w:rsidRDefault="00BF0D8F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0D8F" w:rsidRDefault="00BF0D8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F0D8F" w:rsidRDefault="00BF0D8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BF0D8F">
        <w:trPr>
          <w:jc w:val="center"/>
        </w:trPr>
        <w:tc>
          <w:tcPr>
            <w:tcW w:w="367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F0D8F" w:rsidRDefault="00BF0D8F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F0D8F" w:rsidRDefault="00BF0D8F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BF0D8F" w:rsidRDefault="00BF0D8F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  <w:tr w:rsidR="00BF0D8F">
        <w:trPr>
          <w:trHeight w:val="285"/>
          <w:jc w:val="center"/>
        </w:trPr>
        <w:tc>
          <w:tcPr>
            <w:tcW w:w="3674" w:type="dxa"/>
            <w:tcBorders>
              <w:right w:val="single" w:sz="12" w:space="0" w:color="auto"/>
            </w:tcBorders>
            <w:vAlign w:val="center"/>
          </w:tcPr>
          <w:p w:rsidR="00BF0D8F" w:rsidRDefault="00BF0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BF0D8F" w:rsidRDefault="00BF0D8F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BF0D8F" w:rsidRDefault="00BF0D8F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  <w:tr w:rsidR="00BF0D8F">
        <w:trPr>
          <w:trHeight w:val="285"/>
          <w:jc w:val="center"/>
        </w:trPr>
        <w:tc>
          <w:tcPr>
            <w:tcW w:w="367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F0D8F" w:rsidRDefault="00BF0D8F">
            <w:pPr>
              <w:rPr>
                <w:rFonts w:ascii="Times New Roman" w:hAnsi="Times New Roman" w:cs="Times New Roman"/>
                <w:highlight w:val="green"/>
              </w:rPr>
            </w:pPr>
            <w:r>
              <w:rPr>
                <w:rFonts w:ascii="Times New Roman" w:hAnsi="Times New Roman" w:cs="Times New Roman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F0D8F" w:rsidRDefault="00BF0D8F">
            <w:pPr>
              <w:spacing w:line="360" w:lineRule="auto"/>
              <w:jc w:val="center"/>
              <w:rPr>
                <w:rFonts w:ascii="Times New Roman" w:hAnsi="Times New Roman" w:cs="Times New Roman"/>
                <w:highlight w:val="green"/>
              </w:rPr>
            </w:pPr>
            <w:r>
              <w:rPr>
                <w:rFonts w:ascii="Times New Roman" w:hAnsi="Times New Roman" w:cs="Times New Roman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BF0D8F" w:rsidRDefault="00BF0D8F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:rsidR="00BF0D8F" w:rsidRDefault="00BF0D8F">
      <w:pPr>
        <w:pStyle w:val="Heading7"/>
        <w:numPr>
          <w:ilvl w:val="0"/>
          <w:numId w:val="0"/>
        </w:numPr>
        <w:rPr>
          <w:rFonts w:ascii="Avalon" w:hAnsi="Avalon" w:cs="Avalon"/>
          <w:b/>
          <w:bCs/>
          <w:sz w:val="24"/>
          <w:szCs w:val="24"/>
        </w:rPr>
      </w:pPr>
    </w:p>
    <w:p w:rsidR="00BF0D8F" w:rsidRDefault="00BF0D8F">
      <w:pPr>
        <w:pStyle w:val="Heading7"/>
        <w:ind w:left="284" w:hanging="284"/>
        <w:rPr>
          <w:rFonts w:ascii="Avalon" w:hAnsi="Avalon" w:cs="Avalon"/>
          <w:b/>
          <w:bCs/>
          <w:sz w:val="24"/>
          <w:szCs w:val="24"/>
        </w:rPr>
      </w:pPr>
      <w:r>
        <w:rPr>
          <w:rFonts w:ascii="Avalon CE" w:hAnsi="Avalon CE" w:cs="Avalon CE"/>
          <w:b/>
          <w:bCs/>
          <w:sz w:val="24"/>
          <w:szCs w:val="24"/>
        </w:rPr>
        <w:t>E.</w:t>
      </w:r>
      <w:r>
        <w:rPr>
          <w:rFonts w:ascii="Avalon CE" w:hAnsi="Avalon CE" w:cs="Avalon CE"/>
          <w:b/>
          <w:bCs/>
          <w:sz w:val="24"/>
          <w:szCs w:val="24"/>
        </w:rPr>
        <w:tab/>
        <w:t>Údaje o účtovných zásadách a účtovných metódach</w:t>
      </w:r>
    </w:p>
    <w:p w:rsidR="00BF0D8F" w:rsidRDefault="00BF0D8F">
      <w:pPr>
        <w:jc w:val="both"/>
        <w:rPr>
          <w:rFonts w:ascii="Times New Roman" w:hAnsi="Times New Roman" w:cs="Times New Roman"/>
          <w:b/>
          <w:bCs/>
        </w:rPr>
      </w:pPr>
    </w:p>
    <w:p w:rsidR="00BF0D8F" w:rsidRDefault="00BF0D8F">
      <w:pPr>
        <w:numPr>
          <w:ilvl w:val="0"/>
          <w:numId w:val="3"/>
        </w:numPr>
        <w:tabs>
          <w:tab w:val="clear" w:pos="360"/>
          <w:tab w:val="num" w:pos="284"/>
        </w:tabs>
        <w:suppressAutoHyphens w:val="0"/>
        <w:ind w:left="284" w:hanging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zostavila k 31.12.2013 riadnu účtovnú závierku a vstupuje do likvidácie spoločnosti.</w:t>
      </w:r>
    </w:p>
    <w:p w:rsidR="00BF0D8F" w:rsidRDefault="00BF0D8F">
      <w:pPr>
        <w:jc w:val="both"/>
        <w:rPr>
          <w:rFonts w:ascii="Times New Roman" w:hAnsi="Times New Roman" w:cs="Times New Roman"/>
          <w:b/>
          <w:bCs/>
        </w:rPr>
      </w:pPr>
    </w:p>
    <w:p w:rsidR="00BF0D8F" w:rsidRDefault="00BF0D8F">
      <w:pPr>
        <w:numPr>
          <w:ilvl w:val="0"/>
          <w:numId w:val="3"/>
        </w:numPr>
        <w:tabs>
          <w:tab w:val="clear" w:pos="360"/>
          <w:tab w:val="num" w:pos="284"/>
        </w:tabs>
        <w:suppressAutoHyphens w:val="0"/>
        <w:ind w:left="284" w:hanging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Údaje o zmenách účtovných zásad a zmenách účtovných metód, s uvedením dôvodu ich uplatnenia: v roku 2013 spoločnosť používala pri zostavovaní  účtovnej závierky nižšie opísané základné účtovné metódy. </w:t>
      </w:r>
    </w:p>
    <w:p w:rsidR="00BF0D8F" w:rsidRDefault="00BF0D8F">
      <w:pPr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:rsidR="00BF0D8F" w:rsidRDefault="00BF0D8F">
      <w:pPr>
        <w:pStyle w:val="BodyText"/>
        <w:numPr>
          <w:ilvl w:val="0"/>
          <w:numId w:val="3"/>
        </w:numPr>
        <w:tabs>
          <w:tab w:val="clear" w:pos="360"/>
          <w:tab w:val="num" w:pos="284"/>
        </w:tabs>
        <w:suppressAutoHyphens w:val="0"/>
        <w:ind w:left="284" w:hanging="28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ocenenia jednotlivých zložiek majetku a záväzkov v členení na:</w:t>
      </w:r>
    </w:p>
    <w:p w:rsidR="00BF0D8F" w:rsidRDefault="00BF0D8F">
      <w:pPr>
        <w:tabs>
          <w:tab w:val="num" w:pos="284"/>
        </w:tabs>
        <w:ind w:left="284" w:hanging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1/ dlhodobý nehmotný majetok obstaraný kúpou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</w:rPr>
        <w:t>nebol</w:t>
      </w:r>
    </w:p>
    <w:p w:rsidR="00BF0D8F" w:rsidRDefault="00BF0D8F">
      <w:pPr>
        <w:tabs>
          <w:tab w:val="num" w:pos="284"/>
        </w:tabs>
        <w:ind w:left="284" w:hanging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2/ dlhodobý nehmotný majetok obstaraný vl. činnosťou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</w:rPr>
        <w:t>nebol</w:t>
      </w:r>
      <w:r>
        <w:rPr>
          <w:rFonts w:ascii="Times New Roman" w:hAnsi="Times New Roman" w:cs="Times New Roman"/>
        </w:rPr>
        <w:t xml:space="preserve">  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    </w:t>
      </w:r>
    </w:p>
    <w:p w:rsidR="00BF0D8F" w:rsidRDefault="00BF0D8F">
      <w:pPr>
        <w:tabs>
          <w:tab w:val="num" w:pos="284"/>
        </w:tabs>
        <w:ind w:left="284" w:hanging="284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 xml:space="preserve">     3/ dlhodobý nehmotný majetok obstaraný iným spôsobom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</w:rPr>
        <w:t>nebol</w:t>
      </w:r>
    </w:p>
    <w:p w:rsidR="00BF0D8F" w:rsidRDefault="00BF0D8F">
      <w:pPr>
        <w:tabs>
          <w:tab w:val="num" w:pos="284"/>
        </w:tabs>
        <w:ind w:left="284" w:hanging="284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 xml:space="preserve">     4/ dlhodobý hmotný majetok obstaraný kúpou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</w:rPr>
        <w:t>obstarávacia cena</w:t>
      </w:r>
    </w:p>
    <w:p w:rsidR="00BF0D8F" w:rsidRDefault="00BF0D8F">
      <w:pPr>
        <w:tabs>
          <w:tab w:val="num" w:pos="284"/>
        </w:tabs>
        <w:ind w:left="284" w:hanging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5/ dlhodobý hmotný majetok obstaraný vl. činnosťou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</w:rPr>
        <w:t>nebol</w:t>
      </w:r>
    </w:p>
    <w:p w:rsidR="00BF0D8F" w:rsidRDefault="00BF0D8F">
      <w:pPr>
        <w:tabs>
          <w:tab w:val="num" w:pos="284"/>
        </w:tabs>
        <w:ind w:left="284" w:hanging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6/ dlhodobý hmotný majetok obstaraný iným spôsobom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</w:rPr>
        <w:t>nebol</w:t>
      </w:r>
    </w:p>
    <w:p w:rsidR="00BF0D8F" w:rsidRDefault="00BF0D8F">
      <w:pPr>
        <w:tabs>
          <w:tab w:val="num" w:pos="284"/>
        </w:tabs>
        <w:ind w:left="284" w:hanging="284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 xml:space="preserve">     7/ dlhodobý finančný majetok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</w:rPr>
        <w:t>nebol</w:t>
      </w:r>
    </w:p>
    <w:p w:rsidR="00BF0D8F" w:rsidRDefault="00BF0D8F">
      <w:pPr>
        <w:tabs>
          <w:tab w:val="num" w:pos="284"/>
        </w:tabs>
        <w:ind w:left="284" w:hanging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8/  zásoby obstarané kúpou                                                 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</w:rPr>
        <w:t>nominálna hodnota</w:t>
      </w:r>
    </w:p>
    <w:p w:rsidR="00BF0D8F" w:rsidRDefault="00BF0D8F">
      <w:pPr>
        <w:tabs>
          <w:tab w:val="num" w:pos="284"/>
        </w:tabs>
        <w:ind w:left="284" w:hanging="284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 xml:space="preserve">     9/ zásoby vytvorené vlastnou činnosťou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</w:rPr>
        <w:t>nemáme</w:t>
      </w:r>
    </w:p>
    <w:p w:rsidR="00BF0D8F" w:rsidRDefault="00BF0D8F">
      <w:pPr>
        <w:tabs>
          <w:tab w:val="num" w:pos="284"/>
        </w:tabs>
        <w:ind w:left="284" w:hanging="284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 xml:space="preserve">   10/ zásoby obstarané iným spôsobom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</w:rPr>
        <w:t>nemáme</w:t>
      </w:r>
    </w:p>
    <w:p w:rsidR="00BF0D8F" w:rsidRDefault="00BF0D8F">
      <w:pPr>
        <w:tabs>
          <w:tab w:val="num" w:pos="284"/>
        </w:tabs>
        <w:ind w:left="284" w:hanging="284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 xml:space="preserve">   11/ zákazková výroba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</w:rPr>
        <w:t>nebola</w:t>
      </w:r>
    </w:p>
    <w:p w:rsidR="00BF0D8F" w:rsidRDefault="00BF0D8F">
      <w:pPr>
        <w:tabs>
          <w:tab w:val="num" w:pos="284"/>
        </w:tabs>
        <w:ind w:left="284" w:hanging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12/ pohľadávky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</w:rPr>
        <w:t>nominálna hodnota</w:t>
      </w:r>
    </w:p>
    <w:p w:rsidR="00BF0D8F" w:rsidRDefault="00BF0D8F">
      <w:pPr>
        <w:tabs>
          <w:tab w:val="num" w:pos="284"/>
        </w:tabs>
        <w:ind w:left="284" w:hanging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13/ krátkodobý finančný majetok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</w:rPr>
        <w:t>nominálna hodnota</w:t>
      </w:r>
    </w:p>
    <w:p w:rsidR="00BF0D8F" w:rsidRDefault="00BF0D8F">
      <w:pPr>
        <w:tabs>
          <w:tab w:val="num" w:pos="284"/>
        </w:tabs>
        <w:ind w:left="284" w:hanging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14/ časové rozlíšenie na strane aktív súvahy 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</w:rPr>
        <w:t>zmluvné ceny</w:t>
      </w:r>
      <w:r>
        <w:rPr>
          <w:rFonts w:ascii="Times New Roman" w:hAnsi="Times New Roman" w:cs="Times New Roman"/>
        </w:rPr>
        <w:t xml:space="preserve">  </w:t>
      </w:r>
    </w:p>
    <w:p w:rsidR="00BF0D8F" w:rsidRDefault="00BF0D8F">
      <w:pPr>
        <w:tabs>
          <w:tab w:val="num" w:pos="284"/>
        </w:tabs>
        <w:ind w:left="284" w:hanging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15/ záväzky, vrátane  rezerv, dlhopisov, pôžičiek a úverov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</w:rPr>
        <w:t>nominálna hodnota</w:t>
      </w:r>
    </w:p>
    <w:p w:rsidR="00BF0D8F" w:rsidRDefault="00BF0D8F">
      <w:pPr>
        <w:tabs>
          <w:tab w:val="num" w:pos="284"/>
        </w:tabs>
        <w:ind w:left="284" w:hanging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16/ časové rozlíšenie na strane pasív súvahy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</w:rPr>
        <w:t>zmluvné ceny</w:t>
      </w:r>
    </w:p>
    <w:p w:rsidR="00BF0D8F" w:rsidRDefault="00BF0D8F">
      <w:pPr>
        <w:tabs>
          <w:tab w:val="num" w:pos="284"/>
        </w:tabs>
        <w:ind w:left="284" w:hanging="284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 xml:space="preserve">   17/ deriváty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</w:rPr>
        <w:t>nemáme</w:t>
      </w:r>
    </w:p>
    <w:p w:rsidR="00BF0D8F" w:rsidRDefault="00BF0D8F">
      <w:pPr>
        <w:tabs>
          <w:tab w:val="num" w:pos="284"/>
        </w:tabs>
        <w:ind w:left="284" w:hanging="284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 xml:space="preserve">   18/ majetok a záväzky zabezpečené derivátmi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</w:rPr>
        <w:t>nemáme</w:t>
      </w:r>
    </w:p>
    <w:p w:rsidR="00BF0D8F" w:rsidRDefault="00BF0D8F">
      <w:pPr>
        <w:tabs>
          <w:tab w:val="num" w:pos="284"/>
        </w:tabs>
        <w:ind w:left="284" w:hanging="284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 xml:space="preserve">   19/ prenajatý majetok a majetok obstaraný na základe zmluvy o kúpe prenajatej veci  </w:t>
      </w:r>
      <w:r>
        <w:rPr>
          <w:rFonts w:ascii="Times New Roman" w:hAnsi="Times New Roman" w:cs="Times New Roman"/>
          <w:b/>
          <w:bCs/>
        </w:rPr>
        <w:t>zmluvné ceny</w:t>
      </w:r>
    </w:p>
    <w:p w:rsidR="00BF0D8F" w:rsidRDefault="00BF0D8F">
      <w:pPr>
        <w:tabs>
          <w:tab w:val="num" w:pos="284"/>
        </w:tabs>
        <w:ind w:left="284" w:hanging="284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 xml:space="preserve">   20/ majetok obstaraný v privatizácii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</w:rPr>
        <w:t>nebol</w:t>
      </w:r>
    </w:p>
    <w:p w:rsidR="00BF0D8F" w:rsidRDefault="00BF0D8F">
      <w:pPr>
        <w:tabs>
          <w:tab w:val="num" w:pos="284"/>
        </w:tabs>
        <w:ind w:left="284" w:hanging="284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 xml:space="preserve">   21/ splatná daň z príjmov a odložená daň z príjmov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</w:rPr>
        <w:t>podľa zákona o daniach z príjmov</w:t>
      </w:r>
    </w:p>
    <w:p w:rsidR="00BF0D8F" w:rsidRDefault="00BF0D8F">
      <w:pPr>
        <w:tabs>
          <w:tab w:val="num" w:pos="284"/>
        </w:tabs>
        <w:ind w:left="284" w:hanging="284"/>
        <w:jc w:val="both"/>
        <w:rPr>
          <w:rFonts w:ascii="Times New Roman" w:hAnsi="Times New Roman" w:cs="Times New Roman"/>
        </w:rPr>
      </w:pPr>
    </w:p>
    <w:p w:rsidR="00BF0D8F" w:rsidRDefault="00BF0D8F">
      <w:pPr>
        <w:ind w:left="284" w:hanging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d)</w:t>
      </w:r>
      <w:r>
        <w:rPr>
          <w:rFonts w:ascii="Times New Roman" w:hAnsi="Times New Roman" w:cs="Times New Roman"/>
        </w:rPr>
        <w:tab/>
        <w:t xml:space="preserve">Tvorba odpisového plánu pre dlhodobý majetok s uvedením doby odpisovania, sadzby odpisov a odpisových metód pre účtovné odpisy: </w:t>
      </w:r>
    </w:p>
    <w:p w:rsidR="00BF0D8F" w:rsidRDefault="00BF0D8F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Spoločnosť eviduje dlhodobý hmotný majetok v obstarávacej cene, ktorý je zaradený do príslušnej   </w:t>
      </w:r>
    </w:p>
    <w:p w:rsidR="00BF0D8F" w:rsidRDefault="00BF0D8F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odpisovej skupiny podľa technicko-ekonomického určenia majetku, doby použiteľnosti, vstupnej ceny. </w:t>
      </w:r>
    </w:p>
    <w:p w:rsidR="00BF0D8F" w:rsidRDefault="00BF0D8F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Dlhodobý hmotný majetok sa odpisuje rovnomernou metódou odpisovania podľa platného zákona o dani z príjmu.  </w:t>
      </w:r>
    </w:p>
    <w:p w:rsidR="00BF0D8F" w:rsidRDefault="00BF0D8F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</w:t>
      </w:r>
    </w:p>
    <w:p w:rsidR="00BF0D8F" w:rsidRDefault="00BF0D8F">
      <w:pPr>
        <w:rPr>
          <w:rFonts w:ascii="Times New Roman" w:hAnsi="Times New Roman" w:cs="Times New Roman"/>
        </w:rPr>
      </w:pPr>
    </w:p>
    <w:p w:rsidR="00BF0D8F" w:rsidRDefault="00BF0D8F">
      <w:pPr>
        <w:pStyle w:val="Title"/>
        <w:spacing w:before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17. Informácie k časti F. písm. w)  prílohy č. 3 o krátkodobom finančnom majetku </w:t>
      </w:r>
    </w:p>
    <w:p w:rsidR="00BF0D8F" w:rsidRDefault="00BF0D8F">
      <w:pPr>
        <w:pStyle w:val="Title"/>
        <w:keepNext w:val="0"/>
        <w:spacing w:before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BF0D8F" w:rsidRDefault="00BF0D8F">
      <w:pPr>
        <w:pStyle w:val="Title"/>
        <w:keepNext w:val="0"/>
        <w:spacing w:before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 xml:space="preserve">Tabuľka č. 1 </w:t>
      </w:r>
    </w:p>
    <w:tbl>
      <w:tblPr>
        <w:tblW w:w="0" w:type="auto"/>
        <w:tblInd w:w="-106" w:type="dxa"/>
        <w:tblLayout w:type="fixed"/>
        <w:tblLook w:val="0000"/>
      </w:tblPr>
      <w:tblGrid>
        <w:gridCol w:w="4219"/>
        <w:gridCol w:w="2693"/>
        <w:gridCol w:w="2361"/>
      </w:tblGrid>
      <w:tr w:rsidR="00BF0D8F">
        <w:tc>
          <w:tcPr>
            <w:tcW w:w="4219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</w:tcPr>
          <w:p w:rsidR="00BF0D8F" w:rsidRDefault="00BF0D8F">
            <w:pPr>
              <w:pStyle w:val="TopHeader"/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693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</w:tcPr>
          <w:p w:rsidR="00BF0D8F" w:rsidRDefault="00BF0D8F">
            <w:pPr>
              <w:pStyle w:val="TopHeader"/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36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F0D8F" w:rsidRDefault="00BF0D8F">
            <w:pPr>
              <w:pStyle w:val="TopHeader"/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BF0D8F">
        <w:trPr>
          <w:trHeight w:val="340"/>
        </w:trPr>
        <w:tc>
          <w:tcPr>
            <w:tcW w:w="421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Pokladnica, ceniny</w:t>
            </w:r>
          </w:p>
        </w:tc>
        <w:tc>
          <w:tcPr>
            <w:tcW w:w="269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236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285</w:t>
            </w:r>
          </w:p>
        </w:tc>
      </w:tr>
      <w:tr w:rsidR="00BF0D8F">
        <w:trPr>
          <w:trHeight w:val="340"/>
        </w:trPr>
        <w:tc>
          <w:tcPr>
            <w:tcW w:w="42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Bežné bankové účty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477</w:t>
            </w:r>
          </w:p>
        </w:tc>
      </w:tr>
      <w:tr w:rsidR="00BF0D8F">
        <w:trPr>
          <w:trHeight w:val="340"/>
        </w:trPr>
        <w:tc>
          <w:tcPr>
            <w:tcW w:w="42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Bankové účty termínované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2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BF0D8F">
        <w:trPr>
          <w:trHeight w:val="340"/>
        </w:trPr>
        <w:tc>
          <w:tcPr>
            <w:tcW w:w="42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Peniaze na ceste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2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BF0D8F">
        <w:trPr>
          <w:trHeight w:val="340"/>
        </w:trPr>
        <w:tc>
          <w:tcPr>
            <w:tcW w:w="421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</w:t>
            </w:r>
          </w:p>
        </w:tc>
        <w:tc>
          <w:tcPr>
            <w:tcW w:w="236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762</w:t>
            </w:r>
          </w:p>
        </w:tc>
      </w:tr>
    </w:tbl>
    <w:p w:rsidR="00BF0D8F" w:rsidRDefault="00BF0D8F">
      <w:pPr>
        <w:pStyle w:val="Title"/>
        <w:keepNext w:val="0"/>
        <w:widowControl w:val="0"/>
        <w:spacing w:before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BF0D8F" w:rsidRDefault="00BF0D8F">
      <w:pPr>
        <w:pStyle w:val="Title"/>
        <w:keepNext w:val="0"/>
        <w:widowControl w:val="0"/>
        <w:spacing w:before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BF0D8F" w:rsidRDefault="00BF0D8F"/>
    <w:p w:rsidR="00BF0D8F" w:rsidRDefault="00BF0D8F">
      <w:pPr>
        <w:pStyle w:val="Title"/>
        <w:spacing w:before="0" w:after="60"/>
        <w:jc w:val="both"/>
      </w:pPr>
      <w:r>
        <w:t xml:space="preserve">22. Informácie k časti G. písm. a) tretiemu bodu prílohy č. 3 o rozdelení účtovného zisku alebo o vysporiadaní účtovnej straty </w:t>
      </w:r>
    </w:p>
    <w:p w:rsidR="00BF0D8F" w:rsidRDefault="00BF0D8F">
      <w: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6912"/>
        <w:gridCol w:w="2361"/>
      </w:tblGrid>
      <w:tr w:rsidR="00BF0D8F">
        <w:trPr>
          <w:trHeight w:val="765"/>
          <w:jc w:val="center"/>
        </w:trPr>
        <w:tc>
          <w:tcPr>
            <w:tcW w:w="69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0D8F" w:rsidRDefault="00BF0D8F">
            <w:pPr>
              <w:pStyle w:val="TopHeader"/>
              <w:snapToGrid w:val="0"/>
            </w:pPr>
            <w:r>
              <w:t>Názov položky</w:t>
            </w:r>
          </w:p>
        </w:tc>
        <w:tc>
          <w:tcPr>
            <w:tcW w:w="2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pStyle w:val="TopHeader"/>
              <w:snapToGrid w:val="0"/>
            </w:pPr>
            <w:r>
              <w:t>Bezprostredne predchádzajúce účtovné obdobie</w:t>
            </w:r>
          </w:p>
        </w:tc>
      </w:tr>
      <w:tr w:rsidR="00BF0D8F">
        <w:trPr>
          <w:trHeight w:val="330"/>
          <w:jc w:val="center"/>
        </w:trPr>
        <w:tc>
          <w:tcPr>
            <w:tcW w:w="69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 xml:space="preserve">Účtovný zisk </w:t>
            </w:r>
          </w:p>
        </w:tc>
        <w:tc>
          <w:tcPr>
            <w:tcW w:w="2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jc w:val="center"/>
            </w:pPr>
          </w:p>
        </w:tc>
      </w:tr>
      <w:tr w:rsidR="00BF0D8F">
        <w:trPr>
          <w:trHeight w:val="330"/>
          <w:jc w:val="center"/>
        </w:trPr>
        <w:tc>
          <w:tcPr>
            <w:tcW w:w="69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Rozdelenie účtovného zisku</w:t>
            </w:r>
          </w:p>
        </w:tc>
        <w:tc>
          <w:tcPr>
            <w:tcW w:w="2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BF0D8F">
        <w:trPr>
          <w:trHeight w:val="330"/>
          <w:jc w:val="center"/>
        </w:trPr>
        <w:tc>
          <w:tcPr>
            <w:tcW w:w="691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Prídel do zákonného rezervného fondu</w:t>
            </w:r>
          </w:p>
        </w:tc>
        <w:tc>
          <w:tcPr>
            <w:tcW w:w="236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jc w:val="center"/>
            </w:pPr>
          </w:p>
        </w:tc>
      </w:tr>
      <w:tr w:rsidR="00BF0D8F">
        <w:trPr>
          <w:trHeight w:val="330"/>
          <w:jc w:val="center"/>
        </w:trPr>
        <w:tc>
          <w:tcPr>
            <w:tcW w:w="69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Prídel do štatutárnych a ostatných fondov</w:t>
            </w:r>
          </w:p>
        </w:tc>
        <w:tc>
          <w:tcPr>
            <w:tcW w:w="2361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jc w:val="center"/>
            </w:pPr>
          </w:p>
        </w:tc>
      </w:tr>
      <w:tr w:rsidR="00BF0D8F">
        <w:trPr>
          <w:trHeight w:val="330"/>
          <w:jc w:val="center"/>
        </w:trPr>
        <w:tc>
          <w:tcPr>
            <w:tcW w:w="69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Prídel do sociálneho fondu</w:t>
            </w:r>
          </w:p>
        </w:tc>
        <w:tc>
          <w:tcPr>
            <w:tcW w:w="2361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jc w:val="center"/>
            </w:pPr>
          </w:p>
        </w:tc>
      </w:tr>
      <w:tr w:rsidR="00BF0D8F">
        <w:trPr>
          <w:trHeight w:val="330"/>
          <w:jc w:val="center"/>
        </w:trPr>
        <w:tc>
          <w:tcPr>
            <w:tcW w:w="69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Prídel na zvýšenie základného imania</w:t>
            </w: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jc w:val="center"/>
            </w:pPr>
          </w:p>
        </w:tc>
      </w:tr>
      <w:tr w:rsidR="00BF0D8F">
        <w:trPr>
          <w:trHeight w:val="330"/>
          <w:jc w:val="center"/>
        </w:trPr>
        <w:tc>
          <w:tcPr>
            <w:tcW w:w="69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Úhrada straty minulých období</w:t>
            </w:r>
          </w:p>
        </w:tc>
        <w:tc>
          <w:tcPr>
            <w:tcW w:w="2361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jc w:val="center"/>
            </w:pPr>
          </w:p>
        </w:tc>
      </w:tr>
      <w:tr w:rsidR="00BF0D8F">
        <w:trPr>
          <w:trHeight w:val="330"/>
          <w:jc w:val="center"/>
        </w:trPr>
        <w:tc>
          <w:tcPr>
            <w:tcW w:w="69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Prevod do nerozdeleného zisku minulých rokov</w:t>
            </w: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jc w:val="center"/>
            </w:pPr>
          </w:p>
        </w:tc>
      </w:tr>
      <w:tr w:rsidR="00BF0D8F">
        <w:trPr>
          <w:trHeight w:val="330"/>
          <w:jc w:val="center"/>
        </w:trPr>
        <w:tc>
          <w:tcPr>
            <w:tcW w:w="69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Rozdelenie podielu na zisku spoločníkom, členom</w:t>
            </w: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jc w:val="center"/>
            </w:pPr>
          </w:p>
        </w:tc>
      </w:tr>
      <w:tr w:rsidR="00BF0D8F">
        <w:trPr>
          <w:trHeight w:val="330"/>
          <w:jc w:val="center"/>
        </w:trPr>
        <w:tc>
          <w:tcPr>
            <w:tcW w:w="69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 xml:space="preserve">Iné </w:t>
            </w:r>
          </w:p>
        </w:tc>
        <w:tc>
          <w:tcPr>
            <w:tcW w:w="2361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jc w:val="center"/>
            </w:pPr>
          </w:p>
        </w:tc>
      </w:tr>
      <w:tr w:rsidR="00BF0D8F">
        <w:trPr>
          <w:trHeight w:val="330"/>
          <w:jc w:val="center"/>
        </w:trPr>
        <w:tc>
          <w:tcPr>
            <w:tcW w:w="691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jc w:val="center"/>
            </w:pPr>
          </w:p>
        </w:tc>
      </w:tr>
    </w:tbl>
    <w:p w:rsidR="00BF0D8F" w:rsidRDefault="00BF0D8F"/>
    <w:p w:rsidR="00BF0D8F" w:rsidRDefault="00BF0D8F"/>
    <w:p w:rsidR="00BF0D8F" w:rsidRDefault="00BF0D8F"/>
    <w:p w:rsidR="00BF0D8F" w:rsidRDefault="00BF0D8F">
      <w: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6912"/>
        <w:gridCol w:w="2361"/>
      </w:tblGrid>
      <w:tr w:rsidR="00BF0D8F">
        <w:trPr>
          <w:trHeight w:val="330"/>
          <w:jc w:val="center"/>
        </w:trPr>
        <w:tc>
          <w:tcPr>
            <w:tcW w:w="69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2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BF0D8F">
        <w:trPr>
          <w:trHeight w:val="330"/>
          <w:jc w:val="center"/>
        </w:trPr>
        <w:tc>
          <w:tcPr>
            <w:tcW w:w="691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jc w:val="center"/>
            </w:pPr>
            <w:r>
              <w:t>18443</w:t>
            </w:r>
          </w:p>
        </w:tc>
      </w:tr>
      <w:tr w:rsidR="00BF0D8F">
        <w:trPr>
          <w:trHeight w:val="330"/>
          <w:jc w:val="center"/>
        </w:trPr>
        <w:tc>
          <w:tcPr>
            <w:tcW w:w="69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Vysporiadanie účtovnej straty</w:t>
            </w:r>
          </w:p>
        </w:tc>
        <w:tc>
          <w:tcPr>
            <w:tcW w:w="2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BF0D8F">
        <w:trPr>
          <w:trHeight w:val="330"/>
          <w:jc w:val="center"/>
        </w:trPr>
        <w:tc>
          <w:tcPr>
            <w:tcW w:w="691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Zo zákonného rezervného fondu</w:t>
            </w:r>
          </w:p>
        </w:tc>
        <w:tc>
          <w:tcPr>
            <w:tcW w:w="236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jc w:val="center"/>
            </w:pPr>
          </w:p>
        </w:tc>
      </w:tr>
      <w:tr w:rsidR="00BF0D8F">
        <w:trPr>
          <w:trHeight w:val="330"/>
          <w:jc w:val="center"/>
        </w:trPr>
        <w:tc>
          <w:tcPr>
            <w:tcW w:w="69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Zo štatutárnych a ostatných fondov</w:t>
            </w: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jc w:val="center"/>
            </w:pPr>
          </w:p>
        </w:tc>
      </w:tr>
      <w:tr w:rsidR="00BF0D8F">
        <w:trPr>
          <w:trHeight w:val="330"/>
          <w:jc w:val="center"/>
        </w:trPr>
        <w:tc>
          <w:tcPr>
            <w:tcW w:w="69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Z nerozdeleného zisku minulých rokov</w:t>
            </w:r>
          </w:p>
        </w:tc>
        <w:tc>
          <w:tcPr>
            <w:tcW w:w="2361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jc w:val="center"/>
            </w:pPr>
          </w:p>
        </w:tc>
      </w:tr>
      <w:tr w:rsidR="00BF0D8F">
        <w:trPr>
          <w:trHeight w:val="330"/>
          <w:jc w:val="center"/>
        </w:trPr>
        <w:tc>
          <w:tcPr>
            <w:tcW w:w="69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Úhrada straty spoločníkmi</w:t>
            </w: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jc w:val="center"/>
            </w:pPr>
          </w:p>
        </w:tc>
      </w:tr>
      <w:tr w:rsidR="00BF0D8F">
        <w:trPr>
          <w:trHeight w:val="330"/>
          <w:jc w:val="center"/>
        </w:trPr>
        <w:tc>
          <w:tcPr>
            <w:tcW w:w="69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Prevod do neuhradenej straty minulých rokov</w:t>
            </w:r>
          </w:p>
        </w:tc>
        <w:tc>
          <w:tcPr>
            <w:tcW w:w="2361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jc w:val="center"/>
            </w:pPr>
            <w:r>
              <w:t>18443</w:t>
            </w:r>
          </w:p>
        </w:tc>
      </w:tr>
      <w:tr w:rsidR="00BF0D8F">
        <w:trPr>
          <w:trHeight w:val="330"/>
          <w:jc w:val="center"/>
        </w:trPr>
        <w:tc>
          <w:tcPr>
            <w:tcW w:w="69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 xml:space="preserve">Iné </w:t>
            </w: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jc w:val="center"/>
            </w:pPr>
          </w:p>
        </w:tc>
      </w:tr>
      <w:tr w:rsidR="00BF0D8F">
        <w:trPr>
          <w:trHeight w:val="345"/>
          <w:jc w:val="center"/>
        </w:trPr>
        <w:tc>
          <w:tcPr>
            <w:tcW w:w="691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 xml:space="preserve">Spolu </w:t>
            </w:r>
          </w:p>
        </w:tc>
        <w:tc>
          <w:tcPr>
            <w:tcW w:w="23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jc w:val="center"/>
            </w:pPr>
            <w:r>
              <w:t>18443</w:t>
            </w:r>
          </w:p>
        </w:tc>
      </w:tr>
    </w:tbl>
    <w:p w:rsidR="00BF0D8F" w:rsidRDefault="00BF0D8F">
      <w:pPr>
        <w:pStyle w:val="Title"/>
        <w:spacing w:before="0" w:after="0"/>
        <w:jc w:val="left"/>
        <w:rPr>
          <w:rFonts w:ascii="Times New Roman" w:hAnsi="Times New Roman" w:cs="Times New Roman"/>
        </w:rPr>
      </w:pPr>
    </w:p>
    <w:p w:rsidR="00BF0D8F" w:rsidRDefault="00BF0D8F"/>
    <w:p w:rsidR="00BF0D8F" w:rsidRDefault="00BF0D8F">
      <w:pPr>
        <w:pStyle w:val="Title"/>
        <w:spacing w:before="0" w:after="60"/>
        <w:jc w:val="left"/>
      </w:pPr>
      <w:r>
        <w:t>24. Informácie k časti G. písm. c) a d) prílohy č. 3 o záväzkoch</w:t>
      </w:r>
    </w:p>
    <w:tbl>
      <w:tblPr>
        <w:tblW w:w="0" w:type="auto"/>
        <w:tblInd w:w="-106" w:type="dxa"/>
        <w:tblLayout w:type="fixed"/>
        <w:tblLook w:val="0000"/>
      </w:tblPr>
      <w:tblGrid>
        <w:gridCol w:w="3738"/>
        <w:gridCol w:w="2908"/>
        <w:gridCol w:w="2627"/>
      </w:tblGrid>
      <w:tr w:rsidR="00BF0D8F">
        <w:trPr>
          <w:trHeight w:val="920"/>
        </w:trPr>
        <w:tc>
          <w:tcPr>
            <w:tcW w:w="37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0D8F" w:rsidRDefault="00BF0D8F">
            <w:pPr>
              <w:pStyle w:val="TopHeader"/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9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0D8F" w:rsidRDefault="00BF0D8F">
            <w:pPr>
              <w:pStyle w:val="TopHeader"/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6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pStyle w:val="TopHeader"/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BF0D8F">
        <w:trPr>
          <w:trHeight w:val="330"/>
        </w:trPr>
        <w:tc>
          <w:tcPr>
            <w:tcW w:w="373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po lehote splatnosti</w:t>
            </w:r>
          </w:p>
        </w:tc>
        <w:tc>
          <w:tcPr>
            <w:tcW w:w="290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262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pStyle w:val="TopHeader"/>
              <w:snapToGrid w:val="0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2187</w:t>
            </w:r>
          </w:p>
        </w:tc>
      </w:tr>
      <w:tr w:rsidR="00BF0D8F">
        <w:trPr>
          <w:trHeight w:val="690"/>
        </w:trPr>
        <w:tc>
          <w:tcPr>
            <w:tcW w:w="37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so zostatkovou dobou splatnosti do jedného roka vrátane</w:t>
            </w:r>
          </w:p>
        </w:tc>
        <w:tc>
          <w:tcPr>
            <w:tcW w:w="2908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2034</w:t>
            </w:r>
          </w:p>
        </w:tc>
        <w:tc>
          <w:tcPr>
            <w:tcW w:w="2627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500</w:t>
            </w:r>
          </w:p>
        </w:tc>
      </w:tr>
      <w:tr w:rsidR="00BF0D8F">
        <w:trPr>
          <w:trHeight w:val="330"/>
        </w:trPr>
        <w:tc>
          <w:tcPr>
            <w:tcW w:w="37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Krátkodobé záväzky spolu</w:t>
            </w:r>
          </w:p>
        </w:tc>
        <w:tc>
          <w:tcPr>
            <w:tcW w:w="2908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pStyle w:val="TopHeader"/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2034</w:t>
            </w:r>
          </w:p>
        </w:tc>
        <w:tc>
          <w:tcPr>
            <w:tcW w:w="2627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pStyle w:val="TopHeader"/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2687</w:t>
            </w:r>
          </w:p>
        </w:tc>
      </w:tr>
      <w:tr w:rsidR="00BF0D8F">
        <w:trPr>
          <w:trHeight w:val="660"/>
        </w:trPr>
        <w:tc>
          <w:tcPr>
            <w:tcW w:w="37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so zostatkovou dobou splatnosti jeden rok až päť rokov</w:t>
            </w:r>
          </w:p>
        </w:tc>
        <w:tc>
          <w:tcPr>
            <w:tcW w:w="2908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627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BF0D8F">
        <w:trPr>
          <w:trHeight w:val="660"/>
        </w:trPr>
        <w:tc>
          <w:tcPr>
            <w:tcW w:w="37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so zostatkovou dobou splatnosti nad päť rokov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8" w:space="0" w:color="000000"/>
              <w:bottom w:val="nil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627" w:type="dxa"/>
            <w:tcBorders>
              <w:top w:val="single" w:sz="4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BF0D8F">
        <w:trPr>
          <w:trHeight w:val="345"/>
        </w:trPr>
        <w:tc>
          <w:tcPr>
            <w:tcW w:w="373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Dlhodobé záväzky spolu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62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</w:tbl>
    <w:p w:rsidR="00BF0D8F" w:rsidRDefault="00BF0D8F">
      <w:pPr>
        <w:rPr>
          <w:rFonts w:ascii="Times New Roman" w:hAnsi="Times New Roman" w:cs="Times New Roman"/>
        </w:rPr>
      </w:pPr>
    </w:p>
    <w:p w:rsidR="00BF0D8F" w:rsidRDefault="00BF0D8F">
      <w:pPr>
        <w:rPr>
          <w:rFonts w:ascii="Times New Roman" w:hAnsi="Times New Roman" w:cs="Times New Roman"/>
        </w:rPr>
      </w:pPr>
    </w:p>
    <w:p w:rsidR="00BF0D8F" w:rsidRDefault="00BF0D8F">
      <w:pPr>
        <w:pStyle w:val="Title"/>
        <w:keepNext w:val="0"/>
        <w:widowControl w:val="0"/>
        <w:spacing w:before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Informácie k časti H. písm. a) prílohy č. 3 o tržbách</w:t>
      </w:r>
    </w:p>
    <w:p w:rsidR="00BF0D8F" w:rsidRDefault="00BF0D8F"/>
    <w:tbl>
      <w:tblPr>
        <w:tblW w:w="0" w:type="auto"/>
        <w:tblInd w:w="-106" w:type="dxa"/>
        <w:tblLayout w:type="fixed"/>
        <w:tblLook w:val="0000"/>
      </w:tblPr>
      <w:tblGrid>
        <w:gridCol w:w="1456"/>
        <w:gridCol w:w="983"/>
        <w:gridCol w:w="1632"/>
        <w:gridCol w:w="983"/>
        <w:gridCol w:w="1632"/>
        <w:gridCol w:w="983"/>
        <w:gridCol w:w="1662"/>
      </w:tblGrid>
      <w:tr w:rsidR="00BF0D8F">
        <w:trPr>
          <w:cantSplit/>
          <w:trHeight w:val="330"/>
        </w:trPr>
        <w:tc>
          <w:tcPr>
            <w:tcW w:w="145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0D8F" w:rsidRDefault="00BF0D8F">
            <w:pPr>
              <w:pStyle w:val="TopHeader"/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0D8F" w:rsidRDefault="00BF0D8F">
            <w:pPr>
              <w:pStyle w:val="TopHeader"/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0D8F" w:rsidRDefault="00BF0D8F">
            <w:pPr>
              <w:pStyle w:val="TopHeader"/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Typ výrobkov, tovarov, služieb  (napríklad B)</w:t>
            </w:r>
          </w:p>
        </w:tc>
        <w:tc>
          <w:tcPr>
            <w:tcW w:w="26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pStyle w:val="TopHeader"/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Typ výrobkov, tovarov, služieb  (napríklad C)</w:t>
            </w:r>
          </w:p>
        </w:tc>
      </w:tr>
      <w:tr w:rsidR="00BF0D8F">
        <w:trPr>
          <w:cantSplit/>
          <w:trHeight w:val="1005"/>
        </w:trPr>
        <w:tc>
          <w:tcPr>
            <w:tcW w:w="1456" w:type="dxa"/>
            <w:vMerge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</w:tcPr>
          <w:p w:rsidR="00BF0D8F" w:rsidRDefault="00BF0D8F">
            <w:pPr>
              <w:pStyle w:val="TopHeader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</w:tcPr>
          <w:p w:rsidR="00BF0D8F" w:rsidRDefault="00BF0D8F">
            <w:pPr>
              <w:pStyle w:val="TopHeader"/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632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</w:tcPr>
          <w:p w:rsidR="00BF0D8F" w:rsidRDefault="00BF0D8F">
            <w:pPr>
              <w:pStyle w:val="TopHeader"/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</w:tcPr>
          <w:p w:rsidR="00BF0D8F" w:rsidRDefault="00BF0D8F">
            <w:pPr>
              <w:pStyle w:val="TopHeader"/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632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</w:tcPr>
          <w:p w:rsidR="00BF0D8F" w:rsidRDefault="00BF0D8F">
            <w:pPr>
              <w:pStyle w:val="TopHeader"/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</w:tcPr>
          <w:p w:rsidR="00BF0D8F" w:rsidRDefault="00BF0D8F">
            <w:pPr>
              <w:pStyle w:val="TopHeader"/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66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F0D8F" w:rsidRDefault="00BF0D8F">
            <w:pPr>
              <w:pStyle w:val="TopHeader"/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BF0D8F">
        <w:trPr>
          <w:trHeight w:val="116"/>
        </w:trPr>
        <w:tc>
          <w:tcPr>
            <w:tcW w:w="145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98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632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98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632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98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166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</w:t>
            </w:r>
          </w:p>
        </w:tc>
      </w:tr>
      <w:tr w:rsidR="00BF0D8F">
        <w:trPr>
          <w:trHeight w:val="330"/>
        </w:trPr>
        <w:tc>
          <w:tcPr>
            <w:tcW w:w="145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Slovensko</w:t>
            </w:r>
          </w:p>
        </w:tc>
        <w:tc>
          <w:tcPr>
            <w:tcW w:w="98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17734</w:t>
            </w:r>
          </w:p>
        </w:tc>
        <w:tc>
          <w:tcPr>
            <w:tcW w:w="163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9305</w:t>
            </w:r>
          </w:p>
        </w:tc>
        <w:tc>
          <w:tcPr>
            <w:tcW w:w="98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2542</w:t>
            </w:r>
          </w:p>
        </w:tc>
        <w:tc>
          <w:tcPr>
            <w:tcW w:w="163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2967</w:t>
            </w:r>
          </w:p>
        </w:tc>
        <w:tc>
          <w:tcPr>
            <w:tcW w:w="98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6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BF0D8F">
        <w:trPr>
          <w:trHeight w:val="330"/>
        </w:trPr>
        <w:tc>
          <w:tcPr>
            <w:tcW w:w="14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BF0D8F">
        <w:trPr>
          <w:trHeight w:val="330"/>
        </w:trPr>
        <w:tc>
          <w:tcPr>
            <w:tcW w:w="14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BF0D8F">
        <w:trPr>
          <w:trHeight w:val="330"/>
        </w:trPr>
        <w:tc>
          <w:tcPr>
            <w:tcW w:w="14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BF0D8F">
        <w:trPr>
          <w:trHeight w:val="345"/>
        </w:trPr>
        <w:tc>
          <w:tcPr>
            <w:tcW w:w="145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0D8F" w:rsidRDefault="00BF0D8F">
            <w:pPr>
              <w:pStyle w:val="Index"/>
              <w:suppressLineNumbers w:val="0"/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17734</w:t>
            </w:r>
          </w:p>
        </w:tc>
        <w:tc>
          <w:tcPr>
            <w:tcW w:w="163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9305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2542</w:t>
            </w:r>
          </w:p>
        </w:tc>
        <w:tc>
          <w:tcPr>
            <w:tcW w:w="163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2967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</w:tbl>
    <w:p w:rsidR="00BF0D8F" w:rsidRDefault="00BF0D8F">
      <w:pPr>
        <w:pStyle w:val="Title"/>
        <w:spacing w:before="0" w:after="60"/>
        <w:jc w:val="left"/>
      </w:pPr>
      <w:r>
        <w:t>33. Informácie k časti H. písm. g)  prílohy č. 3 o čistom obrate</w:t>
      </w:r>
    </w:p>
    <w:tbl>
      <w:tblPr>
        <w:tblW w:w="0" w:type="auto"/>
        <w:tblInd w:w="-106" w:type="dxa"/>
        <w:tblLayout w:type="fixed"/>
        <w:tblLook w:val="0000"/>
      </w:tblPr>
      <w:tblGrid>
        <w:gridCol w:w="5841"/>
        <w:gridCol w:w="1701"/>
        <w:gridCol w:w="1731"/>
      </w:tblGrid>
      <w:tr w:rsidR="00BF0D8F">
        <w:trPr>
          <w:trHeight w:val="1005"/>
        </w:trPr>
        <w:tc>
          <w:tcPr>
            <w:tcW w:w="58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0D8F" w:rsidRDefault="00BF0D8F">
            <w:pPr>
              <w:pStyle w:val="TopHeader"/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0D8F" w:rsidRDefault="00BF0D8F">
            <w:pPr>
              <w:pStyle w:val="TopHeader"/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pStyle w:val="TopHeader"/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BF0D8F">
        <w:trPr>
          <w:trHeight w:val="330"/>
        </w:trPr>
        <w:tc>
          <w:tcPr>
            <w:tcW w:w="584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3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BF0D8F">
        <w:trPr>
          <w:trHeight w:val="330"/>
        </w:trPr>
        <w:tc>
          <w:tcPr>
            <w:tcW w:w="584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2542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2967</w:t>
            </w:r>
          </w:p>
        </w:tc>
      </w:tr>
      <w:tr w:rsidR="00BF0D8F">
        <w:trPr>
          <w:trHeight w:val="330"/>
        </w:trPr>
        <w:tc>
          <w:tcPr>
            <w:tcW w:w="584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17734</w:t>
            </w:r>
          </w:p>
        </w:tc>
        <w:tc>
          <w:tcPr>
            <w:tcW w:w="1731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9305</w:t>
            </w:r>
          </w:p>
        </w:tc>
      </w:tr>
      <w:tr w:rsidR="00BF0D8F">
        <w:trPr>
          <w:trHeight w:val="330"/>
        </w:trPr>
        <w:tc>
          <w:tcPr>
            <w:tcW w:w="584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31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BF0D8F">
        <w:trPr>
          <w:trHeight w:val="330"/>
        </w:trPr>
        <w:tc>
          <w:tcPr>
            <w:tcW w:w="584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31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BF0D8F">
        <w:trPr>
          <w:trHeight w:val="330"/>
        </w:trPr>
        <w:tc>
          <w:tcPr>
            <w:tcW w:w="584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506</w:t>
            </w:r>
          </w:p>
        </w:tc>
        <w:tc>
          <w:tcPr>
            <w:tcW w:w="1731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132</w:t>
            </w:r>
          </w:p>
        </w:tc>
      </w:tr>
      <w:tr w:rsidR="00BF0D8F">
        <w:trPr>
          <w:trHeight w:val="345"/>
        </w:trPr>
        <w:tc>
          <w:tcPr>
            <w:tcW w:w="584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20782</w:t>
            </w:r>
          </w:p>
        </w:tc>
        <w:tc>
          <w:tcPr>
            <w:tcW w:w="173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12404</w:t>
            </w:r>
          </w:p>
        </w:tc>
      </w:tr>
    </w:tbl>
    <w:p w:rsidR="00BF0D8F" w:rsidRDefault="00BF0D8F">
      <w:pPr>
        <w:pStyle w:val="Title"/>
        <w:spacing w:before="0" w:after="0"/>
        <w:jc w:val="left"/>
        <w:rPr>
          <w:rFonts w:ascii="Times New Roman" w:hAnsi="Times New Roman" w:cs="Times New Roman"/>
        </w:rPr>
      </w:pPr>
    </w:p>
    <w:p w:rsidR="00BF0D8F" w:rsidRDefault="00BF0D8F">
      <w:pPr>
        <w:pStyle w:val="Title"/>
        <w:spacing w:before="0" w:after="60"/>
        <w:jc w:val="left"/>
        <w:rPr>
          <w:rFonts w:ascii="Times New Roman" w:hAnsi="Times New Roman" w:cs="Times New Roman"/>
        </w:rPr>
      </w:pPr>
    </w:p>
    <w:p w:rsidR="00BF0D8F" w:rsidRDefault="00BF0D8F">
      <w:pPr>
        <w:pStyle w:val="Title"/>
        <w:spacing w:before="0" w:after="60"/>
        <w:jc w:val="left"/>
      </w:pPr>
      <w:r>
        <w:t xml:space="preserve"> Informácie k časti I. prílohy č. 3 o nákladoch</w:t>
      </w:r>
    </w:p>
    <w:tbl>
      <w:tblPr>
        <w:tblW w:w="9273" w:type="dxa"/>
        <w:tblInd w:w="-106" w:type="dxa"/>
        <w:tblLayout w:type="fixed"/>
        <w:tblLook w:val="0000"/>
      </w:tblPr>
      <w:tblGrid>
        <w:gridCol w:w="5861"/>
        <w:gridCol w:w="1703"/>
        <w:gridCol w:w="1709"/>
      </w:tblGrid>
      <w:tr w:rsidR="00BF0D8F">
        <w:trPr>
          <w:trHeight w:val="1005"/>
        </w:trPr>
        <w:tc>
          <w:tcPr>
            <w:tcW w:w="58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0D8F" w:rsidRDefault="00BF0D8F">
            <w:pPr>
              <w:pStyle w:val="TopHeader"/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7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0D8F" w:rsidRDefault="00BF0D8F">
            <w:pPr>
              <w:pStyle w:val="TopHeader"/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pStyle w:val="TopHeader"/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BF0D8F">
        <w:trPr>
          <w:trHeight w:val="377"/>
        </w:trPr>
        <w:tc>
          <w:tcPr>
            <w:tcW w:w="5861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Náklady za poskytnuté služby, z toho:</w:t>
            </w:r>
          </w:p>
        </w:tc>
        <w:tc>
          <w:tcPr>
            <w:tcW w:w="170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2895</w:t>
            </w:r>
          </w:p>
        </w:tc>
        <w:tc>
          <w:tcPr>
            <w:tcW w:w="1709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3946</w:t>
            </w:r>
          </w:p>
        </w:tc>
      </w:tr>
      <w:tr w:rsidR="00BF0D8F">
        <w:trPr>
          <w:trHeight w:val="377"/>
        </w:trPr>
        <w:tc>
          <w:tcPr>
            <w:tcW w:w="5861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Náklady voči audítorovi, audítorskej spoločnosti, z toho:</w:t>
            </w:r>
          </w:p>
        </w:tc>
        <w:tc>
          <w:tcPr>
            <w:tcW w:w="170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709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0D8F">
        <w:trPr>
          <w:trHeight w:val="330"/>
        </w:trPr>
        <w:tc>
          <w:tcPr>
            <w:tcW w:w="5861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náklady za overenie individuálnej účtovnej závierky</w:t>
            </w:r>
          </w:p>
        </w:tc>
        <w:tc>
          <w:tcPr>
            <w:tcW w:w="170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09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BF0D8F">
        <w:trPr>
          <w:trHeight w:val="330"/>
        </w:trPr>
        <w:tc>
          <w:tcPr>
            <w:tcW w:w="58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 uisťovacie audítorské služby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BF0D8F">
        <w:trPr>
          <w:trHeight w:val="330"/>
        </w:trPr>
        <w:tc>
          <w:tcPr>
            <w:tcW w:w="5861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súvisiace audítorské služby</w:t>
            </w:r>
          </w:p>
        </w:tc>
        <w:tc>
          <w:tcPr>
            <w:tcW w:w="170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09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BF0D8F">
        <w:trPr>
          <w:trHeight w:val="330"/>
        </w:trPr>
        <w:tc>
          <w:tcPr>
            <w:tcW w:w="5861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daňové poradenstvo</w:t>
            </w:r>
          </w:p>
        </w:tc>
        <w:tc>
          <w:tcPr>
            <w:tcW w:w="170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09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BF0D8F">
        <w:trPr>
          <w:trHeight w:val="330"/>
        </w:trPr>
        <w:tc>
          <w:tcPr>
            <w:tcW w:w="5861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neaudítorské služby</w:t>
            </w:r>
          </w:p>
        </w:tc>
        <w:tc>
          <w:tcPr>
            <w:tcW w:w="170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09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BF0D8F">
        <w:trPr>
          <w:trHeight w:val="330"/>
        </w:trPr>
        <w:tc>
          <w:tcPr>
            <w:tcW w:w="58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1646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2407</w:t>
            </w:r>
          </w:p>
        </w:tc>
      </w:tr>
      <w:tr w:rsidR="00BF0D8F">
        <w:trPr>
          <w:trHeight w:val="330"/>
        </w:trPr>
        <w:tc>
          <w:tcPr>
            <w:tcW w:w="5861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pStyle w:val="FootnoteText"/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Telekomunikačné služby</w:t>
            </w:r>
          </w:p>
        </w:tc>
        <w:tc>
          <w:tcPr>
            <w:tcW w:w="170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634</w:t>
            </w:r>
          </w:p>
        </w:tc>
        <w:tc>
          <w:tcPr>
            <w:tcW w:w="1709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544</w:t>
            </w:r>
          </w:p>
        </w:tc>
      </w:tr>
      <w:tr w:rsidR="00BF0D8F">
        <w:trPr>
          <w:trHeight w:val="330"/>
        </w:trPr>
        <w:tc>
          <w:tcPr>
            <w:tcW w:w="58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Prenájom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642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1284</w:t>
            </w:r>
          </w:p>
        </w:tc>
      </w:tr>
      <w:tr w:rsidR="00BF0D8F">
        <w:trPr>
          <w:trHeight w:val="330"/>
        </w:trPr>
        <w:tc>
          <w:tcPr>
            <w:tcW w:w="58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Refakturácie sl.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370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579</w:t>
            </w:r>
          </w:p>
        </w:tc>
      </w:tr>
      <w:tr w:rsidR="00BF0D8F">
        <w:trPr>
          <w:trHeight w:val="330"/>
        </w:trPr>
        <w:tc>
          <w:tcPr>
            <w:tcW w:w="5861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170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132</w:t>
            </w:r>
          </w:p>
        </w:tc>
        <w:tc>
          <w:tcPr>
            <w:tcW w:w="1709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BF0D8F">
        <w:trPr>
          <w:trHeight w:val="330"/>
        </w:trPr>
        <w:tc>
          <w:tcPr>
            <w:tcW w:w="5861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Poplatok mestu</w:t>
            </w:r>
          </w:p>
        </w:tc>
        <w:tc>
          <w:tcPr>
            <w:tcW w:w="170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89</w:t>
            </w:r>
          </w:p>
        </w:tc>
        <w:tc>
          <w:tcPr>
            <w:tcW w:w="1709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</w:t>
            </w:r>
          </w:p>
        </w:tc>
      </w:tr>
      <w:tr w:rsidR="00BF0D8F">
        <w:trPr>
          <w:trHeight w:val="330"/>
        </w:trPr>
        <w:tc>
          <w:tcPr>
            <w:tcW w:w="58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Penále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</w:tr>
      <w:tr w:rsidR="00BF0D8F">
        <w:trPr>
          <w:trHeight w:val="330"/>
        </w:trPr>
        <w:tc>
          <w:tcPr>
            <w:tcW w:w="5861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Ceniny</w:t>
            </w:r>
          </w:p>
        </w:tc>
        <w:tc>
          <w:tcPr>
            <w:tcW w:w="170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66</w:t>
            </w:r>
          </w:p>
        </w:tc>
        <w:tc>
          <w:tcPr>
            <w:tcW w:w="1709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BF0D8F">
        <w:trPr>
          <w:trHeight w:val="330"/>
        </w:trPr>
        <w:tc>
          <w:tcPr>
            <w:tcW w:w="58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BF0D8F">
        <w:trPr>
          <w:trHeight w:val="330"/>
        </w:trPr>
        <w:tc>
          <w:tcPr>
            <w:tcW w:w="5861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Finančné náklady, z toho:</w:t>
            </w:r>
          </w:p>
        </w:tc>
        <w:tc>
          <w:tcPr>
            <w:tcW w:w="170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311</w:t>
            </w:r>
          </w:p>
        </w:tc>
        <w:tc>
          <w:tcPr>
            <w:tcW w:w="1709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156</w:t>
            </w:r>
          </w:p>
        </w:tc>
      </w:tr>
      <w:tr w:rsidR="00BF0D8F">
        <w:trPr>
          <w:trHeight w:val="330"/>
        </w:trPr>
        <w:tc>
          <w:tcPr>
            <w:tcW w:w="5861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Kurzové straty, z toho:</w:t>
            </w:r>
          </w:p>
        </w:tc>
        <w:tc>
          <w:tcPr>
            <w:tcW w:w="170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709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0D8F">
        <w:trPr>
          <w:trHeight w:val="329"/>
        </w:trPr>
        <w:tc>
          <w:tcPr>
            <w:tcW w:w="5861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kurzové straty ku dňu, ku ktorému sa zostavuje účtovná závierka</w:t>
            </w:r>
          </w:p>
        </w:tc>
        <w:tc>
          <w:tcPr>
            <w:tcW w:w="170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09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BF0D8F">
        <w:trPr>
          <w:trHeight w:val="330"/>
        </w:trPr>
        <w:tc>
          <w:tcPr>
            <w:tcW w:w="58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Ostatné významné položky finančných nákladov, z toho: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145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156</w:t>
            </w:r>
          </w:p>
        </w:tc>
      </w:tr>
      <w:tr w:rsidR="00BF0D8F">
        <w:trPr>
          <w:trHeight w:val="330"/>
        </w:trPr>
        <w:tc>
          <w:tcPr>
            <w:tcW w:w="5861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pStyle w:val="FootnoteText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170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09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BF0D8F">
        <w:trPr>
          <w:trHeight w:val="383"/>
        </w:trPr>
        <w:tc>
          <w:tcPr>
            <w:tcW w:w="5861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Poplatok banke</w:t>
            </w:r>
          </w:p>
        </w:tc>
        <w:tc>
          <w:tcPr>
            <w:tcW w:w="170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145</w:t>
            </w:r>
          </w:p>
        </w:tc>
        <w:tc>
          <w:tcPr>
            <w:tcW w:w="1709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156</w:t>
            </w:r>
          </w:p>
        </w:tc>
      </w:tr>
      <w:tr w:rsidR="00BF0D8F">
        <w:trPr>
          <w:trHeight w:val="330"/>
        </w:trPr>
        <w:tc>
          <w:tcPr>
            <w:tcW w:w="5861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Mimoriadne náklady, z toho:</w:t>
            </w:r>
          </w:p>
        </w:tc>
        <w:tc>
          <w:tcPr>
            <w:tcW w:w="1703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2062</w:t>
            </w:r>
          </w:p>
        </w:tc>
        <w:tc>
          <w:tcPr>
            <w:tcW w:w="1709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</w:p>
        </w:tc>
      </w:tr>
      <w:tr w:rsidR="00BF0D8F">
        <w:trPr>
          <w:trHeight w:val="345"/>
        </w:trPr>
        <w:tc>
          <w:tcPr>
            <w:tcW w:w="58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pStyle w:val="FootnoteText"/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Manká a škody na tovare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2062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</w:p>
        </w:tc>
      </w:tr>
    </w:tbl>
    <w:p w:rsidR="00BF0D8F" w:rsidRDefault="00BF0D8F">
      <w:pPr>
        <w:rPr>
          <w:rFonts w:ascii="Times New Roman" w:hAnsi="Times New Roman" w:cs="Times New Roman"/>
        </w:rPr>
      </w:pPr>
    </w:p>
    <w:p w:rsidR="00BF0D8F" w:rsidRDefault="00BF0D8F">
      <w:pPr>
        <w:rPr>
          <w:rFonts w:ascii="Times New Roman" w:hAnsi="Times New Roman" w:cs="Times New Roman"/>
        </w:rPr>
      </w:pPr>
    </w:p>
    <w:p w:rsidR="00BF0D8F" w:rsidRDefault="00BF0D8F">
      <w:pPr>
        <w:rPr>
          <w:rFonts w:ascii="Times New Roman" w:hAnsi="Times New Roman" w:cs="Times New Roman"/>
        </w:rPr>
      </w:pPr>
    </w:p>
    <w:p w:rsidR="00BF0D8F" w:rsidRDefault="00BF0D8F">
      <w:pPr>
        <w:pStyle w:val="Title"/>
        <w:keepNext w:val="0"/>
        <w:widowControl w:val="0"/>
        <w:spacing w:before="0" w:after="60"/>
        <w:jc w:val="left"/>
      </w:pPr>
      <w:r>
        <w:t>36. Informácie k časti J.  písm. f) a g) prílohy č. 3 o daniach z príjmov</w:t>
      </w:r>
    </w:p>
    <w:tbl>
      <w:tblPr>
        <w:tblW w:w="9447" w:type="dxa"/>
        <w:tblInd w:w="-106" w:type="dxa"/>
        <w:tblLayout w:type="fixed"/>
        <w:tblLook w:val="0000"/>
      </w:tblPr>
      <w:tblGrid>
        <w:gridCol w:w="2623"/>
        <w:gridCol w:w="1986"/>
        <w:gridCol w:w="778"/>
        <w:gridCol w:w="546"/>
        <w:gridCol w:w="1986"/>
        <w:gridCol w:w="836"/>
        <w:gridCol w:w="692"/>
      </w:tblGrid>
      <w:tr w:rsidR="00BF0D8F">
        <w:trPr>
          <w:cantSplit/>
          <w:trHeight w:val="642"/>
        </w:trPr>
        <w:tc>
          <w:tcPr>
            <w:tcW w:w="262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0D8F" w:rsidRDefault="00BF0D8F">
            <w:pPr>
              <w:pStyle w:val="TopHeader"/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31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0D8F" w:rsidRDefault="00BF0D8F">
            <w:pPr>
              <w:pStyle w:val="TopHeader"/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3514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pStyle w:val="TopHeader"/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BF0D8F">
        <w:trPr>
          <w:cantSplit/>
          <w:trHeight w:val="345"/>
        </w:trPr>
        <w:tc>
          <w:tcPr>
            <w:tcW w:w="2623" w:type="dxa"/>
            <w:vMerge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</w:tcPr>
          <w:p w:rsidR="00BF0D8F" w:rsidRDefault="00BF0D8F">
            <w:pPr>
              <w:pStyle w:val="TopHeader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</w:tcPr>
          <w:p w:rsidR="00BF0D8F" w:rsidRDefault="00BF0D8F">
            <w:pPr>
              <w:pStyle w:val="TopHeader"/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Základ dane</w:t>
            </w:r>
          </w:p>
        </w:tc>
        <w:tc>
          <w:tcPr>
            <w:tcW w:w="778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</w:tcPr>
          <w:p w:rsidR="00BF0D8F" w:rsidRDefault="00BF0D8F">
            <w:pPr>
              <w:pStyle w:val="TopHeader"/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</w:t>
            </w:r>
          </w:p>
        </w:tc>
        <w:tc>
          <w:tcPr>
            <w:tcW w:w="54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</w:tcPr>
          <w:p w:rsidR="00BF0D8F" w:rsidRDefault="00BF0D8F">
            <w:pPr>
              <w:pStyle w:val="TopHeader"/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 v %</w:t>
            </w:r>
          </w:p>
        </w:tc>
        <w:tc>
          <w:tcPr>
            <w:tcW w:w="198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</w:tcPr>
          <w:p w:rsidR="00BF0D8F" w:rsidRDefault="00BF0D8F">
            <w:pPr>
              <w:pStyle w:val="TopHeader"/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Základ dane</w:t>
            </w:r>
          </w:p>
        </w:tc>
        <w:tc>
          <w:tcPr>
            <w:tcW w:w="83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</w:tcPr>
          <w:p w:rsidR="00BF0D8F" w:rsidRDefault="00BF0D8F">
            <w:pPr>
              <w:pStyle w:val="TopHeader"/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</w:t>
            </w:r>
          </w:p>
        </w:tc>
        <w:tc>
          <w:tcPr>
            <w:tcW w:w="69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F0D8F" w:rsidRDefault="00BF0D8F">
            <w:pPr>
              <w:pStyle w:val="TopHeader"/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 v %</w:t>
            </w:r>
          </w:p>
        </w:tc>
      </w:tr>
      <w:tr w:rsidR="00BF0D8F">
        <w:trPr>
          <w:trHeight w:val="330"/>
        </w:trPr>
        <w:tc>
          <w:tcPr>
            <w:tcW w:w="262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98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77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54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98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83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</w:t>
            </w:r>
          </w:p>
        </w:tc>
      </w:tr>
      <w:tr w:rsidR="00BF0D8F">
        <w:trPr>
          <w:trHeight w:val="330"/>
        </w:trPr>
        <w:tc>
          <w:tcPr>
            <w:tcW w:w="262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-7207</w:t>
            </w:r>
          </w:p>
        </w:tc>
        <w:tc>
          <w:tcPr>
            <w:tcW w:w="77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54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98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-18443</w:t>
            </w:r>
          </w:p>
        </w:tc>
        <w:tc>
          <w:tcPr>
            <w:tcW w:w="83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69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BF0D8F">
        <w:trPr>
          <w:trHeight w:val="330"/>
        </w:trPr>
        <w:tc>
          <w:tcPr>
            <w:tcW w:w="262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teoretická daň </w:t>
            </w:r>
          </w:p>
        </w:tc>
        <w:tc>
          <w:tcPr>
            <w:tcW w:w="198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7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-1657</w:t>
            </w:r>
          </w:p>
        </w:tc>
        <w:tc>
          <w:tcPr>
            <w:tcW w:w="5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8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3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-3504</w:t>
            </w:r>
          </w:p>
        </w:tc>
        <w:tc>
          <w:tcPr>
            <w:tcW w:w="6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</w:t>
            </w:r>
          </w:p>
        </w:tc>
      </w:tr>
      <w:tr w:rsidR="00BF0D8F">
        <w:trPr>
          <w:trHeight w:val="330"/>
        </w:trPr>
        <w:tc>
          <w:tcPr>
            <w:tcW w:w="262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Daňovo neuznané náklady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             2063</w:t>
            </w:r>
          </w:p>
        </w:tc>
        <w:tc>
          <w:tcPr>
            <w:tcW w:w="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474</w:t>
            </w:r>
          </w:p>
        </w:tc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pStyle w:val="Index"/>
              <w:suppressLineNumbers w:val="0"/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23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</w:t>
            </w:r>
          </w:p>
        </w:tc>
      </w:tr>
      <w:tr w:rsidR="00BF0D8F">
        <w:trPr>
          <w:trHeight w:val="330"/>
        </w:trPr>
        <w:tc>
          <w:tcPr>
            <w:tcW w:w="262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BF0D8F">
        <w:trPr>
          <w:trHeight w:val="330"/>
        </w:trPr>
        <w:tc>
          <w:tcPr>
            <w:tcW w:w="262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77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23</w:t>
            </w:r>
          </w:p>
        </w:tc>
        <w:tc>
          <w:tcPr>
            <w:tcW w:w="198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3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BF0D8F">
        <w:trPr>
          <w:trHeight w:val="330"/>
        </w:trPr>
        <w:tc>
          <w:tcPr>
            <w:tcW w:w="262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-5143</w:t>
            </w:r>
          </w:p>
        </w:tc>
        <w:tc>
          <w:tcPr>
            <w:tcW w:w="77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-1183</w:t>
            </w:r>
          </w:p>
        </w:tc>
        <w:tc>
          <w:tcPr>
            <w:tcW w:w="5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23</w:t>
            </w:r>
          </w:p>
        </w:tc>
        <w:tc>
          <w:tcPr>
            <w:tcW w:w="198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pStyle w:val="Index"/>
              <w:suppressLineNumbers w:val="0"/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-18431</w:t>
            </w:r>
          </w:p>
        </w:tc>
        <w:tc>
          <w:tcPr>
            <w:tcW w:w="83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-3502</w:t>
            </w:r>
          </w:p>
        </w:tc>
        <w:tc>
          <w:tcPr>
            <w:tcW w:w="6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</w:t>
            </w:r>
          </w:p>
        </w:tc>
      </w:tr>
      <w:tr w:rsidR="00BF0D8F">
        <w:trPr>
          <w:trHeight w:val="330"/>
        </w:trPr>
        <w:tc>
          <w:tcPr>
            <w:tcW w:w="262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7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0</w:t>
            </w:r>
          </w:p>
        </w:tc>
        <w:tc>
          <w:tcPr>
            <w:tcW w:w="5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23</w:t>
            </w:r>
          </w:p>
        </w:tc>
        <w:tc>
          <w:tcPr>
            <w:tcW w:w="198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3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pStyle w:val="Index"/>
              <w:suppressLineNumbers w:val="0"/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</w:t>
            </w:r>
          </w:p>
        </w:tc>
      </w:tr>
      <w:tr w:rsidR="00BF0D8F">
        <w:trPr>
          <w:trHeight w:val="330"/>
        </w:trPr>
        <w:tc>
          <w:tcPr>
            <w:tcW w:w="262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7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3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BF0D8F">
        <w:trPr>
          <w:trHeight w:val="345"/>
        </w:trPr>
        <w:tc>
          <w:tcPr>
            <w:tcW w:w="262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78" w:type="dxa"/>
            <w:tcBorders>
              <w:top w:val="nil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0</w:t>
            </w:r>
          </w:p>
        </w:tc>
        <w:tc>
          <w:tcPr>
            <w:tcW w:w="546" w:type="dxa"/>
            <w:tcBorders>
              <w:top w:val="nil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23</w:t>
            </w:r>
          </w:p>
        </w:tc>
        <w:tc>
          <w:tcPr>
            <w:tcW w:w="198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36" w:type="dxa"/>
            <w:tcBorders>
              <w:top w:val="nil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92" w:type="dxa"/>
            <w:tcBorders>
              <w:top w:val="nil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</w:t>
            </w:r>
          </w:p>
        </w:tc>
      </w:tr>
    </w:tbl>
    <w:p w:rsidR="00BF0D8F" w:rsidRDefault="00BF0D8F">
      <w:pPr>
        <w:rPr>
          <w:rFonts w:ascii="Times New Roman" w:hAnsi="Times New Roman" w:cs="Times New Roman"/>
        </w:rPr>
      </w:pPr>
    </w:p>
    <w:p w:rsidR="00BF0D8F" w:rsidRDefault="00BF0D8F">
      <w:pPr>
        <w:rPr>
          <w:rFonts w:ascii="Times New Roman" w:hAnsi="Times New Roman" w:cs="Times New Roman"/>
        </w:rPr>
      </w:pPr>
    </w:p>
    <w:p w:rsidR="00BF0D8F" w:rsidRDefault="00BF0D8F">
      <w:pPr>
        <w:rPr>
          <w:rFonts w:ascii="Times New Roman" w:hAnsi="Times New Roman" w:cs="Times New Roman"/>
        </w:rPr>
      </w:pPr>
    </w:p>
    <w:p w:rsidR="00BF0D8F" w:rsidRDefault="00BF0D8F">
      <w:pPr>
        <w:pStyle w:val="Title"/>
        <w:spacing w:before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37. Informácie k časti P. prílohy č. 3 o zmenách vlastného imania</w:t>
      </w:r>
    </w:p>
    <w:p w:rsidR="00BF0D8F" w:rsidRDefault="00BF0D8F"/>
    <w:p w:rsidR="00BF0D8F" w:rsidRDefault="00BF0D8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0" w:type="auto"/>
        <w:tblInd w:w="-106" w:type="dxa"/>
        <w:tblLayout w:type="fixed"/>
        <w:tblLook w:val="0000"/>
      </w:tblPr>
      <w:tblGrid>
        <w:gridCol w:w="2143"/>
        <w:gridCol w:w="1420"/>
        <w:gridCol w:w="1420"/>
        <w:gridCol w:w="1420"/>
        <w:gridCol w:w="1420"/>
        <w:gridCol w:w="1450"/>
      </w:tblGrid>
      <w:tr w:rsidR="00BF0D8F">
        <w:trPr>
          <w:cantSplit/>
          <w:trHeight w:val="318"/>
        </w:trPr>
        <w:tc>
          <w:tcPr>
            <w:tcW w:w="2143" w:type="dxa"/>
            <w:vMerge w:val="restart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</w:tcPr>
          <w:p w:rsidR="00BF0D8F" w:rsidRDefault="00BF0D8F">
            <w:pPr>
              <w:pStyle w:val="TopHeader"/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Položka vlastného imania</w:t>
            </w:r>
          </w:p>
        </w:tc>
        <w:tc>
          <w:tcPr>
            <w:tcW w:w="7130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pStyle w:val="TopHeader"/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BF0D8F">
        <w:trPr>
          <w:cantSplit/>
        </w:trPr>
        <w:tc>
          <w:tcPr>
            <w:tcW w:w="2143" w:type="dxa"/>
            <w:vMerge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</w:tcPr>
          <w:p w:rsidR="00BF0D8F" w:rsidRDefault="00BF0D8F">
            <w:pPr>
              <w:pStyle w:val="TopHeader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</w:tcPr>
          <w:p w:rsidR="00BF0D8F" w:rsidRDefault="00BF0D8F">
            <w:pPr>
              <w:pStyle w:val="TopHeader"/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</w:tcPr>
          <w:p w:rsidR="00BF0D8F" w:rsidRDefault="00BF0D8F">
            <w:pPr>
              <w:pStyle w:val="TopHeader"/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Prírastky 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</w:tcPr>
          <w:p w:rsidR="00BF0D8F" w:rsidRDefault="00BF0D8F">
            <w:pPr>
              <w:pStyle w:val="TopHeader"/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</w:tcPr>
          <w:p w:rsidR="00BF0D8F" w:rsidRDefault="00BF0D8F">
            <w:pPr>
              <w:pStyle w:val="TopHeader"/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45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F0D8F" w:rsidRDefault="00BF0D8F">
            <w:pPr>
              <w:pStyle w:val="TopHeader"/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 na konci účtovného obdobia</w:t>
            </w:r>
          </w:p>
        </w:tc>
      </w:tr>
      <w:tr w:rsidR="00BF0D8F">
        <w:trPr>
          <w:trHeight w:val="330"/>
        </w:trPr>
        <w:tc>
          <w:tcPr>
            <w:tcW w:w="214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0D8F" w:rsidRDefault="00BF0D8F">
            <w:pPr>
              <w:pStyle w:val="TopHeader"/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0D8F" w:rsidRDefault="00BF0D8F">
            <w:pPr>
              <w:pStyle w:val="TopHeader"/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0D8F" w:rsidRDefault="00BF0D8F">
            <w:pPr>
              <w:pStyle w:val="TopHeader"/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0D8F" w:rsidRDefault="00BF0D8F">
            <w:pPr>
              <w:pStyle w:val="TopHeader"/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0D8F" w:rsidRDefault="00BF0D8F">
            <w:pPr>
              <w:pStyle w:val="TopHeader"/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45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pStyle w:val="TopHeader"/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</w:t>
            </w:r>
          </w:p>
        </w:tc>
      </w:tr>
      <w:tr w:rsidR="00BF0D8F">
        <w:trPr>
          <w:trHeight w:val="330"/>
        </w:trPr>
        <w:tc>
          <w:tcPr>
            <w:tcW w:w="214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Základné imanie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5000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5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5000</w:t>
            </w:r>
          </w:p>
        </w:tc>
      </w:tr>
      <w:tr w:rsidR="00BF0D8F">
        <w:trPr>
          <w:trHeight w:val="330"/>
        </w:trPr>
        <w:tc>
          <w:tcPr>
            <w:tcW w:w="214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BF0D8F">
        <w:trPr>
          <w:trHeight w:val="330"/>
        </w:trPr>
        <w:tc>
          <w:tcPr>
            <w:tcW w:w="214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BF0D8F">
        <w:trPr>
          <w:trHeight w:val="330"/>
        </w:trPr>
        <w:tc>
          <w:tcPr>
            <w:tcW w:w="21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BF0D8F">
        <w:trPr>
          <w:trHeight w:val="330"/>
        </w:trPr>
        <w:tc>
          <w:tcPr>
            <w:tcW w:w="214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BF0D8F">
        <w:trPr>
          <w:trHeight w:val="330"/>
        </w:trPr>
        <w:tc>
          <w:tcPr>
            <w:tcW w:w="214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kapitálové fondy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BF0D8F">
        <w:trPr>
          <w:trHeight w:val="330"/>
        </w:trPr>
        <w:tc>
          <w:tcPr>
            <w:tcW w:w="214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BF0D8F">
        <w:trPr>
          <w:trHeight w:val="330"/>
        </w:trPr>
        <w:tc>
          <w:tcPr>
            <w:tcW w:w="21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BF0D8F">
        <w:trPr>
          <w:trHeight w:val="330"/>
        </w:trPr>
        <w:tc>
          <w:tcPr>
            <w:tcW w:w="214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BF0D8F">
        <w:trPr>
          <w:trHeight w:val="660"/>
        </w:trPr>
        <w:tc>
          <w:tcPr>
            <w:tcW w:w="214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BF0D8F">
        <w:trPr>
          <w:trHeight w:val="330"/>
        </w:trPr>
        <w:tc>
          <w:tcPr>
            <w:tcW w:w="21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BF0D8F">
        <w:trPr>
          <w:trHeight w:val="330"/>
        </w:trPr>
        <w:tc>
          <w:tcPr>
            <w:tcW w:w="21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BF0D8F">
        <w:trPr>
          <w:trHeight w:val="330"/>
        </w:trPr>
        <w:tc>
          <w:tcPr>
            <w:tcW w:w="21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BF0D8F">
        <w:trPr>
          <w:trHeight w:val="330"/>
        </w:trPr>
        <w:tc>
          <w:tcPr>
            <w:tcW w:w="214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BF0D8F">
        <w:trPr>
          <w:trHeight w:val="330"/>
        </w:trPr>
        <w:tc>
          <w:tcPr>
            <w:tcW w:w="214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-22916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-18443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-41359</w:t>
            </w:r>
          </w:p>
        </w:tc>
      </w:tr>
      <w:tr w:rsidR="00BF0D8F">
        <w:trPr>
          <w:trHeight w:val="330"/>
        </w:trPr>
        <w:tc>
          <w:tcPr>
            <w:tcW w:w="2143" w:type="dxa"/>
            <w:tcBorders>
              <w:top w:val="single" w:sz="4" w:space="0" w:color="000000"/>
              <w:left w:val="single" w:sz="8" w:space="0" w:color="000000"/>
              <w:bottom w:val="nil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-18443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-7207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-18443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-7207</w:t>
            </w:r>
          </w:p>
        </w:tc>
      </w:tr>
      <w:tr w:rsidR="00BF0D8F">
        <w:trPr>
          <w:trHeight w:val="330"/>
        </w:trPr>
        <w:tc>
          <w:tcPr>
            <w:tcW w:w="21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BF0D8F">
        <w:trPr>
          <w:trHeight w:val="330"/>
        </w:trPr>
        <w:tc>
          <w:tcPr>
            <w:tcW w:w="214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BF0D8F">
        <w:trPr>
          <w:trHeight w:val="345"/>
        </w:trPr>
        <w:tc>
          <w:tcPr>
            <w:tcW w:w="214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  <w:rPr>
                <w:rFonts w:ascii="Times New Roman" w:hAnsi="Times New Roman" w:cs="Times New Roman"/>
              </w:rPr>
            </w:pPr>
          </w:p>
        </w:tc>
      </w:tr>
    </w:tbl>
    <w:p w:rsidR="00BF0D8F" w:rsidRDefault="00BF0D8F">
      <w:pPr>
        <w:rPr>
          <w:rFonts w:ascii="Times New Roman" w:hAnsi="Times New Roman" w:cs="Times New Roman"/>
        </w:rPr>
      </w:pPr>
    </w:p>
    <w:p w:rsidR="00BF0D8F" w:rsidRDefault="00BF0D8F">
      <w:pPr>
        <w:rPr>
          <w:rFonts w:ascii="Times New Roman" w:hAnsi="Times New Roman" w:cs="Times New Roman"/>
        </w:rPr>
      </w:pPr>
    </w:p>
    <w:p w:rsidR="00BF0D8F" w:rsidRDefault="00BF0D8F">
      <w:pPr>
        <w:rPr>
          <w:rFonts w:ascii="Times New Roman" w:hAnsi="Times New Roman" w:cs="Times New Roman"/>
        </w:rPr>
      </w:pPr>
    </w:p>
    <w:p w:rsidR="00BF0D8F" w:rsidRDefault="00BF0D8F">
      <w: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2143"/>
        <w:gridCol w:w="1420"/>
        <w:gridCol w:w="1420"/>
        <w:gridCol w:w="1420"/>
        <w:gridCol w:w="1420"/>
        <w:gridCol w:w="1450"/>
      </w:tblGrid>
      <w:tr w:rsidR="00BF0D8F">
        <w:trPr>
          <w:cantSplit/>
          <w:trHeight w:val="396"/>
          <w:jc w:val="center"/>
        </w:trPr>
        <w:tc>
          <w:tcPr>
            <w:tcW w:w="2143" w:type="dxa"/>
            <w:vMerge w:val="restart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</w:tcPr>
          <w:p w:rsidR="00BF0D8F" w:rsidRDefault="00BF0D8F">
            <w:pPr>
              <w:pStyle w:val="TopHeader"/>
              <w:snapToGrid w:val="0"/>
            </w:pPr>
            <w:r>
              <w:t>Položka vlastného imania</w:t>
            </w:r>
          </w:p>
        </w:tc>
        <w:tc>
          <w:tcPr>
            <w:tcW w:w="7130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pStyle w:val="TopHeader"/>
              <w:snapToGrid w:val="0"/>
            </w:pPr>
            <w:r>
              <w:t>Bezprostredne predchádzajúce účtovné obdobie</w:t>
            </w:r>
          </w:p>
        </w:tc>
      </w:tr>
      <w:tr w:rsidR="00BF0D8F">
        <w:trPr>
          <w:cantSplit/>
          <w:jc w:val="center"/>
        </w:trPr>
        <w:tc>
          <w:tcPr>
            <w:tcW w:w="2143" w:type="dxa"/>
            <w:vMerge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</w:tcPr>
          <w:p w:rsidR="00BF0D8F" w:rsidRDefault="00BF0D8F">
            <w:pPr>
              <w:pStyle w:val="TopHeader"/>
              <w:snapToGrid w:val="0"/>
            </w:pP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</w:tcPr>
          <w:p w:rsidR="00BF0D8F" w:rsidRDefault="00BF0D8F">
            <w:pPr>
              <w:pStyle w:val="TopHeader"/>
              <w:snapToGrid w:val="0"/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</w:tcPr>
          <w:p w:rsidR="00BF0D8F" w:rsidRDefault="00BF0D8F">
            <w:pPr>
              <w:pStyle w:val="TopHeader"/>
              <w:snapToGrid w:val="0"/>
            </w:pPr>
            <w:r>
              <w:t>Prírastky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</w:tcPr>
          <w:p w:rsidR="00BF0D8F" w:rsidRDefault="00BF0D8F">
            <w:pPr>
              <w:pStyle w:val="TopHeader"/>
              <w:snapToGrid w:val="0"/>
            </w:pPr>
            <w:r>
              <w:t xml:space="preserve">Úbytky 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</w:tcPr>
          <w:p w:rsidR="00BF0D8F" w:rsidRDefault="00BF0D8F">
            <w:pPr>
              <w:pStyle w:val="TopHeader"/>
              <w:snapToGrid w:val="0"/>
            </w:pPr>
            <w:r>
              <w:t>Presuny</w:t>
            </w:r>
          </w:p>
        </w:tc>
        <w:tc>
          <w:tcPr>
            <w:tcW w:w="145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BF0D8F" w:rsidRDefault="00BF0D8F">
            <w:pPr>
              <w:pStyle w:val="TopHeader"/>
              <w:snapToGrid w:val="0"/>
            </w:pPr>
            <w:r>
              <w:t>Stav na konci účtovného obdobia</w:t>
            </w:r>
          </w:p>
        </w:tc>
      </w:tr>
      <w:tr w:rsidR="00BF0D8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0D8F" w:rsidRDefault="00BF0D8F">
            <w:pPr>
              <w:pStyle w:val="TopHeader"/>
              <w:snapToGrid w:val="0"/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0D8F" w:rsidRDefault="00BF0D8F">
            <w:pPr>
              <w:pStyle w:val="TopHeader"/>
              <w:snapToGrid w:val="0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0D8F" w:rsidRDefault="00BF0D8F">
            <w:pPr>
              <w:pStyle w:val="TopHeader"/>
              <w:snapToGrid w:val="0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0D8F" w:rsidRDefault="00BF0D8F">
            <w:pPr>
              <w:pStyle w:val="TopHeader"/>
              <w:snapToGrid w:val="0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0D8F" w:rsidRDefault="00BF0D8F">
            <w:pPr>
              <w:pStyle w:val="TopHeader"/>
              <w:snapToGrid w:val="0"/>
            </w:pPr>
            <w:r>
              <w:t>e</w:t>
            </w:r>
          </w:p>
        </w:tc>
        <w:tc>
          <w:tcPr>
            <w:tcW w:w="145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pStyle w:val="TopHeader"/>
              <w:snapToGrid w:val="0"/>
            </w:pPr>
            <w:r>
              <w:t>f</w:t>
            </w:r>
          </w:p>
        </w:tc>
      </w:tr>
      <w:tr w:rsidR="00BF0D8F">
        <w:trPr>
          <w:trHeight w:val="330"/>
          <w:jc w:val="center"/>
        </w:trPr>
        <w:tc>
          <w:tcPr>
            <w:tcW w:w="214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Základné imanie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5000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</w:pPr>
            <w:r>
              <w:t> 5000</w:t>
            </w:r>
          </w:p>
        </w:tc>
      </w:tr>
      <w:tr w:rsidR="00BF0D8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</w:tr>
      <w:tr w:rsidR="00BF0D8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Zmena základného imania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</w:tr>
      <w:tr w:rsidR="00BF0D8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</w:tr>
      <w:tr w:rsidR="00BF0D8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Emisné ážio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</w:tr>
      <w:tr w:rsidR="00BF0D8F">
        <w:trPr>
          <w:trHeight w:val="330"/>
          <w:jc w:val="center"/>
        </w:trPr>
        <w:tc>
          <w:tcPr>
            <w:tcW w:w="21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Ostatné kapitálové fondy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</w:tr>
      <w:tr w:rsidR="00BF0D8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</w:tr>
      <w:tr w:rsidR="00BF0D8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</w:tr>
      <w:tr w:rsidR="00BF0D8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</w:tr>
      <w:tr w:rsidR="00BF0D8F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</w:tr>
      <w:tr w:rsidR="00BF0D8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Zákonný rezervný fond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</w:tr>
      <w:tr w:rsidR="00BF0D8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Nedeliteľný fond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</w:tr>
      <w:tr w:rsidR="00BF0D8F">
        <w:trPr>
          <w:trHeight w:val="330"/>
          <w:jc w:val="center"/>
        </w:trPr>
        <w:tc>
          <w:tcPr>
            <w:tcW w:w="21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</w:tr>
      <w:tr w:rsidR="00BF0D8F">
        <w:trPr>
          <w:trHeight w:val="330"/>
          <w:jc w:val="center"/>
        </w:trPr>
        <w:tc>
          <w:tcPr>
            <w:tcW w:w="21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</w:tr>
      <w:tr w:rsidR="00BF0D8F">
        <w:trPr>
          <w:trHeight w:val="330"/>
          <w:jc w:val="center"/>
        </w:trPr>
        <w:tc>
          <w:tcPr>
            <w:tcW w:w="21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-10718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-12198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</w:pPr>
            <w:r>
              <w:t> -22916</w:t>
            </w:r>
          </w:p>
        </w:tc>
      </w:tr>
      <w:tr w:rsidR="00BF0D8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-12198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-18443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-12198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</w:pPr>
            <w:r>
              <w:t>-18443</w:t>
            </w:r>
          </w:p>
        </w:tc>
      </w:tr>
      <w:tr w:rsidR="00BF0D8F">
        <w:trPr>
          <w:trHeight w:val="330"/>
          <w:jc w:val="center"/>
        </w:trPr>
        <w:tc>
          <w:tcPr>
            <w:tcW w:w="21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Vyplatené dividendy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</w:tr>
      <w:tr w:rsidR="00BF0D8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</w:tr>
      <w:tr w:rsidR="00BF0D8F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F0D8F" w:rsidRDefault="00BF0D8F">
            <w:pPr>
              <w:snapToGrid w:val="0"/>
            </w:pPr>
            <w:r>
              <w:t> </w:t>
            </w:r>
          </w:p>
        </w:tc>
      </w:tr>
    </w:tbl>
    <w:p w:rsidR="00BF0D8F" w:rsidRDefault="00BF0D8F">
      <w:pPr>
        <w:pStyle w:val="Title"/>
        <w:spacing w:before="0" w:after="0"/>
        <w:jc w:val="left"/>
      </w:pPr>
    </w:p>
    <w:p w:rsidR="00BF0D8F" w:rsidRDefault="00BF0D8F"/>
    <w:p w:rsidR="00BF0D8F" w:rsidRDefault="00BF0D8F">
      <w:pPr>
        <w:rPr>
          <w:rFonts w:ascii="Times New Roman" w:hAnsi="Times New Roman" w:cs="Times New Roman"/>
        </w:rPr>
      </w:pPr>
    </w:p>
    <w:sectPr w:rsidR="00BF0D8F" w:rsidSect="00BF0D8F">
      <w:headerReference w:type="default" r:id="rId7"/>
      <w:footerReference w:type="default" r:id="rId8"/>
      <w:pgSz w:w="11906" w:h="16838"/>
      <w:pgMar w:top="1134" w:right="1077" w:bottom="1134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F0D8F" w:rsidRDefault="00BF0D8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:rsidR="00BF0D8F" w:rsidRDefault="00BF0D8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valon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valon CE">
    <w:altName w:val="Times New Roman"/>
    <w:panose1 w:val="00000000000000000000"/>
    <w:charset w:val="EE"/>
    <w:family w:val="auto"/>
    <w:notTrueType/>
    <w:pitch w:val="variable"/>
    <w:sig w:usb0="00000005" w:usb1="00000000" w:usb2="00000000" w:usb3="00000000" w:csb0="00000002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0D8F" w:rsidRDefault="00BF0D8F">
    <w:pPr>
      <w:jc w:val="right"/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fldChar w:fldCharType="begin"/>
    </w:r>
    <w:r>
      <w:rPr>
        <w:rFonts w:ascii="Times New Roman" w:hAnsi="Times New Roman" w:cs="Times New Roman"/>
      </w:rPr>
      <w:instrText xml:space="preserve"> PAGE </w:instrText>
    </w:r>
    <w:r>
      <w:rPr>
        <w:rFonts w:ascii="Times New Roman" w:hAnsi="Times New Roman" w:cs="Times New Roman"/>
      </w:rPr>
      <w:fldChar w:fldCharType="separate"/>
    </w:r>
    <w:r>
      <w:rPr>
        <w:rFonts w:ascii="Times New Roman" w:hAnsi="Times New Roman" w:cs="Times New Roman"/>
        <w:noProof/>
      </w:rPr>
      <w:t>1</w:t>
    </w:r>
    <w:r>
      <w:rPr>
        <w:rFonts w:ascii="Times New Roman" w:hAnsi="Times New Roman" w:cs="Times New Roman"/>
      </w:rPr>
      <w:fldChar w:fldCharType="end"/>
    </w:r>
  </w:p>
  <w:p w:rsidR="00BF0D8F" w:rsidRDefault="00BF0D8F">
    <w:pPr>
      <w:pStyle w:val="Footer"/>
      <w:rPr>
        <w:rFonts w:ascii="Times New Roman" w:hAnsi="Times New Roman" w:cs="Times New Roman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F0D8F" w:rsidRDefault="00BF0D8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:rsidR="00BF0D8F" w:rsidRDefault="00BF0D8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-13" w:type="dxa"/>
      <w:tblCellMar>
        <w:left w:w="70" w:type="dxa"/>
        <w:right w:w="70" w:type="dxa"/>
      </w:tblCellMar>
      <w:tblLook w:val="000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BF0D8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BF0D8F" w:rsidRDefault="00BF0D8F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BF0D8F" w:rsidRDefault="00BF0D8F">
          <w:pPr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BF0D8F" w:rsidRDefault="00BF0D8F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F0D8F" w:rsidRDefault="00BF0D8F">
          <w:pPr>
            <w:jc w:val="center"/>
            <w:rPr>
              <w:lang w:eastAsia="sk-SK"/>
            </w:rPr>
          </w:pPr>
          <w:r>
            <w:rPr>
              <w:lang w:eastAsia="sk-SK"/>
            </w:rPr>
            <w:t> 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F0D8F" w:rsidRDefault="00BF0D8F">
          <w:pPr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F0D8F" w:rsidRDefault="00BF0D8F">
          <w:pPr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F0D8F" w:rsidRDefault="00BF0D8F">
          <w:pPr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F0D8F" w:rsidRDefault="00BF0D8F">
          <w:pPr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F0D8F" w:rsidRDefault="00BF0D8F">
          <w:pPr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F0D8F" w:rsidRDefault="00BF0D8F">
          <w:pPr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F0D8F" w:rsidRDefault="00BF0D8F">
          <w:pPr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F0D8F" w:rsidRDefault="00BF0D8F">
          <w:pPr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F0D8F" w:rsidRDefault="00BF0D8F">
          <w:pPr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</w:tr>
  </w:tbl>
  <w:p w:rsidR="00BF0D8F" w:rsidRDefault="00BF0D8F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Heading1"/>
      <w:suff w:val="nothing"/>
      <w:lvlText w:val=""/>
      <w:lvlJc w:val="left"/>
      <w:pPr>
        <w:tabs>
          <w:tab w:val="num" w:pos="432"/>
        </w:tabs>
        <w:ind w:left="432" w:hanging="432"/>
      </w:pPr>
      <w:rPr>
        <w:rFonts w:ascii="Times New Roman" w:hAnsi="Times New Roman" w:cs="Times New Roman"/>
      </w:rPr>
    </w:lvl>
    <w:lvl w:ilvl="1">
      <w:start w:val="1"/>
      <w:numFmt w:val="none"/>
      <w:pStyle w:val="Heading2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/>
      </w:rPr>
    </w:lvl>
    <w:lvl w:ilvl="2">
      <w:start w:val="1"/>
      <w:numFmt w:val="none"/>
      <w:pStyle w:val="Heading3"/>
      <w:suff w:val="nothing"/>
      <w:lvlText w:val="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/>
      </w:rPr>
    </w:lvl>
    <w:lvl w:ilvl="3">
      <w:start w:val="1"/>
      <w:numFmt w:val="none"/>
      <w:pStyle w:val="Heading4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ascii="Times New Roman" w:hAnsi="Times New Roman" w:cs="Times New Roman"/>
      </w:rPr>
    </w:lvl>
    <w:lvl w:ilvl="4">
      <w:start w:val="1"/>
      <w:numFmt w:val="none"/>
      <w:pStyle w:val="Heading5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ascii="Times New Roman" w:hAnsi="Times New Roman" w:cs="Times New Roman"/>
      </w:rPr>
    </w:lvl>
    <w:lvl w:ilvl="5">
      <w:start w:val="1"/>
      <w:numFmt w:val="none"/>
      <w:pStyle w:val="Heading6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ascii="Times New Roman" w:hAnsi="Times New Roman" w:cs="Times New Roman"/>
      </w:rPr>
    </w:lvl>
    <w:lvl w:ilvl="6">
      <w:start w:val="1"/>
      <w:numFmt w:val="none"/>
      <w:pStyle w:val="Heading7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ascii="Times New Roman" w:hAnsi="Times New Roman" w:cs="Times New Roman"/>
      </w:rPr>
    </w:lvl>
    <w:lvl w:ilvl="7">
      <w:start w:val="1"/>
      <w:numFmt w:val="none"/>
      <w:pStyle w:val="Heading8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ascii="Times New Roman" w:hAnsi="Times New Roman" w:cs="Times New Roman"/>
      </w:rPr>
    </w:lvl>
    <w:lvl w:ilvl="8">
      <w:start w:val="1"/>
      <w:numFmt w:val="none"/>
      <w:pStyle w:val="Heading9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ascii="Times New Roman" w:hAnsi="Times New Roman" w:cs="Times New Roman"/>
      </w:rPr>
    </w:lvl>
  </w:abstractNum>
  <w:abstractNum w:abstractNumId="1">
    <w:nsid w:val="10DE4282"/>
    <w:multiLevelType w:val="hybridMultilevel"/>
    <w:tmpl w:val="9ED25982"/>
    <w:lvl w:ilvl="0" w:tplc="4F9A39C4">
      <w:start w:val="831"/>
      <w:numFmt w:val="bullet"/>
      <w:lvlText w:val="-"/>
      <w:lvlJc w:val="left"/>
      <w:pPr>
        <w:tabs>
          <w:tab w:val="num" w:pos="675"/>
        </w:tabs>
        <w:ind w:left="675" w:hanging="360"/>
      </w:pPr>
      <w:rPr>
        <w:rFonts w:ascii="Times New Roman" w:eastAsia="Times New Roman" w:hAnsi="Times New Roman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/>
      </w:r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/>
      </w:r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/>
      </w:rPr>
    </w:lvl>
  </w:abstractNum>
  <w:abstractNum w:abstractNumId="2">
    <w:nsid w:val="250604BC"/>
    <w:multiLevelType w:val="singleLevel"/>
    <w:tmpl w:val="041B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</w:abstractNum>
  <w:abstractNum w:abstractNumId="3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</w:rPr>
    </w:lvl>
  </w:abstractNum>
  <w:abstractNum w:abstractNumId="4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3"/>
    <w:lvlOverride w:ilvl="0">
      <w:startOverride w:val="1"/>
    </w:lvlOverride>
  </w:num>
  <w:num w:numId="5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F0D8F"/>
    <w:rsid w:val="00BF0D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nhideWhenUsed="0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" w:unhideWhenUsed="0"/>
    <w:lsdException w:name="Title" w:semiHidden="0" w:unhideWhenUsed="0" w:qFormat="1"/>
    <w:lsdException w:name="Default Paragraph Font" w:unhideWhenUsed="0"/>
    <w:lsdException w:name="Body Text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 Narrow" w:hAnsi="Arial Narrow" w:cs="Arial Narrow"/>
      <w:lang w:val="sk-SK" w:eastAsia="ar-SA"/>
    </w:rPr>
  </w:style>
  <w:style w:type="paragraph" w:styleId="Heading1">
    <w:name w:val="heading 1"/>
    <w:basedOn w:val="Normal"/>
    <w:next w:val="Normal"/>
    <w:link w:val="Heading1Char"/>
    <w:uiPriority w:val="99"/>
    <w:qFormat/>
    <w:pPr>
      <w:keepNext/>
      <w:numPr>
        <w:numId w:val="1"/>
      </w:numPr>
      <w:spacing w:before="240" w:after="60"/>
      <w:outlineLvl w:val="0"/>
    </w:pPr>
    <w:rPr>
      <w:rFonts w:ascii="Cambria" w:hAnsi="Cambria" w:cs="Cambria"/>
      <w:b/>
      <w:bCs/>
      <w:kern w:val="1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pPr>
      <w:keepNext/>
      <w:numPr>
        <w:ilvl w:val="1"/>
        <w:numId w:val="1"/>
      </w:numPr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pPr>
      <w:keepNext/>
      <w:numPr>
        <w:ilvl w:val="3"/>
        <w:numId w:val="1"/>
      </w:numPr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pPr>
      <w:numPr>
        <w:ilvl w:val="6"/>
        <w:numId w:val="1"/>
      </w:num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pPr>
      <w:numPr>
        <w:ilvl w:val="8"/>
        <w:numId w:val="1"/>
      </w:numPr>
      <w:spacing w:before="240" w:after="60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Pr>
      <w:rFonts w:ascii="Cambria" w:hAnsi="Cambria" w:cs="Cambria"/>
      <w:b/>
      <w:bCs/>
      <w:kern w:val="32"/>
      <w:sz w:val="32"/>
      <w:szCs w:val="32"/>
      <w:lang w:val="sk-SK" w:eastAsia="ar-SA" w:bidi="ar-SA"/>
    </w:rPr>
  </w:style>
  <w:style w:type="character" w:customStyle="1" w:styleId="Heading2Char">
    <w:name w:val="Heading 2 Char"/>
    <w:basedOn w:val="DefaultParagraphFont"/>
    <w:link w:val="Heading2"/>
    <w:uiPriority w:val="99"/>
    <w:rPr>
      <w:rFonts w:ascii="Cambria" w:hAnsi="Cambria" w:cs="Cambria"/>
      <w:b/>
      <w:bCs/>
      <w:i/>
      <w:iCs/>
      <w:sz w:val="28"/>
      <w:szCs w:val="28"/>
      <w:lang w:val="sk-SK" w:eastAsia="ar-SA" w:bidi="ar-SA"/>
    </w:rPr>
  </w:style>
  <w:style w:type="character" w:customStyle="1" w:styleId="Heading3Char">
    <w:name w:val="Heading 3 Char"/>
    <w:basedOn w:val="DefaultParagraphFont"/>
    <w:link w:val="Heading3"/>
    <w:uiPriority w:val="99"/>
    <w:rPr>
      <w:rFonts w:ascii="Cambria" w:hAnsi="Cambria" w:cs="Cambria"/>
      <w:b/>
      <w:bCs/>
      <w:sz w:val="26"/>
      <w:szCs w:val="26"/>
      <w:lang w:val="sk-SK" w:eastAsia="ar-SA" w:bidi="ar-SA"/>
    </w:rPr>
  </w:style>
  <w:style w:type="character" w:customStyle="1" w:styleId="Heading4Char">
    <w:name w:val="Heading 4 Char"/>
    <w:basedOn w:val="DefaultParagraphFont"/>
    <w:link w:val="Heading4"/>
    <w:uiPriority w:val="99"/>
    <w:rPr>
      <w:rFonts w:ascii="Times New Roman" w:hAnsi="Times New Roman" w:cs="Times New Roman"/>
      <w:b/>
      <w:bCs/>
      <w:sz w:val="28"/>
      <w:szCs w:val="28"/>
      <w:lang w:val="sk-SK" w:eastAsia="ar-SA" w:bidi="ar-SA"/>
    </w:rPr>
  </w:style>
  <w:style w:type="character" w:customStyle="1" w:styleId="Heading5Char">
    <w:name w:val="Heading 5 Char"/>
    <w:basedOn w:val="DefaultParagraphFont"/>
    <w:link w:val="Heading5"/>
    <w:uiPriority w:val="99"/>
    <w:rPr>
      <w:rFonts w:ascii="Times New Roman" w:hAnsi="Times New Roman" w:cs="Times New Roman"/>
      <w:b/>
      <w:bCs/>
      <w:i/>
      <w:iCs/>
      <w:sz w:val="26"/>
      <w:szCs w:val="26"/>
      <w:lang w:val="sk-SK" w:eastAsia="ar-SA" w:bidi="ar-SA"/>
    </w:rPr>
  </w:style>
  <w:style w:type="character" w:customStyle="1" w:styleId="Heading6Char">
    <w:name w:val="Heading 6 Char"/>
    <w:basedOn w:val="DefaultParagraphFont"/>
    <w:link w:val="Heading6"/>
    <w:uiPriority w:val="99"/>
    <w:rPr>
      <w:rFonts w:ascii="Times New Roman" w:hAnsi="Times New Roman" w:cs="Times New Roman"/>
      <w:b/>
      <w:bCs/>
      <w:lang w:val="sk-SK" w:eastAsia="ar-SA" w:bidi="ar-SA"/>
    </w:rPr>
  </w:style>
  <w:style w:type="character" w:customStyle="1" w:styleId="Heading7Char">
    <w:name w:val="Heading 7 Char"/>
    <w:basedOn w:val="DefaultParagraphFont"/>
    <w:link w:val="Heading7"/>
    <w:uiPriority w:val="99"/>
    <w:rPr>
      <w:rFonts w:ascii="Times New Roman" w:hAnsi="Times New Roman" w:cs="Times New Roman"/>
      <w:sz w:val="24"/>
      <w:szCs w:val="24"/>
      <w:lang w:val="sk-SK" w:eastAsia="ar-SA" w:bidi="ar-SA"/>
    </w:rPr>
  </w:style>
  <w:style w:type="character" w:customStyle="1" w:styleId="Heading8Char">
    <w:name w:val="Heading 8 Char"/>
    <w:basedOn w:val="DefaultParagraphFont"/>
    <w:link w:val="Heading8"/>
    <w:uiPriority w:val="99"/>
    <w:rPr>
      <w:rFonts w:ascii="Times New Roman" w:hAnsi="Times New Roman" w:cs="Times New Roman"/>
      <w:i/>
      <w:iCs/>
      <w:sz w:val="24"/>
      <w:szCs w:val="24"/>
      <w:lang w:val="sk-SK" w:eastAsia="ar-SA" w:bidi="ar-SA"/>
    </w:rPr>
  </w:style>
  <w:style w:type="character" w:customStyle="1" w:styleId="Heading9Char">
    <w:name w:val="Heading 9 Char"/>
    <w:basedOn w:val="DefaultParagraphFont"/>
    <w:link w:val="Heading9"/>
    <w:uiPriority w:val="99"/>
    <w:rPr>
      <w:rFonts w:ascii="Cambria" w:hAnsi="Cambria" w:cs="Cambria"/>
      <w:lang w:val="sk-SK" w:eastAsia="ar-SA" w:bidi="ar-SA"/>
    </w:rPr>
  </w:style>
  <w:style w:type="character" w:customStyle="1" w:styleId="WW8Num1z0">
    <w:name w:val="WW8Num1z0"/>
    <w:uiPriority w:val="99"/>
    <w:rPr>
      <w:rFonts w:ascii="Symbol" w:hAnsi="Symbol" w:cs="Symbol"/>
    </w:rPr>
  </w:style>
  <w:style w:type="character" w:customStyle="1" w:styleId="WW8Num1z1">
    <w:name w:val="WW8Num1z1"/>
    <w:uiPriority w:val="99"/>
    <w:rPr>
      <w:rFonts w:ascii="Courier New" w:hAnsi="Courier New" w:cs="Courier New"/>
    </w:rPr>
  </w:style>
  <w:style w:type="character" w:customStyle="1" w:styleId="WW8Num1z2">
    <w:name w:val="WW8Num1z2"/>
    <w:uiPriority w:val="99"/>
    <w:rPr>
      <w:rFonts w:ascii="Wingdings" w:hAnsi="Wingdings" w:cs="Wingdings"/>
    </w:rPr>
  </w:style>
  <w:style w:type="character" w:customStyle="1" w:styleId="Predvolenpsmoodseku1">
    <w:name w:val="Predvolené písmo odseku1"/>
    <w:uiPriority w:val="99"/>
  </w:style>
  <w:style w:type="character" w:customStyle="1" w:styleId="CharChar18">
    <w:name w:val="Char Char18"/>
    <w:basedOn w:val="Predvolenpsmoodseku1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CharChar17">
    <w:name w:val="Char Char17"/>
    <w:basedOn w:val="Predvolenpsmoodseku1"/>
    <w:uiPriority w:val="99"/>
    <w:rPr>
      <w:rFonts w:ascii="Cambria" w:hAnsi="Cambria" w:cs="Cambria"/>
      <w:b/>
      <w:bCs/>
      <w:i/>
      <w:iCs/>
      <w:sz w:val="28"/>
      <w:szCs w:val="28"/>
    </w:rPr>
  </w:style>
  <w:style w:type="character" w:customStyle="1" w:styleId="CharChar16">
    <w:name w:val="Char Char16"/>
    <w:basedOn w:val="Predvolenpsmoodseku1"/>
    <w:uiPriority w:val="99"/>
    <w:rPr>
      <w:rFonts w:ascii="Cambria" w:hAnsi="Cambria" w:cs="Cambria"/>
      <w:b/>
      <w:bCs/>
      <w:sz w:val="26"/>
      <w:szCs w:val="26"/>
    </w:rPr>
  </w:style>
  <w:style w:type="character" w:customStyle="1" w:styleId="CharChar15">
    <w:name w:val="Char Char15"/>
    <w:basedOn w:val="Predvolenpsmoodseku1"/>
    <w:uiPriority w:val="99"/>
    <w:rPr>
      <w:rFonts w:ascii="Times New Roman" w:hAnsi="Times New Roman" w:cs="Times New Roman"/>
      <w:b/>
      <w:bCs/>
      <w:sz w:val="28"/>
      <w:szCs w:val="28"/>
    </w:rPr>
  </w:style>
  <w:style w:type="character" w:customStyle="1" w:styleId="CharChar14">
    <w:name w:val="Char Char14"/>
    <w:basedOn w:val="Predvolenpsmoodseku1"/>
    <w:uiPriority w:val="99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CharChar13">
    <w:name w:val="Char Char13"/>
    <w:basedOn w:val="Predvolenpsmoodseku1"/>
    <w:uiPriority w:val="99"/>
    <w:rPr>
      <w:rFonts w:ascii="Times New Roman" w:hAnsi="Times New Roman" w:cs="Times New Roman"/>
      <w:b/>
      <w:bCs/>
    </w:rPr>
  </w:style>
  <w:style w:type="character" w:customStyle="1" w:styleId="CharChar12">
    <w:name w:val="Char Char12"/>
    <w:basedOn w:val="Predvolenpsmoodseku1"/>
    <w:uiPriority w:val="99"/>
    <w:rPr>
      <w:rFonts w:ascii="Times New Roman" w:hAnsi="Times New Roman" w:cs="Times New Roman"/>
      <w:sz w:val="24"/>
      <w:szCs w:val="24"/>
    </w:rPr>
  </w:style>
  <w:style w:type="character" w:customStyle="1" w:styleId="CharChar11">
    <w:name w:val="Char Char11"/>
    <w:basedOn w:val="Predvolenpsmoodseku1"/>
    <w:uiPriority w:val="99"/>
    <w:rPr>
      <w:rFonts w:ascii="Times New Roman" w:hAnsi="Times New Roman" w:cs="Times New Roman"/>
      <w:i/>
      <w:iCs/>
      <w:sz w:val="24"/>
      <w:szCs w:val="24"/>
    </w:rPr>
  </w:style>
  <w:style w:type="character" w:customStyle="1" w:styleId="CharChar10">
    <w:name w:val="Char Char10"/>
    <w:basedOn w:val="Predvolenpsmoodseku1"/>
    <w:uiPriority w:val="99"/>
    <w:rPr>
      <w:rFonts w:ascii="Cambria" w:hAnsi="Cambria" w:cs="Cambria"/>
    </w:rPr>
  </w:style>
  <w:style w:type="character" w:customStyle="1" w:styleId="CharChar9">
    <w:name w:val="Char Char9"/>
    <w:basedOn w:val="Predvolenpsmoodseku1"/>
    <w:uiPriority w:val="99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CharChar8">
    <w:name w:val="Char Char8"/>
    <w:basedOn w:val="Predvolenpsmoodseku1"/>
    <w:uiPriority w:val="99"/>
    <w:rPr>
      <w:rFonts w:ascii="Cambria" w:hAnsi="Cambria" w:cs="Cambria"/>
      <w:sz w:val="24"/>
      <w:szCs w:val="24"/>
    </w:rPr>
  </w:style>
  <w:style w:type="character" w:styleId="Strong">
    <w:name w:val="Strong"/>
    <w:basedOn w:val="Predvolenpsmoodseku1"/>
    <w:uiPriority w:val="99"/>
    <w:qFormat/>
    <w:rPr>
      <w:rFonts w:ascii="Times New Roman" w:hAnsi="Times New Roman" w:cs="Times New Roman"/>
      <w:b/>
      <w:bCs/>
    </w:rPr>
  </w:style>
  <w:style w:type="character" w:styleId="Emphasis">
    <w:name w:val="Emphasis"/>
    <w:basedOn w:val="Predvolenpsmoodseku1"/>
    <w:uiPriority w:val="99"/>
    <w:qFormat/>
    <w:rPr>
      <w:rFonts w:ascii="Calibri" w:hAnsi="Calibri" w:cs="Calibri"/>
      <w:b/>
      <w:bCs/>
      <w:i/>
      <w:iCs/>
    </w:rPr>
  </w:style>
  <w:style w:type="character" w:customStyle="1" w:styleId="CharChar7">
    <w:name w:val="Char Char7"/>
    <w:basedOn w:val="Predvolenpsmoodseku1"/>
    <w:uiPriority w:val="99"/>
    <w:rPr>
      <w:rFonts w:ascii="Times New Roman" w:hAnsi="Times New Roman" w:cs="Times New Roman"/>
      <w:b/>
      <w:bCs/>
      <w:sz w:val="24"/>
      <w:szCs w:val="24"/>
      <w:lang w:val="sk-SK"/>
    </w:rPr>
  </w:style>
  <w:style w:type="character" w:customStyle="1" w:styleId="CharChar6">
    <w:name w:val="Char Char6"/>
    <w:basedOn w:val="Predvolenpsmoodseku1"/>
    <w:uiPriority w:val="99"/>
    <w:rPr>
      <w:rFonts w:ascii="Times New Roman" w:hAnsi="Times New Roman" w:cs="Times New Roman"/>
      <w:lang w:val="sk-SK"/>
    </w:rPr>
  </w:style>
  <w:style w:type="character" w:customStyle="1" w:styleId="Znakyprepoznmkupodiarou">
    <w:name w:val="Znaky pre poznámku pod čiarou"/>
    <w:basedOn w:val="Predvolenpsmoodseku1"/>
    <w:uiPriority w:val="99"/>
    <w:rPr>
      <w:rFonts w:ascii="Times New Roman" w:hAnsi="Times New Roman" w:cs="Times New Roman"/>
      <w:vertAlign w:val="superscript"/>
    </w:rPr>
  </w:style>
  <w:style w:type="character" w:customStyle="1" w:styleId="CharChar5">
    <w:name w:val="Char Char5"/>
    <w:basedOn w:val="Predvolenpsmoodseku1"/>
    <w:uiPriority w:val="99"/>
    <w:rPr>
      <w:rFonts w:ascii="Times New Roman" w:hAnsi="Times New Roman" w:cs="Times New Roman"/>
      <w:sz w:val="24"/>
      <w:szCs w:val="24"/>
      <w:lang w:val="sk-SK"/>
    </w:rPr>
  </w:style>
  <w:style w:type="character" w:customStyle="1" w:styleId="CharChar4">
    <w:name w:val="Char Char4"/>
    <w:basedOn w:val="Predvolenpsmoodseku1"/>
    <w:uiPriority w:val="99"/>
    <w:rPr>
      <w:rFonts w:ascii="Times New Roman" w:hAnsi="Times New Roman" w:cs="Times New Roman"/>
      <w:sz w:val="24"/>
      <w:szCs w:val="24"/>
      <w:lang w:val="sk-SK"/>
    </w:rPr>
  </w:style>
  <w:style w:type="character" w:customStyle="1" w:styleId="CharChar3">
    <w:name w:val="Char Char3"/>
    <w:basedOn w:val="Predvolenpsmoodseku1"/>
    <w:uiPriority w:val="99"/>
    <w:rPr>
      <w:rFonts w:ascii="Times New Roman" w:hAnsi="Times New Roman" w:cs="Times New Roman"/>
      <w:lang w:val="sk-SK"/>
    </w:rPr>
  </w:style>
  <w:style w:type="character" w:styleId="PageNumber">
    <w:name w:val="page number"/>
    <w:basedOn w:val="Predvolenpsmoodseku1"/>
    <w:uiPriority w:val="99"/>
    <w:rPr>
      <w:rFonts w:ascii="Times New Roman" w:hAnsi="Times New Roman" w:cs="Times New Roman"/>
    </w:rPr>
  </w:style>
  <w:style w:type="character" w:customStyle="1" w:styleId="CharChar2">
    <w:name w:val="Char Char2"/>
    <w:basedOn w:val="Predvolenpsmoodseku1"/>
    <w:uiPriority w:val="99"/>
    <w:rPr>
      <w:rFonts w:ascii="Times New Roman" w:hAnsi="Times New Roman" w:cs="Times New Roman"/>
      <w:sz w:val="24"/>
      <w:szCs w:val="24"/>
      <w:lang w:val="sk-SK"/>
    </w:rPr>
  </w:style>
  <w:style w:type="character" w:customStyle="1" w:styleId="CharChar1">
    <w:name w:val="Char Char1"/>
    <w:basedOn w:val="Predvolenpsmoodseku1"/>
    <w:uiPriority w:val="99"/>
    <w:rPr>
      <w:rFonts w:ascii="Tahoma" w:hAnsi="Tahoma" w:cs="Tahoma"/>
      <w:sz w:val="16"/>
      <w:szCs w:val="16"/>
      <w:lang w:val="sk-SK"/>
    </w:rPr>
  </w:style>
  <w:style w:type="character" w:customStyle="1" w:styleId="CharChar">
    <w:name w:val="Char Char"/>
    <w:basedOn w:val="Predvolenpsmoodseku1"/>
    <w:uiPriority w:val="99"/>
    <w:rPr>
      <w:rFonts w:ascii="Times New Roman" w:hAnsi="Times New Roman" w:cs="Times New Roman"/>
      <w:lang w:val="sk-SK"/>
    </w:rPr>
  </w:style>
  <w:style w:type="paragraph" w:customStyle="1" w:styleId="Nadpis">
    <w:name w:val="Nadpis"/>
    <w:basedOn w:val="Normal"/>
    <w:next w:val="BodyText"/>
    <w:uiPriority w:val="99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BodyText">
    <w:name w:val="Body Text"/>
    <w:basedOn w:val="Normal"/>
    <w:link w:val="BodyTextChar"/>
    <w:uiPriority w:val="99"/>
    <w:pPr>
      <w:jc w:val="both"/>
    </w:pPr>
    <w:rPr>
      <w:b/>
      <w:bCs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rPr>
      <w:rFonts w:ascii="Arial Narrow" w:hAnsi="Arial Narrow" w:cs="Arial Narrow"/>
      <w:lang w:val="sk-SK" w:eastAsia="ar-SA" w:bidi="ar-SA"/>
    </w:rPr>
  </w:style>
  <w:style w:type="paragraph" w:styleId="List">
    <w:name w:val="List"/>
    <w:basedOn w:val="BodyText"/>
    <w:uiPriority w:val="99"/>
    <w:rPr>
      <w:rFonts w:ascii="Tahoma" w:hAnsi="Tahoma" w:cs="Tahoma"/>
    </w:rPr>
  </w:style>
  <w:style w:type="paragraph" w:customStyle="1" w:styleId="Popisok">
    <w:name w:val="Popisok"/>
    <w:basedOn w:val="Normal"/>
    <w:uiPriority w:val="99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ormal"/>
    <w:uiPriority w:val="99"/>
    <w:pPr>
      <w:suppressLineNumbers/>
    </w:pPr>
  </w:style>
  <w:style w:type="paragraph" w:styleId="Title">
    <w:name w:val="Title"/>
    <w:basedOn w:val="Normal"/>
    <w:next w:val="Normal"/>
    <w:link w:val="TitleChar"/>
    <w:uiPriority w:val="99"/>
    <w:qFormat/>
    <w:pPr>
      <w:keepNext/>
      <w:spacing w:before="280" w:after="220"/>
      <w:jc w:val="center"/>
    </w:pPr>
    <w:rPr>
      <w:b/>
      <w:bCs/>
      <w:kern w:val="1"/>
    </w:rPr>
  </w:style>
  <w:style w:type="character" w:customStyle="1" w:styleId="TitleChar">
    <w:name w:val="Title Char"/>
    <w:basedOn w:val="DefaultParagraphFont"/>
    <w:link w:val="Title"/>
    <w:uiPriority w:val="99"/>
    <w:rPr>
      <w:rFonts w:ascii="Arial Narrow" w:hAnsi="Arial Narrow" w:cs="Arial Narrow"/>
      <w:b/>
      <w:bCs/>
      <w:kern w:val="1"/>
      <w:sz w:val="32"/>
      <w:szCs w:val="32"/>
      <w:lang w:eastAsia="ar-SA" w:bidi="ar-SA"/>
    </w:rPr>
  </w:style>
  <w:style w:type="paragraph" w:styleId="Subtitle">
    <w:name w:val="Subtitle"/>
    <w:basedOn w:val="Normal"/>
    <w:next w:val="Normal"/>
    <w:link w:val="SubtitleChar"/>
    <w:uiPriority w:val="99"/>
    <w:qFormat/>
    <w:pPr>
      <w:spacing w:after="60"/>
      <w:jc w:val="center"/>
    </w:pPr>
    <w:rPr>
      <w:rFonts w:ascii="Cambria" w:hAnsi="Cambria" w:cs="Cambria"/>
    </w:rPr>
  </w:style>
  <w:style w:type="character" w:customStyle="1" w:styleId="SubtitleChar">
    <w:name w:val="Subtitle Char"/>
    <w:basedOn w:val="DefaultParagraphFont"/>
    <w:link w:val="Subtitle"/>
    <w:uiPriority w:val="99"/>
    <w:rPr>
      <w:rFonts w:ascii="Cambria" w:hAnsi="Cambria" w:cs="Cambria"/>
      <w:sz w:val="24"/>
      <w:szCs w:val="24"/>
      <w:lang w:val="sk-SK" w:eastAsia="ar-SA" w:bidi="ar-SA"/>
    </w:rPr>
  </w:style>
  <w:style w:type="paragraph" w:customStyle="1" w:styleId="Hlavikaobsahu1">
    <w:name w:val="Hlavička obsahu1"/>
    <w:basedOn w:val="Heading1"/>
    <w:next w:val="Normal"/>
    <w:uiPriority w:val="99"/>
    <w:pPr>
      <w:numPr>
        <w:numId w:val="0"/>
      </w:numPr>
      <w:outlineLvl w:val="9"/>
    </w:pPr>
  </w:style>
  <w:style w:type="paragraph" w:customStyle="1" w:styleId="TopHeader">
    <w:name w:val="Top Header"/>
    <w:basedOn w:val="Normal"/>
    <w:uiPriority w:val="99"/>
    <w:pPr>
      <w:jc w:val="center"/>
    </w:pPr>
    <w:rPr>
      <w:b/>
      <w:bCs/>
    </w:rPr>
  </w:style>
  <w:style w:type="paragraph" w:styleId="FootnoteText">
    <w:name w:val="footnote text"/>
    <w:basedOn w:val="Normal"/>
    <w:link w:val="FootnoteTextChar"/>
    <w:uiPriority w:val="99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Pr>
      <w:rFonts w:ascii="Arial Narrow" w:hAnsi="Arial Narrow" w:cs="Arial Narrow"/>
      <w:sz w:val="20"/>
      <w:szCs w:val="20"/>
      <w:lang w:val="sk-SK" w:eastAsia="ar-SA" w:bidi="ar-SA"/>
    </w:rPr>
  </w:style>
  <w:style w:type="paragraph" w:customStyle="1" w:styleId="Zkladntext21">
    <w:name w:val="Základný text 21"/>
    <w:basedOn w:val="Normal"/>
    <w:uiPriority w:val="99"/>
    <w:pPr>
      <w:ind w:left="2124" w:hanging="2124"/>
      <w:jc w:val="both"/>
    </w:pPr>
    <w:rPr>
      <w:sz w:val="24"/>
      <w:szCs w:val="24"/>
    </w:rPr>
  </w:style>
  <w:style w:type="paragraph" w:customStyle="1" w:styleId="Zarkazkladnhotextu21">
    <w:name w:val="Zarážka základného textu 21"/>
    <w:basedOn w:val="Normal"/>
    <w:uiPriority w:val="99"/>
    <w:pPr>
      <w:ind w:firstLine="708"/>
      <w:jc w:val="both"/>
    </w:pPr>
    <w:rPr>
      <w:sz w:val="24"/>
      <w:szCs w:val="24"/>
    </w:rPr>
  </w:style>
  <w:style w:type="paragraph" w:styleId="Footer">
    <w:name w:val="footer"/>
    <w:basedOn w:val="Normal"/>
    <w:link w:val="FooterChar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FooterChar">
    <w:name w:val="Footer Char"/>
    <w:basedOn w:val="DefaultParagraphFont"/>
    <w:link w:val="Footer"/>
    <w:uiPriority w:val="99"/>
    <w:rPr>
      <w:rFonts w:ascii="Arial Narrow" w:hAnsi="Arial Narrow" w:cs="Arial Narrow"/>
      <w:lang w:val="sk-SK" w:eastAsia="ar-SA" w:bidi="ar-SA"/>
    </w:rPr>
  </w:style>
  <w:style w:type="paragraph" w:customStyle="1" w:styleId="Zarkazkladnhotextu31">
    <w:name w:val="Zarážka základného textu 31"/>
    <w:basedOn w:val="Normal"/>
    <w:uiPriority w:val="99"/>
    <w:pPr>
      <w:ind w:left="708" w:firstLine="708"/>
      <w:jc w:val="both"/>
    </w:pPr>
    <w:rPr>
      <w:sz w:val="24"/>
      <w:szCs w:val="24"/>
    </w:rPr>
  </w:style>
  <w:style w:type="paragraph" w:styleId="BalloonText">
    <w:name w:val="Balloon Text"/>
    <w:basedOn w:val="Normal"/>
    <w:link w:val="BalloonTextChar"/>
    <w:uiPriority w:val="9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rPr>
      <w:rFonts w:ascii="Times New Roman" w:hAnsi="Times New Roman" w:cs="Times New Roman"/>
      <w:sz w:val="2"/>
      <w:szCs w:val="2"/>
      <w:lang w:val="sk-SK" w:eastAsia="ar-SA" w:bidi="ar-SA"/>
    </w:rPr>
  </w:style>
  <w:style w:type="paragraph" w:styleId="Header">
    <w:name w:val="header"/>
    <w:basedOn w:val="Normal"/>
    <w:link w:val="HeaderChar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HeaderChar">
    <w:name w:val="Header Char"/>
    <w:basedOn w:val="DefaultParagraphFont"/>
    <w:link w:val="Header"/>
    <w:uiPriority w:val="99"/>
    <w:rPr>
      <w:rFonts w:ascii="Arial Narrow" w:hAnsi="Arial Narrow" w:cs="Arial Narrow"/>
      <w:lang w:val="sk-SK" w:eastAsia="ar-SA" w:bidi="ar-SA"/>
    </w:rPr>
  </w:style>
  <w:style w:type="paragraph" w:customStyle="1" w:styleId="Obsahtabuky">
    <w:name w:val="Obsah tabuľky"/>
    <w:basedOn w:val="Normal"/>
    <w:uiPriority w:val="99"/>
    <w:pPr>
      <w:suppressLineNumbers/>
    </w:pPr>
  </w:style>
  <w:style w:type="paragraph" w:customStyle="1" w:styleId="Nadpistabuky">
    <w:name w:val="Nadpis tabuľky"/>
    <w:basedOn w:val="Obsahtabuky"/>
    <w:uiPriority w:val="99"/>
    <w:pPr>
      <w:jc w:val="center"/>
    </w:pPr>
    <w:rPr>
      <w:b/>
      <w:bCs/>
    </w:rPr>
  </w:style>
  <w:style w:type="paragraph" w:customStyle="1" w:styleId="Obsahrmca">
    <w:name w:val="Obsah rámca"/>
    <w:basedOn w:val="BodyText"/>
    <w:uiPriority w:val="9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282</TotalTime>
  <Pages>7</Pages>
  <Words>1401</Words>
  <Characters>7990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 Virágova</cp:lastModifiedBy>
  <cp:revision>81</cp:revision>
  <cp:lastPrinted>2011-10-26T08:42:00Z</cp:lastPrinted>
  <dcterms:created xsi:type="dcterms:W3CDTF">2014-02-26T17:15:00Z</dcterms:created>
  <dcterms:modified xsi:type="dcterms:W3CDTF">2014-03-09T08:35:00Z</dcterms:modified>
</cp:coreProperties>
</file>