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3B3EA0">
        <w:t xml:space="preserve">PEGAMONT, s.r.o. </w:t>
      </w:r>
      <w:r>
        <w:t xml:space="preserve">(ďalej len Spoločnosť), bola založená </w:t>
      </w:r>
      <w:r w:rsidR="003B3EA0">
        <w:t>4.8.2011</w:t>
      </w:r>
      <w:r>
        <w:t xml:space="preserve"> a do obchodného registra bola zapísaná </w:t>
      </w:r>
      <w:r w:rsidR="003B3EA0">
        <w:t>19.8.2011</w:t>
      </w:r>
      <w:r>
        <w:t xml:space="preserve"> (Obchodný register Okresného súdu </w:t>
      </w:r>
      <w:r w:rsidR="003B3EA0">
        <w:t>Trenčín</w:t>
      </w:r>
      <w:r>
        <w:t xml:space="preserve">, oddiel </w:t>
      </w:r>
      <w:proofErr w:type="spellStart"/>
      <w:r w:rsidR="003B3EA0">
        <w:t>Sro</w:t>
      </w:r>
      <w:proofErr w:type="spellEnd"/>
      <w:r>
        <w:t xml:space="preserve">., vložka </w:t>
      </w:r>
      <w:r w:rsidR="003B3EA0">
        <w:t>24968/R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6A2992">
        <w:t>prípravné práce k realizácii stavby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6A2992">
        <w:t>inštalácia elektrických rozvodov a zariadení</w:t>
      </w:r>
      <w:r>
        <w:t>,</w:t>
      </w:r>
    </w:p>
    <w:p w:rsidR="004D3B4A" w:rsidRDefault="004D3B4A" w:rsidP="004D3B4A">
      <w:pPr>
        <w:pStyle w:val="Zkladntext"/>
      </w:pPr>
      <w:r>
        <w:t>– s tým súvisiace služby a nákup a predaj tovaru.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4D3B4A" w:rsidRDefault="006A2992" w:rsidP="004D3B4A">
      <w:pPr>
        <w:pStyle w:val="Zkladntext"/>
      </w:pPr>
      <w:r>
        <w:t>Spoločnosť v roku 201</w:t>
      </w:r>
      <w:r w:rsidR="00FD394A">
        <w:t>3</w:t>
      </w:r>
      <w:r>
        <w:t xml:space="preserve"> nemala žiadnych zamestnancov. </w:t>
      </w:r>
    </w:p>
    <w:p w:rsidR="006A2992" w:rsidRDefault="006A299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FD394A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FD394A">
        <w:t>3</w:t>
      </w:r>
      <w:r>
        <w:t xml:space="preserve"> do 31. decembra </w:t>
      </w:r>
      <w:r w:rsidR="00C4486C">
        <w:t>201</w:t>
      </w:r>
      <w:r w:rsidR="00FD394A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FD394A">
        <w:t>2</w:t>
      </w:r>
      <w:r>
        <w:t>, za predchádzajúce účtovné obdobie, bola schválená valným zhromaždením Spoločnosti</w:t>
      </w:r>
      <w:r w:rsidR="003D6D4D">
        <w:t xml:space="preserve"> </w:t>
      </w:r>
      <w:r w:rsidR="00FD394A">
        <w:t>11.6.2013</w:t>
      </w:r>
      <w:r>
        <w:t>.</w:t>
      </w:r>
    </w:p>
    <w:p w:rsidR="00AA76B8" w:rsidRDefault="00AA76B8" w:rsidP="004D3B4A">
      <w:pPr>
        <w:pStyle w:val="Zkladntext"/>
        <w:ind w:hanging="426"/>
      </w:pPr>
    </w:p>
    <w:p w:rsidR="00AA76B8" w:rsidRDefault="00AA76B8" w:rsidP="00AA76B8">
      <w:pPr>
        <w:pStyle w:val="Nadpis2"/>
      </w:pPr>
      <w:r w:rsidRPr="00FF5C1F">
        <w:t>Zverejnenie účtovnej závierky</w:t>
      </w:r>
    </w:p>
    <w:p w:rsidR="00AA76B8" w:rsidRDefault="00AA76B8" w:rsidP="00AA76B8">
      <w:pPr>
        <w:autoSpaceDE w:val="0"/>
        <w:autoSpaceDN w:val="0"/>
        <w:adjustRightInd w:val="0"/>
        <w:ind w:firstLine="360"/>
        <w:rPr>
          <w:rFonts w:ascii="TimesNewRoman" w:hAnsi="TimesNewRoman" w:cs="TimesNewRoman"/>
          <w:sz w:val="18"/>
          <w:szCs w:val="18"/>
        </w:rPr>
      </w:pPr>
      <w:r>
        <w:rPr>
          <w:rFonts w:ascii="TimesNewRoman" w:hAnsi="TimesNewRoman" w:cs="TimesNewRoman"/>
          <w:sz w:val="18"/>
          <w:szCs w:val="18"/>
        </w:rPr>
        <w:t>Účtovná závierka Spoločnosti k 31. decembru 2012 bola uložená do zbierky listín obchodného registra 14.6.2013.</w:t>
      </w:r>
    </w:p>
    <w:p w:rsidR="00AA76B8" w:rsidRDefault="00AA76B8" w:rsidP="00AA76B8">
      <w:pPr>
        <w:autoSpaceDE w:val="0"/>
        <w:autoSpaceDN w:val="0"/>
        <w:adjustRightInd w:val="0"/>
        <w:rPr>
          <w:rFonts w:ascii="TimesNewRoman" w:hAnsi="TimesNewRoman" w:cs="TimesNewRoman"/>
          <w:sz w:val="18"/>
          <w:szCs w:val="18"/>
        </w:rPr>
      </w:pPr>
    </w:p>
    <w:p w:rsidR="00AA76B8" w:rsidRPr="00AA76B8" w:rsidRDefault="00AA76B8" w:rsidP="00AA76B8">
      <w:pPr>
        <w:pStyle w:val="Nadpis2"/>
        <w:autoSpaceDE w:val="0"/>
        <w:autoSpaceDN w:val="0"/>
        <w:adjustRightInd w:val="0"/>
        <w:rPr>
          <w:rFonts w:ascii="TimesNewRoman" w:hAnsi="TimesNewRoman" w:cs="TimesNewRoman"/>
          <w:szCs w:val="18"/>
        </w:rPr>
      </w:pPr>
      <w:r w:rsidRPr="00AA76B8">
        <w:t xml:space="preserve">Schválenie </w:t>
      </w:r>
      <w:proofErr w:type="spellStart"/>
      <w:r w:rsidRPr="00AA76B8">
        <w:t>auditora</w:t>
      </w:r>
      <w:proofErr w:type="spellEnd"/>
    </w:p>
    <w:p w:rsidR="00AA76B8" w:rsidRPr="00FF5C1F" w:rsidRDefault="00AA76B8" w:rsidP="00AA76B8">
      <w:pPr>
        <w:autoSpaceDE w:val="0"/>
        <w:autoSpaceDN w:val="0"/>
        <w:adjustRightInd w:val="0"/>
        <w:ind w:firstLine="360"/>
        <w:rPr>
          <w:rFonts w:ascii="TimesNewRoman" w:hAnsi="TimesNewRoman" w:cs="TimesNewRoman"/>
          <w:sz w:val="18"/>
          <w:szCs w:val="18"/>
        </w:rPr>
      </w:pPr>
      <w:r>
        <w:rPr>
          <w:rFonts w:ascii="TimesNewRoman" w:hAnsi="TimesNewRoman" w:cs="TimesNewRoman"/>
          <w:sz w:val="18"/>
          <w:szCs w:val="18"/>
        </w:rPr>
        <w:t xml:space="preserve">Spoločnosť nemá povinnosť overovať účtovnú závierku </w:t>
      </w:r>
      <w:proofErr w:type="spellStart"/>
      <w:r>
        <w:rPr>
          <w:rFonts w:ascii="TimesNewRoman" w:hAnsi="TimesNewRoman" w:cs="TimesNewRoman"/>
          <w:sz w:val="18"/>
          <w:szCs w:val="18"/>
        </w:rPr>
        <w:t>auditorom</w:t>
      </w:r>
      <w:proofErr w:type="spellEnd"/>
      <w:r>
        <w:rPr>
          <w:rFonts w:ascii="TimesNewRoman" w:hAnsi="TimesNewRoman" w:cs="TimesNewRoman"/>
          <w:sz w:val="18"/>
          <w:szCs w:val="18"/>
        </w:rPr>
        <w:t>.</w:t>
      </w:r>
    </w:p>
    <w:p w:rsidR="00AA76B8" w:rsidRDefault="00AA76B8" w:rsidP="004D3B4A">
      <w:pPr>
        <w:pStyle w:val="Zkladntext"/>
        <w:ind w:hanging="426"/>
      </w:pP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>
        <w:t>Informácie o orgánoch účtovnej jednotky</w:t>
      </w:r>
      <w:bookmarkEnd w:id="2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6A2992">
        <w:t>Peter Gajdošík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r w:rsidR="006A2992">
        <w:t xml:space="preserve">Gabriela </w:t>
      </w:r>
      <w:proofErr w:type="spellStart"/>
      <w:r w:rsidR="006A2992">
        <w:t>Gajdošíková</w:t>
      </w:r>
      <w:proofErr w:type="spellEnd"/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3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3"/>
    </w:p>
    <w:p w:rsidR="004D3B4A" w:rsidRDefault="004D3B4A" w:rsidP="004D3B4A"/>
    <w:p w:rsidR="00D54563" w:rsidRDefault="00D54563" w:rsidP="00D54563">
      <w:pPr>
        <w:pStyle w:val="Zkladntext"/>
      </w:pPr>
      <w:r>
        <w:t xml:space="preserve">Štruktúra spoločníkov k 31. decembru </w:t>
      </w:r>
      <w:r w:rsidR="00C4486C">
        <w:t>201</w:t>
      </w:r>
      <w:r w:rsidR="00FD394A">
        <w:t>3</w:t>
      </w:r>
      <w:r w:rsidR="005C223F">
        <w:t xml:space="preserve"> </w:t>
      </w:r>
      <w:r>
        <w:t xml:space="preserve"> je takáto:</w:t>
      </w:r>
      <w:r w:rsidRPr="00A9048F">
        <w:t xml:space="preserve"> </w:t>
      </w:r>
    </w:p>
    <w:bookmarkStart w:id="4" w:name="_MON_1410865165"/>
    <w:bookmarkEnd w:id="4"/>
    <w:p w:rsidR="00D54563" w:rsidRDefault="006A2992" w:rsidP="004D3B4A">
      <w:pPr>
        <w:pStyle w:val="Zkladntext"/>
      </w:pPr>
      <w:r>
        <w:object w:dxaOrig="9111" w:dyaOrig="235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7.5pt;height:123pt" o:ole="" o:preferrelative="f">
            <v:imagedata r:id="rId8" o:title=""/>
            <o:lock v:ext="edit" aspectratio="f"/>
          </v:shape>
          <o:OLEObject Type="Embed" ProgID="Excel.Sheet.12" ShapeID="_x0000_i1025" DrawAspect="Content" ObjectID="_1457158347" r:id="rId9"/>
        </w:object>
      </w:r>
    </w:p>
    <w:p w:rsidR="008B79C6" w:rsidRDefault="008B79C6" w:rsidP="008B79C6">
      <w:pPr>
        <w:pStyle w:val="Nadpis1"/>
      </w:pPr>
      <w:r>
        <w:t>INFORMÁCIE O KONSOLIDOVANOM CELKU</w:t>
      </w:r>
    </w:p>
    <w:p w:rsidR="008B79C6" w:rsidRDefault="008B79C6" w:rsidP="008B79C6"/>
    <w:p w:rsidR="008B79C6" w:rsidRDefault="00292F40" w:rsidP="008B79C6">
      <w:r>
        <w:t>Spoločnosť sa nezahŕňa do konsolidovanej účtovnej závierky žiadnej spoločnosti.</w:t>
      </w:r>
    </w:p>
    <w:p w:rsidR="00292F40" w:rsidRPr="008B79C6" w:rsidRDefault="00292F40" w:rsidP="008B79C6"/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bookmarkStart w:id="5" w:name="_Toc530739900"/>
      <w:r w:rsidRPr="008A2A9F">
        <w:rPr>
          <w:b/>
          <w:bCs/>
        </w:rPr>
        <w:t>E. INFORMÁCIE O ÚČTOVNÝCH ZÁSADÁCH A ÚČTOVNÝCH METÓDACH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(a) Východiská pre zostavenie účtovnej závierky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Účtovná závierka bola zostavená za predpokladu, že Spoločnosť bude nepretržite pokračovať vo svojej činnosti (</w:t>
      </w:r>
      <w:proofErr w:type="spellStart"/>
      <w:r w:rsidRPr="008A2A9F">
        <w:rPr>
          <w:rFonts w:eastAsia="TimesNewRomanPSMT"/>
        </w:rPr>
        <w:t>going</w:t>
      </w:r>
      <w:proofErr w:type="spellEnd"/>
      <w:r>
        <w:rPr>
          <w:rFonts w:eastAsia="TimesNewRomanPSMT"/>
        </w:rPr>
        <w:t xml:space="preserve"> </w:t>
      </w:r>
      <w:proofErr w:type="spellStart"/>
      <w:r w:rsidRPr="008A2A9F">
        <w:rPr>
          <w:rFonts w:eastAsia="TimesNewRomanPSMT"/>
        </w:rPr>
        <w:t>concern</w:t>
      </w:r>
      <w:proofErr w:type="spellEnd"/>
      <w:r w:rsidRPr="008A2A9F">
        <w:rPr>
          <w:rFonts w:eastAsia="TimesNewRomanPSMT"/>
        </w:rPr>
        <w:t>).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Účtovné metódy a všeobecné účtovné zásady boli účtovnou jednotkou konzistentne aplikované.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lastRenderedPageBreak/>
        <w:t>V účtovnom období 2013 Spoločnosť nevykonala žiadne opravy významných chýb minulých účtovných období.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 xml:space="preserve"> (b) Dlhodobý nehmotný majetok a dlhodobý hmotný majetok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Dlhodobý majetok nakupovaný sa oceňuje obstarávacou cenou, ktorá zahŕňa cenu obstarania a náklady súvisiace s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obstaraním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(clo, prepravu, montáž, poistné a pod.).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Súčasťou obstarávacej ceny dlhodobého hmotného majetku nie sú úroky z cudzích zdrojov ani realizované kurzové rozdiely,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ktoré vznikli do momentu uvedenia dlhodobého majetku do používania.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Súčasťou obstarávacej ceny dlhodobého nehmotného majetku nie sú úroky z cudzích zdrojov, ktoré vznikli do momentu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zaradenia dlhodobého nehmotného majetku do používania.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Dlhodobý majetok vytvorený vlastnou činnosťou sa oceňuje vlastnými nákladmi. Vlastnými nákladmi sú všetky priame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náklady vynaložené na výrobu alebo inú činnosť a nepriame náklady, ktoré sa vzťahujú na výrobu alebo inú činnosť.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Náklady na výskum sa neaktivujú, účtujú sa do nákladov účtovného obdobia, v ktorom vznikli. Náklady na vývoj sa účtujú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do obdobia, v ktorom vznikli, ale tie náklady na vývoj, ktoré sa vzťahujú na jasne definovaný výrobok alebo proces,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pri ktorých je možné preukázať technickú realizovateľnosť a možnosť predaja a spoločnosť má dostatočné zdroje na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dokončenie projektu, jeho predaj alebo na vnútorné využitie jeho výsledkov, sa aktivujú, a to vo výške, ktorá je pravdepodobná,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že sa získa späť z budúcich ekonomických úžitkov.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Aktivované náklady na vývoj sa odpisujú počas maximálne 5 rokov, a to v tých účtovných obdobiach, v ktorých sa očakáva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predaj produktu alebo využívanie procesu. Ak sa zníži ich hodnota, odpisujú sa na sumu, ktorá je pravdepodobná,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že sa získa späť z budúcich ekonomických úžitkov.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Odpisy dlhodobého nehmotného majetku sú stanovené vychádzajúc z predpokladanej doby jeho používania a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predpokladaného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priebehu jeho opotrebenia. Odpisovať sa začína prvým dňom mesiaca uvedení dlhodobého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majetku do používania. Drobný dlhodobý nehmotný majetok, ktorého obstarávacia cena (resp. vlastné náklady) je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 xml:space="preserve">2 400 EUR a nižšia, sa odpisuje jednorazovo pri uvedení do používania. 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Odpisy dlhodobého hmotného majetku sú stanovené vychádzajúc z predpokladanej doby jeho používania a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predpokladaného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priebehu jeho opotrebenia. Odpisovať sa začína prvým dňom mesiaca uvedení dlhodobého majetku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do používania. Drobný dlhodobý hmotný majetok, ktorého obstarávacia cena (resp. vlastné náklady) je 1 700 EUR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 xml:space="preserve">a nižšia, sa odpisuje jednorazovo pri uvedení do používania. Pozemky sa neodpisujú. 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 xml:space="preserve"> (c) Cenné papiere a podiely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Cenné papiere a podiely (okrem cenných papierov na obchodovanie) sa oceňujú obstarávacími cenami vrátane nákladov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súvisiacich s obstaraním. Od obstarávacej ceny je odpočítané zníženie hodnoty cenných papierov a podielov.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Cenné papiere na obchodovanie sa pri ich obstaraní oceňujú reálnou hodnotou.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 xml:space="preserve"> (d) Zásoby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Zásoby sa oceňujú nižšou z nasledujúcich hodnôt: obstarávacou cenou (nakupované zásoby) alebo vlastnými nákladmi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(zásoby vytvorené vlastnou činnosťou) alebo čistou realizačnou hodnotou.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Obstarávacia cena zahŕňa cenu zásob a náklady súvisiace s obstaraním (clo, prepravu, poistné, provízie, skonto a pod.).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Úroky z cudzích zdrojov nie sú súčasťou obstarávacej ceny. Nakupované zásoby sa oceňujú váženým aritmetickým priemerom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 obstarávacích cien.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Vlastné náklady zahŕňajú priame náklady (priamy materiál, priame mzdy a ostatné priame náklady) a časť nepriamych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nákladov bezprostredne súvisiacich s vytvorením zásob vlastnou činnosťou (výrobná réžia). Výrobná réžia sa do vlastných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nákladov zahŕňa v závislosti od stupňa rozpracovanosti týchto zásob. Správna réžia a odbytové náklady nie sú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súčasťou vlastných nákladov. Súčasťou vlastných nákladov nie sú úroky z cudzích zdrojov.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Čistá realizačná hodnota je predpokladaná predajná cena znížená o predpokladané náklady na ich dokončenie a o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predpokladané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náklady súvisiace s ich predajom.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Zníženie hodnoty zásob sa zohľadňuje vytvorením opravnej položky.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(e) Zákazková výroba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 xml:space="preserve">Zákazková výroba sa vykazuje použitím metódy stupňa dokončenia zákazky (angl. </w:t>
      </w:r>
      <w:proofErr w:type="spellStart"/>
      <w:r w:rsidRPr="008A2A9F">
        <w:rPr>
          <w:rFonts w:eastAsia="TimesNewRomanPSMT"/>
        </w:rPr>
        <w:t>percentage-of-completion-method</w:t>
      </w:r>
      <w:proofErr w:type="spellEnd"/>
      <w:r w:rsidRPr="008A2A9F">
        <w:rPr>
          <w:rFonts w:eastAsia="TimesNewRomanPSMT"/>
        </w:rPr>
        <w:t>).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(f) Zákazková výstavba nehnuteľnosti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8A2A9F">
        <w:rPr>
          <w:b/>
          <w:bCs/>
          <w:i/>
          <w:iCs/>
        </w:rPr>
        <w:t>Zákazková výstavba nehnuteľnosti – priebežný transfer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Zákazková výstavba nehnuteľnosti určenej na predaj sa vykazuje podľa metódy stupňa dokončenia.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8A2A9F">
        <w:rPr>
          <w:b/>
          <w:bCs/>
          <w:i/>
          <w:iCs/>
        </w:rPr>
        <w:t>Zákazková výstavba nehnuteľnosti – ostatn</w:t>
      </w:r>
      <w:r w:rsidRPr="008A2A9F">
        <w:rPr>
          <w:rFonts w:eastAsia="TimesNewRomanPSMT"/>
        </w:rPr>
        <w:t xml:space="preserve">á </w:t>
      </w:r>
      <w:r w:rsidRPr="008A2A9F">
        <w:rPr>
          <w:b/>
          <w:bCs/>
          <w:i/>
          <w:iCs/>
        </w:rPr>
        <w:t>(nie priebežný transfer)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Zákazková výstavba nehnuteľnosti určenej na predaj – ostatná (nie priebežný transfer) sa vykazuje metódou tzv. nulového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zisku, t. j. zisk sa vykáže až pri predaji nehnuteľnosti.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(g) Pohľadávky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Pohľadávky pri ich vzniku sa oceňujú ich menovitou hodnotou; postúpené pohľadávky a pohľadávky nadobudnuté vkladom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do základného imania sa oceňujú obstarávacou cenou vrátane nákladov súvisiacich s obstaraním. Toto ocenenie sa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znižuje o pochybné a nevymožiteľné pohľadávky.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(h) Peňažné prostriedky a ceniny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Peňažné prostriedky a ceniny sa oceňujú ich menovitou hodnotou. Zníženie ich hodnoty sa vyjadruje opravnou položkou.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(i) Náklady budúcich období a príjmy budúcich období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lastRenderedPageBreak/>
        <w:t>Náklady budúcich období a príjmy budúcich období sa vykazujú vo výške, ktorá je potrebná na dodržanie zásady vecnej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 časovej súvislosti s účtovným obdobím.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(j) Rezervy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Rezervy sú záväzky s neurčitým časovým vymedzením alebo výškou; tvoria sa na krytie známych rizík alebo strát z podnikania.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Oceňujú sa v očakávanej výške záväzku.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(k) Záväzky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Záväzky pri ich vzniku sa oceňujú menovitou hodnotou. Záväzky pri ich prevzatí sa oceňujú obstarávacou cenou.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Ak sa pri inventarizácii zistí, že suma záväzkov je iná ako ich výška v účtovníctve, uvedú sa záväzky v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účtovníctve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 v účtovnej závierke v tomto zistenom ocenení.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(l) Odložené dane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Odložené dane (odložená daňová pohľadávka a odložený daňový záväzok) sa vzťahujú na: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a) dočasné rozdiely medzi účtovnou hodnotou majetku a účtovnou hodnotou záväzkov vykázanou v súvahe a ich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daňovou základňou,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b) možnosť umorovať daňovú stratu v budúcnosti, ktorou sa rozumie možnosť odpočítať daňovú stratu od základu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dane v budúcnosti,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c) možnosť previesť nevyužité daňové odpočty a iné daňové nároky do budúcich období.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(m) Výdavky budúcich období a výnosy budúcich období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Výdavky budúcich období a výnosy budúcich období sa vykazujú vo výške, ktorá je potrebná na dodržanie zásady vecnej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 časovej súvislosti s účtovným obdobím.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 xml:space="preserve"> (n) Emisné kvóty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Bezodplatne pripísaný proporčný podiel emisných kvót v ocenení reprodukčnou obstarávacou cenou sa účtuje v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prospech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výnosov budúcich období.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Zúčtovanie výnosov budúcich období sa uskutočňuje v časovej a vecnej súvislosti s použitím bezodplatne pripísaných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emisných kvót z dôvodu ich predaja alebo tvorby rezervy alebo splnenia povinnosti odovzdania emisných kvót.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Nakúpené emisné kvóty sa oceňujú obstarávacou cenou.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(o) Dotácie zo štátneho rozpočtu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O nároku na dotácie zo štátneho rozpočtu sa účtuje, ak je takmer isté, že sa splnia všetky podmienky súvisiace s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dotáciou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 súčasne, že sa dotácia poskytne.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Dotácie na hospodársku činnosť Spoločnosti sa najskôr vykazujú ako výnosy budúcich období a do výkazu ziskov a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strát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sa rozpúšťajú ako výnosy z hospodárskej činnosti v časovej a vecnej súvislosti s vynaložením nákladov na príslušný účel.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Dotácie na obstaranie dlhodobého hmotného majetku a dlhodobého nehmotného majetku sa najskôr vykazujú ako výnosy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budúcich období a do výkazu ziskov a strát sa rozpúšťajú v časovej a vecnej súvislosti so zaúčtovaním odpisov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 tohto dlhodobého majetku.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(p) Prenájom (lízing)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Majetok prenajatý na základe operatívneho prenájmu vykazuje ako svoj majetok jeho vlastník, nie nájomca.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Finančný prenájom je obstaranie dlhodobého hmotného majetku na základe nájomnej zmluvy s dojednaným právom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kúpy prenajatej veci za dohodnuté platby počas dohodnutej doby nájmu. Majetok prenajatý formou finančného prenájmu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vykazuje ako svoj majetok a odpisuje ho jeho nájomca, nie vlastník.</w:t>
      </w:r>
    </w:p>
    <w:p w:rsidR="00292F40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Súčasťou dohodnutých platieb je aj kúpna cena, za ktorú na konci dohodnutej doby finančného prenájmu prechádza vlastnícke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právo k prenajatému majetku z prenajímateľa na nájomcu. Dohodnutá doba nájmu je najmenej 60 % doby odpisovania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podľa daňových predpisov, minimálne však 3 roky. Platba nájomného je alokovaná medzi splátku istiny a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finančné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 xml:space="preserve">náklady, vypočítané metódou efektívnej úrokovej miery. 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(q) Deriváty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Deriváty sa oceňujú reálnou hodnotou.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Zmeny reálnych hodnôt zabezpečovacích derivátov sa účtujú bez vplyvu na výsledok hospodárenia, priamo do vlastného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imania.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Zmeny reálnych hodnôt derivátov určených na obchodovanie na tuzemskej burze, zahraničnej burze alebo na inom verejnom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trhu sa účtujú s vplyvom na výsledok hospodárenia.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Zmeny reálnych hodnôt derivátov určených na obchodovanie na neverejnom trhu sa účtujú bez vplyvu na výsledok hospodárenia,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priamo do vlastného imania.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(r) Majetok a záväzky zabezpečené derivátmi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Majetok a záväzky zabezpečené derivátmi sa oceňujú reálnou hodnotou. Zmeny reálnych hodnôt majetku a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záväzkov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zabezpečených derivátmi sa účtujú bez vplyvu na výsledok hospodárenia, priamo do vlastného imania.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(s) Cudzia mena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Majetok a záväzky vyjadrené v cudzej mene sa ku dňu uskutočnenia účtovného prípadu prepočítavajú na menu euro referenčným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výmenným kurzom určeným a vyhláseným Európskou centrálnou bankou alebo Národnou bankou Slovenska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 deň predchádzajúci dňu uskutočnenia účtovného prípadu.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lastRenderedPageBreak/>
        <w:t>Na ocenenie prírastku cudzej meny nakúpenej za euro sa použije kurz, za ktorý bola táto cudzia mena nakúpená.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Na úbytok rovnakej cudzej meny v hotovosti alebo z devízového účtu sa na prepočet cudzej meny na eurá použije referenčný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výmenný kurz určený a vyhlásený Európskou centrálnou bankou alebo Národnou bankou Slovenska v deň predchádzajúci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dňu uskutočnenia účtovného prípadu.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Majetok a záväzky vyjadrené v cudzej mene (okrem prijatých a poskytnutých preddavkov) sa ku dňu, ku ktorému sa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zostavuje účtovná závierka, prepočítavajú na menu euro referenčným výmenným kurzom určeným a vyhláseným Európskou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centrálnou bankou alebo Národnou bankou Slovenska v deň, ku ktorému sa zostavuje účtovná závierka, a účtujú sa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 vplyvom na výsledok hospodárenia.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Prijaté a poskytnuté preddavky v cudzej mene prostredníctvom účtu vedeného v tejto cudzej mene sa prepočítavajú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na menu euro referenčným výmenným kurzom určeným a vyhláseným Európskou centrálnou bankou alebo Národnou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bankou Slovenska v deň predchádzajúci dňu uskutočnenia účtovného prípadu. Ku dňu, ku ktorému sa zostavuje účtovná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závierka, sa už neprepočítavajú.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Prijaté a poskytnuté preddavky v cudzej mene na účet zriadený v eurách a z účtu zriadeného v eurách sa prepočítavajú na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menu euro kurzom, za ktorý boli tieto hodnoty nakúpené alebo predané.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(t) Výnosy</w:t>
      </w:r>
    </w:p>
    <w:p w:rsidR="00292F40" w:rsidRPr="008A2A9F" w:rsidRDefault="00292F40" w:rsidP="00292F40">
      <w:pPr>
        <w:autoSpaceDE w:val="0"/>
        <w:autoSpaceDN w:val="0"/>
        <w:adjustRightInd w:val="0"/>
        <w:jc w:val="both"/>
      </w:pPr>
      <w:r w:rsidRPr="008A2A9F">
        <w:rPr>
          <w:rFonts w:eastAsia="TimesNewRomanPSMT"/>
        </w:rPr>
        <w:t>Tržby za vlastné výkony a tovar neobsahujú daň z pridanej hodnoty. Sú tiež znížené o zľavy a zrážky (rabaty, bonusy,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skontá, dobropisy a pod.), bez ohľadu na to, či zákazník mal vopred na zľavu nárok, alebo či ide o dodatočne uznanú</w:t>
      </w:r>
      <w:r>
        <w:rPr>
          <w:rFonts w:eastAsia="TimesNewRomanPSMT"/>
        </w:rPr>
        <w:t xml:space="preserve"> zľavu.</w:t>
      </w:r>
    </w:p>
    <w:p w:rsidR="00292F40" w:rsidRPr="00652A99" w:rsidRDefault="00292F40" w:rsidP="00292F40"/>
    <w:p w:rsidR="004D3B4A" w:rsidRDefault="004D3B4A" w:rsidP="004D44A2">
      <w:pPr>
        <w:pStyle w:val="Nadpis1"/>
        <w:numPr>
          <w:ilvl w:val="0"/>
          <w:numId w:val="8"/>
        </w:numPr>
        <w:spacing w:before="120" w:after="60"/>
      </w:pPr>
      <w:r>
        <w:t>informácie o údajoch na strane aktív súvahy</w:t>
      </w:r>
      <w:bookmarkEnd w:id="5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4D44A2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</w:pPr>
      <w:bookmarkStart w:id="6" w:name="_Toc530739901"/>
      <w:r>
        <w:t>Dlhodobý nehmotný majetok a dlhodobý hmotný majetok</w:t>
      </w:r>
      <w:bookmarkEnd w:id="6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>Prehľad o pohybe dl</w:t>
      </w:r>
      <w:r w:rsidR="00292F40">
        <w:t>hodobého hmotného majetku od 1.1.</w:t>
      </w:r>
      <w:r w:rsidR="00C4486C">
        <w:t>2012</w:t>
      </w:r>
      <w:r>
        <w:t xml:space="preserve"> do </w:t>
      </w:r>
      <w:r>
        <w:br/>
        <w:t>31.</w:t>
      </w:r>
      <w:r w:rsidR="00292F40">
        <w:t>12.</w:t>
      </w:r>
      <w:r w:rsidRPr="00C24B6B">
        <w:t xml:space="preserve"> </w:t>
      </w:r>
      <w:r w:rsidR="00C4486C">
        <w:t>2012</w:t>
      </w:r>
      <w:r w:rsidRPr="00C24B6B">
        <w:t xml:space="preserve"> a  je uvedený v</w:t>
      </w:r>
      <w:r w:rsidR="00B33A5B">
        <w:t> </w:t>
      </w:r>
      <w:r w:rsidRPr="00C24B6B">
        <w:t>tabuľk</w:t>
      </w:r>
      <w:r w:rsidR="00B33A5B">
        <w:t>e:</w:t>
      </w:r>
    </w:p>
    <w:bookmarkStart w:id="7" w:name="_MON_1425366777"/>
    <w:bookmarkEnd w:id="7"/>
    <w:p w:rsidR="00B33A5B" w:rsidRDefault="00B7772B" w:rsidP="004D3B4A">
      <w:pPr>
        <w:pStyle w:val="Zkladntext"/>
      </w:pPr>
      <w:r>
        <w:object w:dxaOrig="8517" w:dyaOrig="6013">
          <v:shape id="_x0000_i1026" type="#_x0000_t75" style="width:410.25pt;height:324pt" o:ole="" o:preferrelative="f">
            <v:imagedata r:id="rId10" o:title=""/>
            <o:lock v:ext="edit" aspectratio="f"/>
          </v:shape>
          <o:OLEObject Type="Embed" ProgID="Excel.Sheet.12" ShapeID="_x0000_i1026" DrawAspect="Content" ObjectID="_1457158348" r:id="rId11"/>
        </w:object>
      </w:r>
    </w:p>
    <w:p w:rsidR="00B33A5B" w:rsidRDefault="00B33A5B" w:rsidP="004D3B4A">
      <w:pPr>
        <w:pStyle w:val="Zkladntext"/>
      </w:pPr>
    </w:p>
    <w:p w:rsidR="00B33A5B" w:rsidRDefault="00B33A5B" w:rsidP="004D3B4A">
      <w:pPr>
        <w:pStyle w:val="Zkladntext"/>
      </w:pPr>
    </w:p>
    <w:p w:rsidR="00AB15C8" w:rsidRDefault="00AB15C8">
      <w:pPr>
        <w:ind w:left="425"/>
        <w:rPr>
          <w:sz w:val="18"/>
          <w:szCs w:val="18"/>
        </w:rPr>
      </w:pPr>
    </w:p>
    <w:p w:rsidR="00AB15C8" w:rsidRDefault="00AB15C8">
      <w:pPr>
        <w:ind w:left="425"/>
        <w:rPr>
          <w:sz w:val="18"/>
          <w:szCs w:val="18"/>
        </w:rPr>
      </w:pPr>
    </w:p>
    <w:p w:rsidR="00AB15C8" w:rsidRDefault="00AB15C8">
      <w:pPr>
        <w:ind w:left="425"/>
        <w:rPr>
          <w:sz w:val="18"/>
          <w:szCs w:val="18"/>
        </w:rPr>
      </w:pPr>
    </w:p>
    <w:p w:rsidR="00AB15C8" w:rsidRDefault="00AB15C8">
      <w:pPr>
        <w:ind w:left="425"/>
        <w:rPr>
          <w:sz w:val="18"/>
          <w:szCs w:val="18"/>
        </w:rPr>
      </w:pPr>
    </w:p>
    <w:p w:rsidR="00AB15C8" w:rsidRDefault="00AB15C8">
      <w:pPr>
        <w:ind w:left="425"/>
        <w:rPr>
          <w:sz w:val="18"/>
          <w:szCs w:val="18"/>
        </w:rPr>
      </w:pPr>
    </w:p>
    <w:p w:rsidR="00E34DCA" w:rsidRPr="00292F40" w:rsidRDefault="00292F40">
      <w:pPr>
        <w:ind w:left="425"/>
        <w:rPr>
          <w:sz w:val="18"/>
          <w:szCs w:val="18"/>
        </w:rPr>
      </w:pPr>
      <w:r w:rsidRPr="00292F40">
        <w:rPr>
          <w:sz w:val="18"/>
          <w:szCs w:val="18"/>
        </w:rPr>
        <w:lastRenderedPageBreak/>
        <w:t>Prehľad o pohybe dlhodobého hmotného majetku od 1.1.2013 do 31.12.2013 je uvedený v tabuľke:</w:t>
      </w:r>
    </w:p>
    <w:p w:rsidR="00424C79" w:rsidRDefault="00424C79">
      <w:pPr>
        <w:ind w:left="425"/>
      </w:pPr>
    </w:p>
    <w:bookmarkStart w:id="8" w:name="_MON_1456236885"/>
    <w:bookmarkEnd w:id="8"/>
    <w:p w:rsidR="00424C79" w:rsidRDefault="00B7772B">
      <w:pPr>
        <w:ind w:left="425"/>
      </w:pPr>
      <w:r>
        <w:object w:dxaOrig="8517" w:dyaOrig="6013">
          <v:shape id="_x0000_i1027" type="#_x0000_t75" style="width:410.25pt;height:324pt" o:ole="" o:preferrelative="f">
            <v:imagedata r:id="rId12" o:title=""/>
            <o:lock v:ext="edit" aspectratio="f"/>
          </v:shape>
          <o:OLEObject Type="Embed" ProgID="Excel.Sheet.12" ShapeID="_x0000_i1027" DrawAspect="Content" ObjectID="_1457158349" r:id="rId13"/>
        </w:object>
      </w: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424C79" w:rsidRDefault="00424C79">
      <w:pPr>
        <w:ind w:left="425"/>
      </w:pPr>
    </w:p>
    <w:p w:rsidR="00292F40" w:rsidRDefault="00292F40">
      <w:pPr>
        <w:ind w:left="425"/>
      </w:pPr>
    </w:p>
    <w:p w:rsidR="00292F40" w:rsidRDefault="00292F40">
      <w:pPr>
        <w:ind w:left="425"/>
      </w:pPr>
    </w:p>
    <w:p w:rsidR="00292F40" w:rsidRDefault="00292F40">
      <w:pPr>
        <w:ind w:left="425"/>
      </w:pPr>
    </w:p>
    <w:p w:rsidR="00292F40" w:rsidRDefault="00292F40">
      <w:pPr>
        <w:ind w:left="425"/>
      </w:pPr>
    </w:p>
    <w:p w:rsidR="00292F40" w:rsidRDefault="00292F40">
      <w:pPr>
        <w:ind w:left="425"/>
      </w:pPr>
    </w:p>
    <w:p w:rsidR="00292F40" w:rsidRDefault="00292F40">
      <w:pPr>
        <w:ind w:left="425"/>
      </w:pPr>
    </w:p>
    <w:p w:rsidR="00292F40" w:rsidRDefault="00292F40">
      <w:pPr>
        <w:ind w:left="425"/>
      </w:pPr>
    </w:p>
    <w:p w:rsidR="00292F40" w:rsidRDefault="00292F40">
      <w:pPr>
        <w:ind w:left="425"/>
      </w:pPr>
    </w:p>
    <w:p w:rsidR="00292F40" w:rsidRDefault="00292F40">
      <w:pPr>
        <w:ind w:left="425"/>
      </w:pPr>
    </w:p>
    <w:p w:rsidR="00292F40" w:rsidRDefault="00292F40">
      <w:pPr>
        <w:ind w:left="425"/>
      </w:pPr>
    </w:p>
    <w:p w:rsidR="005D2A89" w:rsidRDefault="00CA441D">
      <w:pPr>
        <w:pStyle w:val="Nadpis2"/>
        <w:numPr>
          <w:ilvl w:val="0"/>
          <w:numId w:val="2"/>
        </w:numPr>
      </w:pPr>
      <w:bookmarkStart w:id="9" w:name="_Toc530739904"/>
      <w:r>
        <w:lastRenderedPageBreak/>
        <w:t>Pohľadávky</w:t>
      </w:r>
      <w:bookmarkEnd w:id="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</w:t>
      </w:r>
      <w:r w:rsidR="00292F40">
        <w:t>predchádzajúce</w:t>
      </w:r>
      <w:r w:rsidR="00515879">
        <w:t xml:space="preserve">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bookmarkStart w:id="10" w:name="_MON_1405930710"/>
    <w:bookmarkEnd w:id="10"/>
    <w:p w:rsidR="00086A82" w:rsidRDefault="00E25E19" w:rsidP="00342E08">
      <w:pPr>
        <w:pStyle w:val="Zkladntext"/>
      </w:pPr>
      <w:r>
        <w:object w:dxaOrig="8833" w:dyaOrig="6071">
          <v:shape id="_x0000_i1034" type="#_x0000_t75" style="width:429.75pt;height:330.75pt" o:ole="" o:preferrelative="f">
            <v:imagedata r:id="rId14" o:title=""/>
            <o:lock v:ext="edit" aspectratio="f"/>
          </v:shape>
          <o:OLEObject Type="Embed" ProgID="Excel.Sheet.12" ShapeID="_x0000_i1034" DrawAspect="Content" ObjectID="_1457158350" r:id="rId15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 xml:space="preserve">Veková štruktúra pohľadávok za </w:t>
      </w:r>
      <w:r w:rsidR="00ED03B9">
        <w:t>bežné</w:t>
      </w:r>
      <w:r>
        <w:t xml:space="preserve">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11" w:name="_MON_1405930718"/>
    <w:bookmarkEnd w:id="11"/>
    <w:p w:rsidR="00342E08" w:rsidRDefault="006520A9" w:rsidP="00CA441D">
      <w:pPr>
        <w:pStyle w:val="Zkladntext"/>
      </w:pPr>
      <w:r>
        <w:object w:dxaOrig="8833" w:dyaOrig="6071">
          <v:shape id="_x0000_i1035" type="#_x0000_t75" style="width:431.25pt;height:331.5pt" o:ole="" o:preferrelative="f">
            <v:imagedata r:id="rId16" o:title=""/>
            <o:lock v:ext="edit" aspectratio="f"/>
          </v:shape>
          <o:OLEObject Type="Embed" ProgID="Excel.Sheet.12" ShapeID="_x0000_i1035" DrawAspect="Content" ObjectID="_1457158351" r:id="rId17"/>
        </w:object>
      </w:r>
    </w:p>
    <w:p w:rsidR="00367A6E" w:rsidRDefault="00A9048F" w:rsidP="00142DDE">
      <w:pPr>
        <w:pStyle w:val="Zkladntext"/>
      </w:pPr>
      <w:r w:rsidRPr="00A9048F">
        <w:t xml:space="preserve"> </w:t>
      </w:r>
    </w:p>
    <w:p w:rsidR="00B7772B" w:rsidRDefault="00B7772B">
      <w:pPr>
        <w:spacing w:after="200" w:line="276" w:lineRule="auto"/>
        <w:rPr>
          <w:rFonts w:eastAsia="TimesNewRomanPSMT"/>
          <w:sz w:val="18"/>
          <w:szCs w:val="18"/>
          <w:lang w:eastAsia="sk-SK"/>
        </w:rPr>
      </w:pPr>
      <w:r w:rsidRPr="00B7772B">
        <w:rPr>
          <w:rFonts w:eastAsia="TimesNewRomanPSMT"/>
          <w:sz w:val="18"/>
          <w:szCs w:val="18"/>
          <w:lang w:eastAsia="sk-SK"/>
        </w:rPr>
        <w:t>Vývoj opravnej položky v priebehu účtovného obdobia je zobrazený v nasledujúcom prehľade: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060"/>
        <w:gridCol w:w="1400"/>
        <w:gridCol w:w="1400"/>
        <w:gridCol w:w="1400"/>
        <w:gridCol w:w="1400"/>
        <w:gridCol w:w="1400"/>
      </w:tblGrid>
      <w:tr w:rsidR="00970AF6" w:rsidRPr="00970AF6" w:rsidTr="00970AF6">
        <w:trPr>
          <w:trHeight w:val="960"/>
        </w:trPr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0AF6" w:rsidRPr="00970AF6" w:rsidRDefault="00970AF6" w:rsidP="00970A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0AF6" w:rsidRPr="00970AF6" w:rsidRDefault="00970AF6" w:rsidP="00970A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Stav opravnej položky k 1.1.2013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0AF6" w:rsidRPr="00970AF6" w:rsidRDefault="00970AF6" w:rsidP="00970A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Tvorba opravnej položky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0AF6" w:rsidRPr="00970AF6" w:rsidRDefault="00970AF6" w:rsidP="00970A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 xml:space="preserve">Zúčtovanie opravnej položky z </w:t>
            </w:r>
            <w:proofErr w:type="spellStart"/>
            <w:r w:rsidRPr="00970AF6">
              <w:rPr>
                <w:color w:val="000000"/>
                <w:sz w:val="18"/>
                <w:szCs w:val="18"/>
                <w:lang w:eastAsia="sk-SK"/>
              </w:rPr>
              <w:t>dúvodu</w:t>
            </w:r>
            <w:proofErr w:type="spellEnd"/>
            <w:r w:rsidRPr="00970AF6">
              <w:rPr>
                <w:color w:val="000000"/>
                <w:sz w:val="18"/>
                <w:szCs w:val="18"/>
                <w:lang w:eastAsia="sk-SK"/>
              </w:rPr>
              <w:t xml:space="preserve"> zániku opodstatnenosti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0AF6" w:rsidRPr="00970AF6" w:rsidRDefault="00970AF6" w:rsidP="00970A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 xml:space="preserve">Zúčtovanie opravnej položky z </w:t>
            </w:r>
            <w:proofErr w:type="spellStart"/>
            <w:r w:rsidRPr="00970AF6">
              <w:rPr>
                <w:color w:val="000000"/>
                <w:sz w:val="18"/>
                <w:szCs w:val="18"/>
                <w:lang w:eastAsia="sk-SK"/>
              </w:rPr>
              <w:t>dúvodu</w:t>
            </w:r>
            <w:proofErr w:type="spellEnd"/>
            <w:r w:rsidRPr="00970AF6">
              <w:rPr>
                <w:color w:val="000000"/>
                <w:sz w:val="18"/>
                <w:szCs w:val="18"/>
                <w:lang w:eastAsia="sk-SK"/>
              </w:rPr>
              <w:t xml:space="preserve"> vyradenia majetku z účtovníctva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0AF6" w:rsidRPr="00970AF6" w:rsidRDefault="00970AF6" w:rsidP="00970A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Stav opravnej položky k 31.12.2013</w:t>
            </w:r>
          </w:p>
        </w:tc>
      </w:tr>
      <w:tr w:rsidR="00970AF6" w:rsidRPr="00970AF6" w:rsidTr="00970AF6">
        <w:trPr>
          <w:trHeight w:val="240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970AF6" w:rsidRPr="00970AF6" w:rsidTr="00970AF6">
        <w:trPr>
          <w:trHeight w:val="480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0AF6" w:rsidRPr="00970AF6" w:rsidRDefault="00970AF6" w:rsidP="00970A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5621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63579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69200</w:t>
            </w:r>
          </w:p>
        </w:tc>
      </w:tr>
      <w:tr w:rsidR="00970AF6" w:rsidRPr="00970AF6" w:rsidTr="00970AF6">
        <w:trPr>
          <w:trHeight w:val="960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0AF6" w:rsidRPr="00970AF6" w:rsidRDefault="00970AF6" w:rsidP="00970A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70AF6" w:rsidRPr="00970AF6" w:rsidTr="00970AF6">
        <w:trPr>
          <w:trHeight w:val="720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0AF6" w:rsidRPr="00970AF6" w:rsidRDefault="00970AF6" w:rsidP="00970A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 xml:space="preserve">Ostatné pohľadávky </w:t>
            </w:r>
            <w:proofErr w:type="spellStart"/>
            <w:r w:rsidRPr="00970AF6">
              <w:rPr>
                <w:color w:val="000000"/>
                <w:sz w:val="18"/>
                <w:szCs w:val="18"/>
                <w:lang w:eastAsia="sk-SK"/>
              </w:rPr>
              <w:t>vrámci</w:t>
            </w:r>
            <w:proofErr w:type="spellEnd"/>
            <w:r w:rsidRPr="00970AF6">
              <w:rPr>
                <w:color w:val="000000"/>
                <w:sz w:val="18"/>
                <w:szCs w:val="18"/>
                <w:lang w:eastAsia="sk-SK"/>
              </w:rPr>
              <w:t xml:space="preserve"> konsolidovaného celku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70AF6" w:rsidRPr="00970AF6" w:rsidTr="00970AF6">
        <w:trPr>
          <w:trHeight w:val="720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0AF6" w:rsidRPr="00970AF6" w:rsidRDefault="00970AF6" w:rsidP="00970A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70AF6" w:rsidRPr="00970AF6" w:rsidTr="00970AF6">
        <w:trPr>
          <w:trHeight w:val="240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0AF6" w:rsidRPr="00970AF6" w:rsidRDefault="00970AF6" w:rsidP="00970AF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70AF6" w:rsidRPr="00970AF6" w:rsidTr="00970AF6">
        <w:trPr>
          <w:trHeight w:val="615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0AF6" w:rsidRPr="00970AF6" w:rsidRDefault="00970AF6" w:rsidP="00970AF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b/>
                <w:bCs/>
                <w:color w:val="000000"/>
                <w:sz w:val="18"/>
                <w:szCs w:val="18"/>
                <w:lang w:eastAsia="sk-SK"/>
              </w:rPr>
              <w:t>5621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b/>
                <w:bCs/>
                <w:color w:val="000000"/>
                <w:sz w:val="18"/>
                <w:szCs w:val="18"/>
                <w:lang w:eastAsia="sk-SK"/>
              </w:rPr>
              <w:t>63579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0AF6" w:rsidRPr="00970AF6" w:rsidRDefault="00970AF6" w:rsidP="00970AF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70AF6">
              <w:rPr>
                <w:b/>
                <w:bCs/>
                <w:color w:val="000000"/>
                <w:sz w:val="18"/>
                <w:szCs w:val="18"/>
                <w:lang w:eastAsia="sk-SK"/>
              </w:rPr>
              <w:t>69200</w:t>
            </w:r>
          </w:p>
        </w:tc>
      </w:tr>
    </w:tbl>
    <w:p w:rsidR="00761E3B" w:rsidRPr="00B7772B" w:rsidRDefault="000C17C3">
      <w:pPr>
        <w:spacing w:after="200" w:line="276" w:lineRule="auto"/>
        <w:rPr>
          <w:sz w:val="18"/>
          <w:szCs w:val="18"/>
        </w:rPr>
      </w:pPr>
      <w:r w:rsidRPr="00B7772B">
        <w:rPr>
          <w:sz w:val="18"/>
          <w:szCs w:val="18"/>
        </w:rPr>
        <w:br w:type="page"/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2" w:name="_Toc530739905"/>
      <w:r>
        <w:lastRenderedPageBreak/>
        <w:t>Finančné účty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Ako finančné účty sú vykázané peniaze v pokladnici, účty v bankách. Účtami v bankách môže Spoločnosť voľne disponovať.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3" w:name="_MON_1405930822"/>
    <w:bookmarkEnd w:id="13"/>
    <w:p w:rsidR="004262D7" w:rsidRDefault="00A15EA5" w:rsidP="00086A82">
      <w:pPr>
        <w:pStyle w:val="Zkladntext"/>
      </w:pPr>
      <w:r w:rsidRPr="00003C63">
        <w:object w:dxaOrig="8809" w:dyaOrig="1893">
          <v:shape id="_x0000_i1036" type="#_x0000_t75" style="width:430.5pt;height:102.75pt" o:ole="" o:preferrelative="f">
            <v:imagedata r:id="rId18" o:title=""/>
            <o:lock v:ext="edit" aspectratio="f"/>
          </v:shape>
          <o:OLEObject Type="Embed" ProgID="Excel.Sheet.12" ShapeID="_x0000_i1036" DrawAspect="Content" ObjectID="_1457158352" r:id="rId19"/>
        </w:object>
      </w: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4" w:name="_Toc530739906"/>
      <w:r>
        <w:t>Časové rozlíšenie</w:t>
      </w:r>
      <w:bookmarkEnd w:id="1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15" w:name="_MON_1405947617"/>
    <w:bookmarkEnd w:id="15"/>
    <w:p w:rsidR="00B12204" w:rsidRDefault="00ED03B9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795" w:dyaOrig="2095">
          <v:shape id="_x0000_i1028" type="#_x0000_t75" style="width:429.75pt;height:114.75pt" o:ole="" o:preferrelative="f">
            <v:imagedata r:id="rId20" o:title=""/>
            <o:lock v:ext="edit" aspectratio="f"/>
          </v:shape>
          <o:OLEObject Type="Embed" ProgID="Excel.Sheet.12" ShapeID="_x0000_i1028" DrawAspect="Content" ObjectID="_1457158353" r:id="rId21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D44A2">
      <w:pPr>
        <w:pStyle w:val="Nadpis2"/>
        <w:numPr>
          <w:ilvl w:val="0"/>
          <w:numId w:val="5"/>
        </w:numPr>
      </w:pPr>
      <w:bookmarkStart w:id="16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</w:t>
      </w:r>
      <w:r w:rsidR="00AB15C8">
        <w:t>J</w:t>
      </w:r>
      <w:r>
        <w:t>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7" w:name="_Toc530739909"/>
      <w:bookmarkEnd w:id="16"/>
      <w:r>
        <w:t>Záväzky</w:t>
      </w:r>
      <w:bookmarkEnd w:id="1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8" w:name="_MON_1405948528"/>
    <w:bookmarkEnd w:id="18"/>
    <w:p w:rsidR="002A7CDF" w:rsidRDefault="00A15EA5" w:rsidP="009D0700">
      <w:pPr>
        <w:ind w:left="426"/>
      </w:pPr>
      <w:r>
        <w:object w:dxaOrig="8728" w:dyaOrig="2844">
          <v:shape id="_x0000_i1037" type="#_x0000_t75" style="width:429pt;height:156pt" o:ole="" o:preferrelative="f">
            <v:imagedata r:id="rId22" o:title=""/>
            <o:lock v:ext="edit" aspectratio="f"/>
          </v:shape>
          <o:OLEObject Type="Embed" ProgID="Excel.Sheet.12" ShapeID="_x0000_i1037" DrawAspect="Content" ObjectID="_1457158354" r:id="rId23"/>
        </w:object>
      </w:r>
    </w:p>
    <w:p w:rsidR="00B62963" w:rsidRDefault="000C17C3">
      <w:pPr>
        <w:pStyle w:val="Nadpis2"/>
        <w:numPr>
          <w:ilvl w:val="0"/>
          <w:numId w:val="0"/>
        </w:numPr>
        <w:ind w:left="426"/>
      </w:pPr>
      <w:bookmarkStart w:id="19" w:name="_Toc530739910"/>
      <w:r w:rsidRPr="000C17C3">
        <w:t xml:space="preserve"> </w:t>
      </w:r>
      <w:bookmarkEnd w:id="19"/>
    </w:p>
    <w:p w:rsidR="00E231BA" w:rsidRDefault="009B60B7" w:rsidP="00E231BA">
      <w:pPr>
        <w:pStyle w:val="Nadpis2"/>
        <w:numPr>
          <w:ilvl w:val="0"/>
          <w:numId w:val="2"/>
        </w:numPr>
      </w:pPr>
      <w:bookmarkStart w:id="20" w:name="_Toc530739913"/>
      <w:r>
        <w:t>Č</w:t>
      </w:r>
      <w:r w:rsidR="00E231BA">
        <w:t>asové rozlíšenie</w:t>
      </w:r>
      <w:bookmarkEnd w:id="2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1" w:name="_MON_1405949598"/>
    <w:bookmarkEnd w:id="21"/>
    <w:p w:rsidR="00A25722" w:rsidRDefault="00CF4C36" w:rsidP="00A25722">
      <w:pPr>
        <w:pStyle w:val="Zkladntext"/>
      </w:pPr>
      <w:r>
        <w:object w:dxaOrig="8628" w:dyaOrig="2095">
          <v:shape id="_x0000_i1029" type="#_x0000_t75" style="width:429.75pt;height:116.25pt" o:ole="" o:preferrelative="f">
            <v:imagedata r:id="rId24" o:title=""/>
            <o:lock v:ext="edit" aspectratio="f"/>
          </v:shape>
          <o:OLEObject Type="Embed" ProgID="Excel.Sheet.12" ShapeID="_x0000_i1029" DrawAspect="Content" ObjectID="_1457158355" r:id="rId25"/>
        </w:object>
      </w:r>
      <w:r w:rsidR="00A9048F" w:rsidRPr="00A9048F">
        <w:t xml:space="preserve"> </w:t>
      </w:r>
    </w:p>
    <w:p w:rsidR="005F0A74" w:rsidRDefault="005F0A74" w:rsidP="00A25722">
      <w:pPr>
        <w:pStyle w:val="Zkladntext"/>
      </w:pPr>
    </w:p>
    <w:p w:rsidR="005F0A74" w:rsidRDefault="005F0A74" w:rsidP="005F0A74">
      <w:pPr>
        <w:pStyle w:val="Nadpis2"/>
      </w:pPr>
      <w:r>
        <w:t>Bankové úvery</w:t>
      </w:r>
    </w:p>
    <w:p w:rsidR="005F0A74" w:rsidRDefault="005F0A74" w:rsidP="005F0A74"/>
    <w:p w:rsidR="005F0A74" w:rsidRDefault="005F0A74" w:rsidP="005F0A74">
      <w:r>
        <w:t>Štruktúra bankových úverov je uvedená v nasledujúcom prehľade:</w:t>
      </w:r>
    </w:p>
    <w:p w:rsidR="00D91A67" w:rsidRDefault="00D91A67" w:rsidP="005F0A74"/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30"/>
        <w:gridCol w:w="550"/>
        <w:gridCol w:w="1500"/>
        <w:gridCol w:w="1320"/>
        <w:gridCol w:w="1240"/>
        <w:gridCol w:w="1080"/>
        <w:gridCol w:w="1240"/>
      </w:tblGrid>
      <w:tr w:rsidR="00D91A67" w:rsidRPr="00D91A67" w:rsidTr="00D91A67">
        <w:trPr>
          <w:trHeight w:val="720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91A67" w:rsidRPr="00D91A67" w:rsidRDefault="00D91A67" w:rsidP="00D91A67">
            <w:pPr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 xml:space="preserve">úrok </w:t>
            </w:r>
            <w:proofErr w:type="spellStart"/>
            <w:r w:rsidRPr="00D91A67">
              <w:rPr>
                <w:color w:val="000000"/>
                <w:sz w:val="18"/>
                <w:szCs w:val="18"/>
                <w:lang w:eastAsia="sk-SK"/>
              </w:rPr>
              <w:t>p.a</w:t>
            </w:r>
            <w:proofErr w:type="spellEnd"/>
            <w:r w:rsidRPr="00D91A67">
              <w:rPr>
                <w:color w:val="000000"/>
                <w:sz w:val="18"/>
                <w:szCs w:val="18"/>
                <w:lang w:eastAsia="sk-SK"/>
              </w:rPr>
              <w:t>. v %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suma istiny v príslušnej mene k 31.12.2013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suma istiny v eurách k 31.12.2013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suma istiny v príslušnej mene k 31.12.2012</w:t>
            </w:r>
          </w:p>
        </w:tc>
      </w:tr>
      <w:tr w:rsidR="00D91A67" w:rsidRPr="00D91A67" w:rsidTr="00D91A67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D91A67" w:rsidRPr="00D91A67" w:rsidTr="00D91A67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91A67" w:rsidRPr="00D91A67" w:rsidRDefault="00D91A67" w:rsidP="00D91A6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bankové úvery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91A67" w:rsidRPr="00D91A67" w:rsidTr="00D91A67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91A67" w:rsidRPr="00D91A67" w:rsidRDefault="00D91A67" w:rsidP="00D91A6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91A6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91A6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91A6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91A6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91A6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91A6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91A6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D91A67" w:rsidRPr="00D91A67" w:rsidTr="00D91A67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91A67" w:rsidRPr="00D91A67" w:rsidRDefault="00D91A67" w:rsidP="00D91A6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Krátkodobé bankové úvery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13096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13096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91A67" w:rsidRPr="00D91A67" w:rsidTr="00D91A67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91A67" w:rsidRPr="00D91A67" w:rsidRDefault="00D91A67" w:rsidP="00D91A67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D91A67">
              <w:rPr>
                <w:color w:val="000000"/>
                <w:sz w:val="18"/>
                <w:szCs w:val="18"/>
                <w:lang w:eastAsia="sk-SK"/>
              </w:rPr>
              <w:t>Kontokorent</w:t>
            </w:r>
            <w:proofErr w:type="spellEnd"/>
            <w:r w:rsidRPr="00D91A67">
              <w:rPr>
                <w:color w:val="000000"/>
                <w:sz w:val="18"/>
                <w:szCs w:val="18"/>
                <w:lang w:eastAsia="sk-SK"/>
              </w:rPr>
              <w:t xml:space="preserve"> ČSOB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12,7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748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748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91A67" w:rsidRPr="00D91A67" w:rsidTr="00D91A67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91A67" w:rsidRPr="00D91A67" w:rsidRDefault="00D91A67" w:rsidP="00D91A67">
            <w:pPr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úver ČSOB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1A67" w:rsidRPr="00D91A67" w:rsidRDefault="00D91A67" w:rsidP="00D91A67">
            <w:pPr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 xml:space="preserve">8,6% +1M </w:t>
            </w:r>
            <w:proofErr w:type="spellStart"/>
            <w:r w:rsidRPr="00D91A67">
              <w:rPr>
                <w:color w:val="000000"/>
                <w:sz w:val="18"/>
                <w:szCs w:val="18"/>
                <w:lang w:eastAsia="sk-SK"/>
              </w:rPr>
              <w:t>Euribor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22.12.2014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12348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12348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D91A67" w:rsidRDefault="00D91A67" w:rsidP="005F0A74"/>
    <w:p w:rsidR="007E293A" w:rsidRDefault="007E293A" w:rsidP="005F0A74"/>
    <w:p w:rsidR="00D91A67" w:rsidRDefault="00D91A67" w:rsidP="005F0A74"/>
    <w:p w:rsidR="007E293A" w:rsidRDefault="007E293A" w:rsidP="005F0A74">
      <w:r>
        <w:lastRenderedPageBreak/>
        <w:t>Ostatné úvery a pôžičky sú uvedené v nasledujúcom prehľade:</w:t>
      </w:r>
    </w:p>
    <w:p w:rsidR="00D91A67" w:rsidRDefault="00D91A67" w:rsidP="005F0A74"/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30"/>
        <w:gridCol w:w="550"/>
        <w:gridCol w:w="1500"/>
        <w:gridCol w:w="1320"/>
        <w:gridCol w:w="1240"/>
        <w:gridCol w:w="1080"/>
        <w:gridCol w:w="1240"/>
      </w:tblGrid>
      <w:tr w:rsidR="00D91A67" w:rsidRPr="00D91A67" w:rsidTr="00D91A67">
        <w:trPr>
          <w:trHeight w:val="720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91A67" w:rsidRPr="00D91A67" w:rsidRDefault="00D91A67" w:rsidP="00D91A67">
            <w:pPr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 xml:space="preserve">úrok </w:t>
            </w:r>
            <w:proofErr w:type="spellStart"/>
            <w:r w:rsidRPr="00D91A67">
              <w:rPr>
                <w:color w:val="000000"/>
                <w:sz w:val="18"/>
                <w:szCs w:val="18"/>
                <w:lang w:eastAsia="sk-SK"/>
              </w:rPr>
              <w:t>p.a</w:t>
            </w:r>
            <w:proofErr w:type="spellEnd"/>
            <w:r w:rsidRPr="00D91A67">
              <w:rPr>
                <w:color w:val="000000"/>
                <w:sz w:val="18"/>
                <w:szCs w:val="18"/>
                <w:lang w:eastAsia="sk-SK"/>
              </w:rPr>
              <w:t>. v %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suma istiny v príslušnej mene k 31.12.2013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suma istiny v eurách k 31.12.2013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suma istiny v príslušnej mene k 31.12.2012</w:t>
            </w:r>
          </w:p>
        </w:tc>
      </w:tr>
      <w:tr w:rsidR="00D91A67" w:rsidRPr="00D91A67" w:rsidTr="00D91A67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D91A67" w:rsidRPr="00D91A67" w:rsidTr="00D91A67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91A67" w:rsidRPr="00D91A67" w:rsidRDefault="00D91A67" w:rsidP="00D91A6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úvery a pôžičky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91A67" w:rsidRPr="00D91A67" w:rsidTr="00D91A67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91A67" w:rsidRPr="00D91A67" w:rsidRDefault="00D91A67" w:rsidP="00D91A67">
            <w:pPr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91A67" w:rsidRPr="00D91A67" w:rsidTr="00D91A67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91A67" w:rsidRPr="00D91A67" w:rsidRDefault="00D91A67" w:rsidP="00D91A6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Krátkodobé úvery a pôžičky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27493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27493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91A67" w:rsidRPr="00D91A67" w:rsidTr="00D91A67">
        <w:trPr>
          <w:trHeight w:val="495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91A67" w:rsidRPr="00D91A67" w:rsidRDefault="00D91A67" w:rsidP="00D91A67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D91A67">
              <w:rPr>
                <w:color w:val="000000"/>
                <w:sz w:val="18"/>
                <w:szCs w:val="18"/>
                <w:lang w:eastAsia="sk-SK"/>
              </w:rPr>
              <w:t>Autokredit</w:t>
            </w:r>
            <w:proofErr w:type="spellEnd"/>
            <w:r w:rsidRPr="00D91A67">
              <w:rPr>
                <w:color w:val="000000"/>
                <w:sz w:val="18"/>
                <w:szCs w:val="18"/>
                <w:lang w:eastAsia="sk-SK"/>
              </w:rPr>
              <w:t xml:space="preserve"> VOLKSWAGEN Finančné služby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4/2014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6890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6890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91A67" w:rsidRPr="00D91A67" w:rsidTr="00D91A67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91A67" w:rsidRPr="00D91A67" w:rsidRDefault="00D91A67" w:rsidP="00D91A67">
            <w:pPr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 xml:space="preserve">Úver </w:t>
            </w:r>
            <w:proofErr w:type="spellStart"/>
            <w:r w:rsidRPr="00D91A67">
              <w:rPr>
                <w:color w:val="000000"/>
                <w:sz w:val="18"/>
                <w:szCs w:val="18"/>
                <w:lang w:eastAsia="sk-SK"/>
              </w:rPr>
              <w:t>Unicredit</w:t>
            </w:r>
            <w:proofErr w:type="spellEnd"/>
            <w:r w:rsidRPr="00D91A67">
              <w:rPr>
                <w:color w:val="000000"/>
                <w:sz w:val="18"/>
                <w:szCs w:val="18"/>
                <w:lang w:eastAsia="sk-SK"/>
              </w:rPr>
              <w:t xml:space="preserve"> Leasing Slovakia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3/2014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20603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20603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A67" w:rsidRPr="00D91A67" w:rsidRDefault="00D91A67" w:rsidP="00D91A6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D91A67" w:rsidRDefault="00D91A67" w:rsidP="005F0A74"/>
    <w:p w:rsidR="00E231BA" w:rsidRDefault="00E231BA" w:rsidP="00D91A67">
      <w:pPr>
        <w:pStyle w:val="Nadpis1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2" w:name="_Toc530739914"/>
    </w:p>
    <w:p w:rsidR="00EF34AE" w:rsidRPr="00EF5A22" w:rsidRDefault="00EF34AE" w:rsidP="00C06DF1">
      <w:pPr>
        <w:pStyle w:val="Zkladntext"/>
        <w:rPr>
          <w:b/>
          <w:szCs w:val="18"/>
        </w:rPr>
      </w:pPr>
      <w:bookmarkStart w:id="23" w:name="_Toc530739916"/>
      <w:bookmarkEnd w:id="22"/>
    </w:p>
    <w:bookmarkEnd w:id="23"/>
    <w:p w:rsidR="005C50FC" w:rsidRDefault="005C50FC" w:rsidP="004D44A2">
      <w:pPr>
        <w:pStyle w:val="Nadpis2"/>
        <w:numPr>
          <w:ilvl w:val="0"/>
          <w:numId w:val="9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24" w:name="_MON_1405950002"/>
    <w:bookmarkEnd w:id="24"/>
    <w:p w:rsidR="00880FB2" w:rsidRDefault="00CF4C36" w:rsidP="0000290B">
      <w:pPr>
        <w:pStyle w:val="Zkladntext"/>
      </w:pPr>
      <w:r>
        <w:object w:dxaOrig="8503" w:dyaOrig="2368">
          <v:shape id="_x0000_i1030" type="#_x0000_t75" style="width:429pt;height:133.5pt" o:ole="" o:preferrelative="f">
            <v:imagedata r:id="rId26" o:title=""/>
            <o:lock v:ext="edit" aspectratio="f"/>
          </v:shape>
          <o:OLEObject Type="Embed" ProgID="Excel.Sheet.12" ShapeID="_x0000_i1030" DrawAspect="Content" ObjectID="_1457158356" r:id="rId27"/>
        </w:object>
      </w:r>
    </w:p>
    <w:p w:rsidR="0000290B" w:rsidRDefault="0000290B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4D44A2">
      <w:pPr>
        <w:pStyle w:val="Nadpis2"/>
        <w:numPr>
          <w:ilvl w:val="0"/>
          <w:numId w:val="7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5" w:name="_MON_1405950034"/>
    <w:bookmarkEnd w:id="25"/>
    <w:p w:rsidR="009458E0" w:rsidRDefault="003A0023" w:rsidP="0000290B">
      <w:pPr>
        <w:pStyle w:val="Zkladntext"/>
      </w:pPr>
      <w:r>
        <w:object w:dxaOrig="8589" w:dyaOrig="6446">
          <v:shape id="_x0000_i1038" type="#_x0000_t75" style="width:429.75pt;height:360.75pt" o:ole="" o:preferrelative="f">
            <v:imagedata r:id="rId28" o:title=""/>
            <o:lock v:ext="edit" aspectratio="f"/>
          </v:shape>
          <o:OLEObject Type="Embed" ProgID="Excel.Sheet.12" ShapeID="_x0000_i1038" DrawAspect="Content" ObjectID="_1457158357" r:id="rId29"/>
        </w:object>
      </w: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207462" w:rsidRDefault="0020746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6" w:name="_MON_1405950056"/>
    <w:bookmarkEnd w:id="26"/>
    <w:p w:rsidR="009226CD" w:rsidRDefault="009F709E" w:rsidP="0000290B">
      <w:pPr>
        <w:pStyle w:val="Zkladntext"/>
      </w:pPr>
      <w:r w:rsidRPr="00003C63">
        <w:object w:dxaOrig="8905" w:dyaOrig="3996">
          <v:shape id="_x0000_i1039" type="#_x0000_t75" style="width:430.5pt;height:215.25pt" o:ole="" o:preferrelative="f">
            <v:imagedata r:id="rId30" o:title=""/>
            <o:lock v:ext="edit" aspectratio="f"/>
          </v:shape>
          <o:OLEObject Type="Embed" ProgID="Excel.Sheet.12" ShapeID="_x0000_i1039" DrawAspect="Content" ObjectID="_1457158358" r:id="rId31"/>
        </w:object>
      </w:r>
    </w:p>
    <w:p w:rsidR="00C672BA" w:rsidRDefault="00C672BA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880FB2" w:rsidRDefault="00880FB2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07"/>
      <w:r>
        <w:lastRenderedPageBreak/>
        <w:t>Informácie o Vlastnom imaní</w:t>
      </w:r>
      <w:bookmarkEnd w:id="2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Prehľad o pohybe vlastného imania v priebehu </w:t>
      </w:r>
      <w:r w:rsidR="00ED1FEF">
        <w:t xml:space="preserve">predchádzajúceho </w:t>
      </w:r>
      <w:r>
        <w:t>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28" w:name="_MON_1405950579"/>
    <w:bookmarkEnd w:id="28"/>
    <w:p w:rsidR="00262CD4" w:rsidRDefault="00ED1FEF" w:rsidP="003E0FA2">
      <w:pPr>
        <w:pStyle w:val="Zkladntext"/>
      </w:pPr>
      <w:r>
        <w:object w:dxaOrig="9053" w:dyaOrig="6994">
          <v:shape id="_x0000_i1031" type="#_x0000_t75" style="width:429.75pt;height:371.25pt" o:ole="" o:preferrelative="f">
            <v:imagedata r:id="rId32" o:title=""/>
            <o:lock v:ext="edit" aspectratio="f"/>
          </v:shape>
          <o:OLEObject Type="Embed" ProgID="Excel.Sheet.12" ShapeID="_x0000_i1031" DrawAspect="Content" ObjectID="_1457158359" r:id="rId33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 xml:space="preserve">Prehľad o pohybe vlastného imania za </w:t>
      </w:r>
      <w:r w:rsidR="00ED1FEF">
        <w:t>bežné</w:t>
      </w:r>
      <w:r>
        <w:t xml:space="preserve">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29" w:name="_MON_1405950602"/>
    <w:bookmarkEnd w:id="29"/>
    <w:p w:rsidR="00627B6C" w:rsidRDefault="000A4E04" w:rsidP="003E0FA2">
      <w:pPr>
        <w:pStyle w:val="Zkladntext"/>
      </w:pPr>
      <w:r w:rsidRPr="001C0A6A">
        <w:object w:dxaOrig="8900" w:dyaOrig="7022">
          <v:shape id="_x0000_i1040" type="#_x0000_t75" style="width:429pt;height:378pt" o:ole="" o:preferrelative="f">
            <v:imagedata r:id="rId34" o:title=""/>
            <o:lock v:ext="edit" aspectratio="f"/>
          </v:shape>
          <o:OLEObject Type="Embed" ProgID="Excel.Sheet.12" ShapeID="_x0000_i1040" DrawAspect="Content" ObjectID="_1457158360" r:id="rId35"/>
        </w:object>
      </w:r>
    </w:p>
    <w:p w:rsidR="005A2556" w:rsidRDefault="005A2556">
      <w:pPr>
        <w:spacing w:after="200" w:line="276" w:lineRule="auto"/>
        <w:rPr>
          <w:i/>
          <w:sz w:val="18"/>
        </w:rPr>
      </w:pPr>
    </w:p>
    <w:p w:rsidR="003E0FA2" w:rsidRDefault="003E0FA2" w:rsidP="003E0FA2">
      <w:pPr>
        <w:pStyle w:val="Zkladntext"/>
      </w:pPr>
      <w:r>
        <w:t xml:space="preserve">Účtovný zisk za rok </w:t>
      </w:r>
      <w:r w:rsidR="00C4486C">
        <w:t>201</w:t>
      </w:r>
      <w:r w:rsidR="00FD544E">
        <w:t>2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30" w:name="_MON_1405948107"/>
    <w:bookmarkEnd w:id="30"/>
    <w:p w:rsidR="00ED1E98" w:rsidRDefault="00FD544E" w:rsidP="003E0FA2">
      <w:pPr>
        <w:pStyle w:val="Zkladntext"/>
      </w:pPr>
      <w:r>
        <w:object w:dxaOrig="8689" w:dyaOrig="711">
          <v:shape id="_x0000_i1032" type="#_x0000_t75" style="width:425.25pt;height:36pt" o:ole="" o:preferrelative="f">
            <v:imagedata r:id="rId36" o:title=""/>
          </v:shape>
          <o:OLEObject Type="Embed" ProgID="Excel.Sheet.12" ShapeID="_x0000_i1032" DrawAspect="Content" ObjectID="_1457158361" r:id="rId37"/>
        </w:object>
      </w:r>
    </w:p>
    <w:p w:rsidR="001A566C" w:rsidRDefault="001A566C" w:rsidP="003E0FA2">
      <w:pPr>
        <w:pStyle w:val="Zkladntext"/>
      </w:pPr>
    </w:p>
    <w:bookmarkStart w:id="31" w:name="_MON_1405948121"/>
    <w:bookmarkEnd w:id="31"/>
    <w:p w:rsidR="00627B6C" w:rsidRDefault="00FD544E" w:rsidP="003E0FA2">
      <w:pPr>
        <w:pStyle w:val="Zkladntext"/>
      </w:pPr>
      <w:r w:rsidRPr="001C0A6A">
        <w:object w:dxaOrig="8685" w:dyaOrig="2585">
          <v:shape id="_x0000_i1033" type="#_x0000_t75" style="width:429pt;height:142.5pt" o:ole="" o:preferrelative="f">
            <v:imagedata r:id="rId38" o:title=""/>
            <o:lock v:ext="edit" aspectratio="f"/>
          </v:shape>
          <o:OLEObject Type="Embed" ProgID="Excel.Sheet.12" ShapeID="_x0000_i1033" DrawAspect="Content" ObjectID="_1457158362" r:id="rId39"/>
        </w:object>
      </w:r>
    </w:p>
    <w:p w:rsidR="00627B6C" w:rsidRDefault="00627B6C" w:rsidP="003E0FA2">
      <w:pPr>
        <w:pStyle w:val="Zkladntext"/>
      </w:pPr>
    </w:p>
    <w:p w:rsidR="00416A0F" w:rsidRDefault="003E0FA2" w:rsidP="00586397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FD544E">
        <w:t>3</w:t>
      </w:r>
      <w:r>
        <w:t xml:space="preserve"> vo výške </w:t>
      </w:r>
      <w:r w:rsidR="00FD544E">
        <w:t>4</w:t>
      </w:r>
      <w:r w:rsidR="00310310">
        <w:t>4.903</w:t>
      </w:r>
      <w:r>
        <w:t xml:space="preserve"> EUR rozhodne valné zhromaždenie. </w:t>
      </w:r>
      <w:bookmarkStart w:id="32" w:name="_Toc530739926"/>
      <w:bookmarkEnd w:id="32"/>
    </w:p>
    <w:sectPr w:rsidR="00416A0F" w:rsidSect="00837B46">
      <w:headerReference w:type="default" r:id="rId40"/>
      <w:headerReference w:type="first" r:id="rId41"/>
      <w:footerReference w:type="first" r:id="rId42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15F7" w:rsidRDefault="002015F7" w:rsidP="00E95128">
      <w:r>
        <w:separator/>
      </w:r>
    </w:p>
  </w:endnote>
  <w:endnote w:type="continuationSeparator" w:id="0">
    <w:p w:rsidR="002015F7" w:rsidRDefault="002015F7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12" w:rsidRPr="00F70C00" w:rsidRDefault="00C1221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15F7" w:rsidRDefault="002015F7" w:rsidP="00E95128">
      <w:r>
        <w:separator/>
      </w:r>
    </w:p>
  </w:footnote>
  <w:footnote w:type="continuationSeparator" w:id="0">
    <w:p w:rsidR="002015F7" w:rsidRDefault="002015F7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12" w:rsidRPr="00E95128" w:rsidRDefault="00C12212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12" w:rsidRPr="00E95128" w:rsidRDefault="00C1221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0"/>
    <w:lvlOverride w:ilvl="0">
      <w:startOverride w:val="1"/>
    </w:lvlOverride>
  </w:num>
  <w:num w:numId="6">
    <w:abstractNumId w:val="0"/>
    <w:lvlOverride w:ilvl="0">
      <w:startOverride w:val="1"/>
    </w:lvlOverride>
  </w:num>
  <w:num w:numId="7">
    <w:abstractNumId w:val="0"/>
    <w:lvlOverride w:ilvl="0">
      <w:startOverride w:val="1"/>
    </w:lvlOverride>
  </w:num>
  <w:num w:numId="8">
    <w:abstractNumId w:val="1"/>
    <w:lvlOverride w:ilvl="0">
      <w:startOverride w:val="6"/>
    </w:lvlOverride>
  </w:num>
  <w:num w:numId="9">
    <w:abstractNumId w:val="0"/>
    <w:lvlOverride w:ilvl="0">
      <w:startOverride w:val="1"/>
    </w:lvlOverride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7885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2E"/>
    <w:rsid w:val="000517AC"/>
    <w:rsid w:val="00052495"/>
    <w:rsid w:val="00054859"/>
    <w:rsid w:val="000609A8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4E04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27A2"/>
    <w:rsid w:val="000F40C4"/>
    <w:rsid w:val="000F5666"/>
    <w:rsid w:val="000F66C2"/>
    <w:rsid w:val="00102C1A"/>
    <w:rsid w:val="00103B71"/>
    <w:rsid w:val="0011319F"/>
    <w:rsid w:val="001176F5"/>
    <w:rsid w:val="00117C0F"/>
    <w:rsid w:val="00120F3A"/>
    <w:rsid w:val="0012205A"/>
    <w:rsid w:val="001236BC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15F7"/>
    <w:rsid w:val="00207462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90A84"/>
    <w:rsid w:val="00292F40"/>
    <w:rsid w:val="00294BAE"/>
    <w:rsid w:val="002977CC"/>
    <w:rsid w:val="002A264B"/>
    <w:rsid w:val="002A7CDF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310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502B"/>
    <w:rsid w:val="00367A6E"/>
    <w:rsid w:val="00370F56"/>
    <w:rsid w:val="003846B1"/>
    <w:rsid w:val="003A0023"/>
    <w:rsid w:val="003A0F96"/>
    <w:rsid w:val="003A4862"/>
    <w:rsid w:val="003A5476"/>
    <w:rsid w:val="003A6371"/>
    <w:rsid w:val="003B03F8"/>
    <w:rsid w:val="003B2A5D"/>
    <w:rsid w:val="003B3EA0"/>
    <w:rsid w:val="003B591C"/>
    <w:rsid w:val="003C32E0"/>
    <w:rsid w:val="003C3FDF"/>
    <w:rsid w:val="003C6B7B"/>
    <w:rsid w:val="003D140B"/>
    <w:rsid w:val="003D5127"/>
    <w:rsid w:val="003D6D4D"/>
    <w:rsid w:val="003E0FA2"/>
    <w:rsid w:val="003E1D5F"/>
    <w:rsid w:val="003E25DD"/>
    <w:rsid w:val="003E4261"/>
    <w:rsid w:val="003E42FA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4C79"/>
    <w:rsid w:val="004262D7"/>
    <w:rsid w:val="00430148"/>
    <w:rsid w:val="004313A2"/>
    <w:rsid w:val="00431D2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7085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44A2"/>
    <w:rsid w:val="004E0168"/>
    <w:rsid w:val="004E0BAA"/>
    <w:rsid w:val="004E0C8C"/>
    <w:rsid w:val="004E7FC9"/>
    <w:rsid w:val="004F1F45"/>
    <w:rsid w:val="004F348C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7B88"/>
    <w:rsid w:val="00540718"/>
    <w:rsid w:val="00541789"/>
    <w:rsid w:val="00542006"/>
    <w:rsid w:val="0054259E"/>
    <w:rsid w:val="00545B77"/>
    <w:rsid w:val="00546BD3"/>
    <w:rsid w:val="0054786F"/>
    <w:rsid w:val="00553AFB"/>
    <w:rsid w:val="00555EAA"/>
    <w:rsid w:val="00564B72"/>
    <w:rsid w:val="00565ABC"/>
    <w:rsid w:val="00567765"/>
    <w:rsid w:val="0057382A"/>
    <w:rsid w:val="00574527"/>
    <w:rsid w:val="0057480F"/>
    <w:rsid w:val="0058479C"/>
    <w:rsid w:val="00586397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223F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A74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784"/>
    <w:rsid w:val="00632FB0"/>
    <w:rsid w:val="006339DC"/>
    <w:rsid w:val="00641554"/>
    <w:rsid w:val="00642387"/>
    <w:rsid w:val="0064520D"/>
    <w:rsid w:val="006510AA"/>
    <w:rsid w:val="00651689"/>
    <w:rsid w:val="006520A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2992"/>
    <w:rsid w:val="006A3C75"/>
    <w:rsid w:val="006A737C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74A7"/>
    <w:rsid w:val="006E7A01"/>
    <w:rsid w:val="006F056A"/>
    <w:rsid w:val="006F28DA"/>
    <w:rsid w:val="007019A7"/>
    <w:rsid w:val="00701F03"/>
    <w:rsid w:val="00702C07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DA2"/>
    <w:rsid w:val="0074573E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77719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B5F9E"/>
    <w:rsid w:val="007C00E6"/>
    <w:rsid w:val="007C2DED"/>
    <w:rsid w:val="007C3B50"/>
    <w:rsid w:val="007D3E38"/>
    <w:rsid w:val="007D6502"/>
    <w:rsid w:val="007E293A"/>
    <w:rsid w:val="007E47FA"/>
    <w:rsid w:val="007E4E9F"/>
    <w:rsid w:val="007F0C3F"/>
    <w:rsid w:val="007F4606"/>
    <w:rsid w:val="007F5610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41776"/>
    <w:rsid w:val="008433F4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0FB2"/>
    <w:rsid w:val="00887301"/>
    <w:rsid w:val="00887683"/>
    <w:rsid w:val="00887C84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B79C6"/>
    <w:rsid w:val="008D0944"/>
    <w:rsid w:val="008D2F11"/>
    <w:rsid w:val="008D48E9"/>
    <w:rsid w:val="008D4A2B"/>
    <w:rsid w:val="008D4EAD"/>
    <w:rsid w:val="008D7145"/>
    <w:rsid w:val="008D763E"/>
    <w:rsid w:val="008E04AE"/>
    <w:rsid w:val="008E3457"/>
    <w:rsid w:val="008E68A4"/>
    <w:rsid w:val="008F0030"/>
    <w:rsid w:val="008F49A3"/>
    <w:rsid w:val="008F637C"/>
    <w:rsid w:val="00900696"/>
    <w:rsid w:val="0090078A"/>
    <w:rsid w:val="00913B04"/>
    <w:rsid w:val="009145D4"/>
    <w:rsid w:val="00914A8E"/>
    <w:rsid w:val="00915C15"/>
    <w:rsid w:val="009226CD"/>
    <w:rsid w:val="0093452C"/>
    <w:rsid w:val="009441EB"/>
    <w:rsid w:val="00944984"/>
    <w:rsid w:val="009458E0"/>
    <w:rsid w:val="0095003F"/>
    <w:rsid w:val="00951A64"/>
    <w:rsid w:val="00954399"/>
    <w:rsid w:val="00970AF6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16EA"/>
    <w:rsid w:val="009E5E66"/>
    <w:rsid w:val="009F614A"/>
    <w:rsid w:val="009F6927"/>
    <w:rsid w:val="009F709E"/>
    <w:rsid w:val="00A02942"/>
    <w:rsid w:val="00A0389B"/>
    <w:rsid w:val="00A03AB0"/>
    <w:rsid w:val="00A05FBA"/>
    <w:rsid w:val="00A07873"/>
    <w:rsid w:val="00A13E99"/>
    <w:rsid w:val="00A15EA5"/>
    <w:rsid w:val="00A2012A"/>
    <w:rsid w:val="00A20D49"/>
    <w:rsid w:val="00A20DD0"/>
    <w:rsid w:val="00A21B29"/>
    <w:rsid w:val="00A25722"/>
    <w:rsid w:val="00A26359"/>
    <w:rsid w:val="00A26C17"/>
    <w:rsid w:val="00A31DFF"/>
    <w:rsid w:val="00A34390"/>
    <w:rsid w:val="00A41EC6"/>
    <w:rsid w:val="00A443B1"/>
    <w:rsid w:val="00A52311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A76B8"/>
    <w:rsid w:val="00AB15C8"/>
    <w:rsid w:val="00AB2D78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46E6"/>
    <w:rsid w:val="00B24BBD"/>
    <w:rsid w:val="00B33A5B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7772B"/>
    <w:rsid w:val="00B80383"/>
    <w:rsid w:val="00B825EB"/>
    <w:rsid w:val="00B84860"/>
    <w:rsid w:val="00B848A8"/>
    <w:rsid w:val="00B866AF"/>
    <w:rsid w:val="00B96BFB"/>
    <w:rsid w:val="00BA11AF"/>
    <w:rsid w:val="00BA3FB7"/>
    <w:rsid w:val="00BB0327"/>
    <w:rsid w:val="00BB218F"/>
    <w:rsid w:val="00BB2336"/>
    <w:rsid w:val="00BC09C5"/>
    <w:rsid w:val="00BC0C8D"/>
    <w:rsid w:val="00BC4AA7"/>
    <w:rsid w:val="00BC631F"/>
    <w:rsid w:val="00BE075E"/>
    <w:rsid w:val="00BF1727"/>
    <w:rsid w:val="00BF255E"/>
    <w:rsid w:val="00BF425D"/>
    <w:rsid w:val="00BF4BD8"/>
    <w:rsid w:val="00BF5CA9"/>
    <w:rsid w:val="00BF6AB6"/>
    <w:rsid w:val="00C0257D"/>
    <w:rsid w:val="00C02C96"/>
    <w:rsid w:val="00C03840"/>
    <w:rsid w:val="00C03B46"/>
    <w:rsid w:val="00C0443B"/>
    <w:rsid w:val="00C06DF1"/>
    <w:rsid w:val="00C12212"/>
    <w:rsid w:val="00C12F2A"/>
    <w:rsid w:val="00C13216"/>
    <w:rsid w:val="00C14982"/>
    <w:rsid w:val="00C22B63"/>
    <w:rsid w:val="00C22C68"/>
    <w:rsid w:val="00C235CB"/>
    <w:rsid w:val="00C24B6B"/>
    <w:rsid w:val="00C336A7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1FBA"/>
    <w:rsid w:val="00CC3798"/>
    <w:rsid w:val="00CC3F89"/>
    <w:rsid w:val="00CC4676"/>
    <w:rsid w:val="00CD0B6A"/>
    <w:rsid w:val="00CD3A8A"/>
    <w:rsid w:val="00CD4F6B"/>
    <w:rsid w:val="00CE44AF"/>
    <w:rsid w:val="00CE612B"/>
    <w:rsid w:val="00CF2329"/>
    <w:rsid w:val="00CF2FC7"/>
    <w:rsid w:val="00CF4C36"/>
    <w:rsid w:val="00CF7C4C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A67"/>
    <w:rsid w:val="00D91BEC"/>
    <w:rsid w:val="00D9319D"/>
    <w:rsid w:val="00D933FB"/>
    <w:rsid w:val="00DA1B0B"/>
    <w:rsid w:val="00DA2806"/>
    <w:rsid w:val="00DA69AE"/>
    <w:rsid w:val="00DA6F92"/>
    <w:rsid w:val="00DB1FDB"/>
    <w:rsid w:val="00DB4BB7"/>
    <w:rsid w:val="00DC2A64"/>
    <w:rsid w:val="00DC68C3"/>
    <w:rsid w:val="00DD23C0"/>
    <w:rsid w:val="00DD7E33"/>
    <w:rsid w:val="00DE16DE"/>
    <w:rsid w:val="00DE1D1A"/>
    <w:rsid w:val="00DE358C"/>
    <w:rsid w:val="00DE5898"/>
    <w:rsid w:val="00DE5F45"/>
    <w:rsid w:val="00E02FF0"/>
    <w:rsid w:val="00E10B8A"/>
    <w:rsid w:val="00E1390D"/>
    <w:rsid w:val="00E1728C"/>
    <w:rsid w:val="00E22AD2"/>
    <w:rsid w:val="00E231BA"/>
    <w:rsid w:val="00E23359"/>
    <w:rsid w:val="00E25E19"/>
    <w:rsid w:val="00E2794A"/>
    <w:rsid w:val="00E3006F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0FE"/>
    <w:rsid w:val="00E72295"/>
    <w:rsid w:val="00E72C65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03B9"/>
    <w:rsid w:val="00ED1E98"/>
    <w:rsid w:val="00ED1FEF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2788A"/>
    <w:rsid w:val="00F4385F"/>
    <w:rsid w:val="00F4619A"/>
    <w:rsid w:val="00F501FB"/>
    <w:rsid w:val="00F54864"/>
    <w:rsid w:val="00F60D47"/>
    <w:rsid w:val="00F709E2"/>
    <w:rsid w:val="00F70C00"/>
    <w:rsid w:val="00F70E82"/>
    <w:rsid w:val="00F71552"/>
    <w:rsid w:val="00F75DF5"/>
    <w:rsid w:val="00F77ADF"/>
    <w:rsid w:val="00F802C8"/>
    <w:rsid w:val="00F80FDC"/>
    <w:rsid w:val="00F82153"/>
    <w:rsid w:val="00F838BE"/>
    <w:rsid w:val="00F83A95"/>
    <w:rsid w:val="00F85872"/>
    <w:rsid w:val="00F865E8"/>
    <w:rsid w:val="00F91913"/>
    <w:rsid w:val="00F9359C"/>
    <w:rsid w:val="00F9506A"/>
    <w:rsid w:val="00FA01BC"/>
    <w:rsid w:val="00FA0894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394A"/>
    <w:rsid w:val="00FD44E7"/>
    <w:rsid w:val="00FD4736"/>
    <w:rsid w:val="00FD544E"/>
    <w:rsid w:val="00FE0172"/>
    <w:rsid w:val="00FE057E"/>
    <w:rsid w:val="00FE2CC6"/>
    <w:rsid w:val="00FE3AB4"/>
    <w:rsid w:val="00FF3376"/>
    <w:rsid w:val="00FF5D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88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b/>
      <w:bCs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1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0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2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6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55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1A9DCA-4BBE-4133-B6C5-A6F505B57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307</TotalTime>
  <Pages>14</Pages>
  <Words>2532</Words>
  <Characters>14439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Danka</cp:lastModifiedBy>
  <cp:revision>31</cp:revision>
  <cp:lastPrinted>2014-03-24T08:20:00Z</cp:lastPrinted>
  <dcterms:created xsi:type="dcterms:W3CDTF">2014-03-13T15:09:00Z</dcterms:created>
  <dcterms:modified xsi:type="dcterms:W3CDTF">2014-03-24T08:22:00Z</dcterms:modified>
</cp:coreProperties>
</file>