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810000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A. Informácie o obchodnej spoločnosti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1. Založenie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4C0CF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 xml:space="preserve">Obchodná spoločnosť MNH </w:t>
      </w:r>
      <w:r>
        <w:rPr>
          <w:rFonts w:ascii="Calibri" w:hAnsi="Calibri" w:cs="Calibri"/>
          <w:color w:val="4B4B4B"/>
          <w:sz w:val="24"/>
          <w:szCs w:val="24"/>
        </w:rPr>
        <w:tab/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 s. r. o., bola založená dňa</w:t>
      </w:r>
      <w:r>
        <w:rPr>
          <w:rFonts w:ascii="Calibri" w:hAnsi="Calibri" w:cs="Calibri"/>
          <w:color w:val="4B4B4B"/>
          <w:sz w:val="24"/>
          <w:szCs w:val="24"/>
        </w:rPr>
        <w:t xml:space="preserve"> 31.10.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 20</w:t>
      </w:r>
      <w:r>
        <w:rPr>
          <w:rFonts w:ascii="Calibri" w:hAnsi="Calibri" w:cs="Calibri"/>
          <w:color w:val="4B4B4B"/>
          <w:sz w:val="24"/>
          <w:szCs w:val="24"/>
        </w:rPr>
        <w:t>11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 a do Obchodného registra Okresného súdu Bratislava 1 v Bratislave,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oddiel S</w:t>
      </w:r>
      <w:r w:rsidR="004C0CF2">
        <w:rPr>
          <w:rFonts w:ascii="Calibri" w:hAnsi="Calibri" w:cs="Calibri"/>
          <w:color w:val="4B4B4B"/>
          <w:sz w:val="24"/>
          <w:szCs w:val="24"/>
        </w:rPr>
        <w:t xml:space="preserve">RO 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, vložka </w:t>
      </w:r>
      <w:r w:rsidR="004C0CF2">
        <w:rPr>
          <w:rFonts w:ascii="Calibri" w:hAnsi="Calibri" w:cs="Calibri"/>
          <w:color w:val="4B4B4B"/>
          <w:sz w:val="24"/>
          <w:szCs w:val="24"/>
        </w:rPr>
        <w:t xml:space="preserve"> 77809/B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, bola zapísaná dňa </w:t>
      </w:r>
      <w:r w:rsidR="004C0CF2">
        <w:rPr>
          <w:rFonts w:ascii="Calibri" w:hAnsi="Calibri" w:cs="Calibri"/>
          <w:color w:val="4B4B4B"/>
          <w:sz w:val="24"/>
          <w:szCs w:val="24"/>
        </w:rPr>
        <w:t>15.12.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 20</w:t>
      </w:r>
      <w:r w:rsidR="004C0CF2">
        <w:rPr>
          <w:rFonts w:ascii="Calibri" w:hAnsi="Calibri" w:cs="Calibri"/>
          <w:color w:val="4B4B4B"/>
          <w:sz w:val="24"/>
          <w:szCs w:val="24"/>
        </w:rPr>
        <w:t>11</w:t>
      </w:r>
      <w:r w:rsidRPr="00BF7CD2">
        <w:rPr>
          <w:rFonts w:ascii="Calibri" w:hAnsi="Calibri" w:cs="Calibri"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2. Hlavné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innosti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Medzi hlavné obchodné činnosti obchodnej spoločnosti patria: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AdobePiStd" w:hAnsi="AdobePiStd" w:cs="AdobePiStd"/>
          <w:color w:val="4B4B4B"/>
          <w:sz w:val="24"/>
          <w:szCs w:val="24"/>
        </w:rPr>
        <w:t xml:space="preserve">l </w:t>
      </w:r>
      <w:r w:rsidR="004C0CF2">
        <w:rPr>
          <w:rFonts w:ascii="Calibri" w:hAnsi="Calibri" w:cs="Calibri"/>
          <w:color w:val="4B4B4B"/>
          <w:sz w:val="24"/>
          <w:szCs w:val="24"/>
        </w:rPr>
        <w:t xml:space="preserve"> počítačové služby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AdobePiStd" w:hAnsi="AdobePiStd" w:cs="AdobePiStd"/>
          <w:color w:val="4B4B4B"/>
          <w:sz w:val="24"/>
          <w:szCs w:val="24"/>
        </w:rPr>
        <w:t xml:space="preserve">l </w:t>
      </w:r>
      <w:r w:rsidR="004C0CF2">
        <w:rPr>
          <w:rFonts w:ascii="Calibri" w:hAnsi="Calibri" w:cs="Calibri"/>
          <w:color w:val="4B4B4B"/>
          <w:sz w:val="24"/>
          <w:szCs w:val="24"/>
        </w:rPr>
        <w:t xml:space="preserve"> vykonávanie mimoškolskej činnosti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AdobePiStd" w:hAnsi="AdobePiStd" w:cs="AdobePiStd"/>
          <w:color w:val="4B4B4B"/>
          <w:sz w:val="24"/>
          <w:szCs w:val="24"/>
        </w:rPr>
        <w:t xml:space="preserve">l </w:t>
      </w:r>
      <w:r w:rsidR="004C0CF2">
        <w:rPr>
          <w:rFonts w:ascii="Calibri" w:hAnsi="Calibri" w:cs="Calibri"/>
          <w:color w:val="4B4B4B"/>
          <w:sz w:val="24"/>
          <w:szCs w:val="24"/>
        </w:rPr>
        <w:t>prevádzka malých plavidiel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3. Po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et zamestnancov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Informácie o počte zamestnancov obchodnej spoločnosti sú uvedené v nasledujúcej tabuľke:</w:t>
      </w:r>
    </w:p>
    <w:p w:rsidR="004C0CF2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>
        <w:rPr>
          <w:rFonts w:ascii="Calibri" w:hAnsi="Calibri" w:cs="Calibri"/>
          <w:b/>
          <w:bCs/>
          <w:color w:val="4B4B4B"/>
          <w:sz w:val="24"/>
          <w:szCs w:val="24"/>
        </w:rPr>
        <w:t>Tabuľka č. 1</w:t>
      </w:r>
    </w:p>
    <w:p w:rsidR="00061CCB" w:rsidRPr="00BF7CD2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075"/>
      </w:tblGrid>
      <w:tr w:rsidR="00893F97" w:rsidTr="00893F97">
        <w:trPr>
          <w:trHeight w:val="705"/>
        </w:trPr>
        <w:tc>
          <w:tcPr>
            <w:tcW w:w="9075" w:type="dxa"/>
          </w:tcPr>
          <w:p w:rsidR="00893F97" w:rsidRDefault="00F66439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>Zamestnanci k 31.12.2013</w:t>
            </w:r>
            <w:r w:rsidR="00893F97"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 xml:space="preserve">      </w:t>
            </w: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>0</w:t>
            </w: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</w:tc>
      </w:tr>
      <w:tr w:rsidR="00893F97" w:rsidTr="00C04396">
        <w:trPr>
          <w:trHeight w:val="524"/>
        </w:trPr>
        <w:tc>
          <w:tcPr>
            <w:tcW w:w="9075" w:type="dxa"/>
          </w:tcPr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</w:tc>
      </w:tr>
    </w:tbl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4. Neobmedzené ru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enie v inej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jednotke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Obchodná spoločnosť nie je neobmedzene ručiacim spoločníkom v žiadnej spoločnosti.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5. Právne dôvody na zostavenie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závierky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Účtovná závierka obchodnej spoločnosti zostavená k 31. decembru 2011 je zostavená ako riadna účtovná závierka podľa § 17 ods. 6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zákona č. 431/2002 Z. z. o účtovníctve v znení neskorších predpisov.</w:t>
      </w:r>
    </w:p>
    <w:p w:rsidR="00BF7CD2" w:rsidRDefault="00BF7CD2" w:rsidP="00893F9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6. Dátum schválenia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závierky za predchádzajúce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="00893F97">
        <w:rPr>
          <w:rFonts w:ascii="Calibri" w:hAnsi="Calibri" w:cs="Calibri"/>
          <w:b/>
          <w:bCs/>
          <w:color w:val="4B4B4B"/>
          <w:sz w:val="24"/>
          <w:szCs w:val="24"/>
        </w:rPr>
        <w:t>tovné obdo</w:t>
      </w:r>
      <w:r w:rsidR="00893F97">
        <w:rPr>
          <w:rFonts w:ascii="Calibri" w:hAnsi="Calibri" w:cs="Calibri"/>
          <w:color w:val="4B4B4B"/>
          <w:sz w:val="24"/>
          <w:szCs w:val="24"/>
        </w:rPr>
        <w:t>bie.</w:t>
      </w:r>
    </w:p>
    <w:p w:rsidR="00893F97" w:rsidRDefault="00893F97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B. Informácie o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lenoch štatutárnych, dozorných a iných orgánov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893F97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 xml:space="preserve">Konatelia: Ing.  Milan </w:t>
      </w:r>
      <w:proofErr w:type="spellStart"/>
      <w:r w:rsidR="00F66439">
        <w:rPr>
          <w:rFonts w:ascii="Calibri" w:hAnsi="Calibri" w:cs="Calibri"/>
          <w:color w:val="4B4B4B"/>
          <w:sz w:val="24"/>
          <w:szCs w:val="24"/>
        </w:rPr>
        <w:t>H</w:t>
      </w:r>
      <w:r>
        <w:rPr>
          <w:rFonts w:ascii="Calibri" w:hAnsi="Calibri" w:cs="Calibri"/>
          <w:color w:val="4B4B4B"/>
          <w:sz w:val="24"/>
          <w:szCs w:val="24"/>
        </w:rPr>
        <w:t>agan</w:t>
      </w:r>
      <w:proofErr w:type="spellEnd"/>
    </w:p>
    <w:p w:rsidR="00893F97" w:rsidRDefault="00893F97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C. Informácie o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níkoch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 xml:space="preserve">Štruktúra spoločníkov obchodnej </w:t>
      </w:r>
      <w:r w:rsidR="00F66439">
        <w:rPr>
          <w:rFonts w:ascii="Calibri" w:hAnsi="Calibri" w:cs="Calibri"/>
          <w:color w:val="4B4B4B"/>
          <w:sz w:val="24"/>
          <w:szCs w:val="24"/>
        </w:rPr>
        <w:t>spoločnosti k 31. 12. 2013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 je uvedená v nasledujúcom prehľade:</w:t>
      </w: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893F97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Tabu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ka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. 2 </w:t>
      </w:r>
    </w:p>
    <w:tbl>
      <w:tblPr>
        <w:tblW w:w="9495" w:type="dxa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495"/>
      </w:tblGrid>
      <w:tr w:rsidR="00C04396" w:rsidTr="00C04396">
        <w:trPr>
          <w:trHeight w:val="668"/>
        </w:trPr>
        <w:tc>
          <w:tcPr>
            <w:tcW w:w="9495" w:type="dxa"/>
          </w:tcPr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Spoločník                           dátum zmeny               výška podielu                   podiel na hlasovacích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                                                       Na ZI                                   právach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  <w:tr w:rsidR="00C04396" w:rsidTr="00C04396">
        <w:trPr>
          <w:trHeight w:val="796"/>
        </w:trPr>
        <w:tc>
          <w:tcPr>
            <w:tcW w:w="9495" w:type="dxa"/>
          </w:tcPr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Ing.</w:t>
            </w:r>
            <w:r w:rsidR="00F66439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Milan</w:t>
            </w:r>
            <w:r w:rsidR="00F66439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Hagan</w:t>
            </w:r>
            <w:proofErr w:type="spellEnd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15.12.2011        100%    5000 EUR                       100%               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</w:tbl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E. Informácie o použitých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tovných zásadách a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tovných metódach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Účtovná závierka bola zostavená za predpokladu nepretržitého trvania obchodnej spoločnosti (</w:t>
      </w:r>
      <w:proofErr w:type="spellStart"/>
      <w:r w:rsidRPr="00BF7CD2">
        <w:rPr>
          <w:rFonts w:ascii="Calibri" w:hAnsi="Calibri" w:cs="Calibri"/>
          <w:color w:val="4B4B4B"/>
          <w:sz w:val="24"/>
          <w:szCs w:val="24"/>
        </w:rPr>
        <w:t>goingconcern</w:t>
      </w:r>
      <w:proofErr w:type="spellEnd"/>
      <w:r w:rsidRPr="00BF7CD2">
        <w:rPr>
          <w:rFonts w:ascii="Calibri" w:hAnsi="Calibri" w:cs="Calibri"/>
          <w:color w:val="4B4B4B"/>
          <w:sz w:val="24"/>
          <w:szCs w:val="24"/>
        </w:rPr>
        <w:t>). Základné účtovné metódy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použité pri zostavovaní tejto individuálnej účtovnej závierky sú opísané nižšie. Tieto metódy sa uplatňujú konzistentne počas všetkých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účtovných období, ak nie je uvedené inak.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Návod na doplnenie informácií: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Dlhodobý nehmotný majetok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F7CD2">
        <w:rPr>
          <w:rFonts w:ascii="Times New Roman" w:hAnsi="Times New Roman" w:cs="Times New Roman"/>
          <w:color w:val="000000"/>
          <w:sz w:val="24"/>
          <w:szCs w:val="24"/>
        </w:rPr>
        <w:t>strana 3/5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1. Dlhodobý nehmotný majetok nakupovaný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obstarávacou cenou, ktorá zah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ŕň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cenu obstarania a náklady súvisiace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obstaraním (clo, prepravu, montáž, poistné a pod.). Sú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obstarávacej ceny dlhodobého nehmotného majetku sú úroky z úverov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súvisiacich s obstaraním majetku, ktoré vznikli do momentu zaradenia majetku do užívania.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2. Dlhodobý nehmotný majetok vytvorený vlastnou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vlastnými nákladmi. Vlastnými nákladmi sú všetky priame náklady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vynaložené na výrobu alebo inú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nepriame náklady, ktoré sa vz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ahujú na výrobu a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3. Náklady na výskum sa neaktivujú,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tujú sa do nákladov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tovného obdobia, v ktorom vznikli. Náklady na vývoj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tujú do obdobia,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-Italic" w:hAnsi="Calibri-Italic" w:cs="Calibri-Italic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v ktorom vznikli, ale tie náklady na vývoj, ktoré sa vz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ahujú na jasne definovaný výrobok alebo proces, pri ktorých je možné preukáza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technickú realizovate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možnos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predaja, spolo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má dostato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né zdroje na dokon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enie projektu, jeho predaj alebo vnútorné využitie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jeho výsledkov sa aktivujú, a to vo výške, ktorá je pravdepodobná, že sa získa spä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z budúcich ekonomických úžitkov.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4. Do obstarávaného dlhodobého nehmotného majetku sa aktivujú výdavky na vývoj na nový produkt „ABC“. Aktivované náklady na vývoj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odpisujú 5 rokov.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5. Odpisy dlhodobého nehmotného majetku sú stanovené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predpokladanej doby používania a predpokladaného priebehu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lastRenderedPageBreak/>
        <w:t>opotrebenia. Odpisova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ína v mesiaci zaradenia dlhodobo nehmotného majetku do používania. Nehmotný majetok, ktorého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obstarávacia cena je 2 400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 xml:space="preserve">€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(do 28. 2. 2009: 1 660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) a nižšia, s dobou použite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nosti dlhšou ako jeden rok,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tuje na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et 518 – Ostatné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služby. Dlhodobý nehmotný majetok, ktorý bol uvedený do používania najneskôr do 28. 2. 2009 v ocenení rovnom alebo nižšom ako 2 400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považuje za dlhodobý nehmotný majetok a pokra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sa v jeho odpisovaní.</w:t>
      </w:r>
    </w:p>
    <w:p w:rsid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Tabu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ka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="00061CCB">
        <w:rPr>
          <w:rFonts w:ascii="Calibri" w:hAnsi="Calibri" w:cs="Calibri"/>
          <w:b/>
          <w:bCs/>
          <w:color w:val="4B4B4B"/>
          <w:sz w:val="24"/>
          <w:szCs w:val="24"/>
        </w:rPr>
        <w:t>. 3</w:t>
      </w: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tbl>
      <w:tblPr>
        <w:tblW w:w="9705" w:type="dxa"/>
        <w:tblInd w:w="1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705"/>
      </w:tblGrid>
      <w:tr w:rsidR="00061CCB" w:rsidTr="00061CCB">
        <w:trPr>
          <w:trHeight w:val="858"/>
        </w:trPr>
        <w:tc>
          <w:tcPr>
            <w:tcW w:w="9705" w:type="dxa"/>
          </w:tcPr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            Predpokladaná doba používania                               metóda odpisovania</w:t>
            </w: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  <w:tr w:rsidR="00061CCB" w:rsidTr="00061CCB">
        <w:trPr>
          <w:trHeight w:val="885"/>
        </w:trPr>
        <w:tc>
          <w:tcPr>
            <w:tcW w:w="9705" w:type="dxa"/>
          </w:tcPr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Softwer</w:t>
            </w:r>
            <w:proofErr w:type="spellEnd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0</w:t>
            </w: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</w:tbl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31BA2" w:rsidRPr="00BF7CD2" w:rsidRDefault="00C31BA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Dlhodobý hmotný majetok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Predpokladaná doba používania Metóda odpisovania</w:t>
      </w:r>
    </w:p>
    <w:p w:rsidR="009D27A9" w:rsidRDefault="009D27A9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1. Dlhodobý hmotný majetok nakupovaný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obstarávacou cenou, ktorá zah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ŕň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cenu obstarania a náklady súvisiace s obstaraním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(clo, prepravu, montáž, poistné a pod.). Sú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obstarávacej ceny dlhodobého hmotného majetku sú úroky z úverov súvisiacich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obstaraním majetku, ktoré vznikli do momentu zaradenia majetku do užívania.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2. Do dlhodobého hmotného majetku patrí majetok, ku ktorému má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tovná jednotka vlastnícke právo.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Ď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alej do dlhodobého hmotného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majetku v roku 201</w:t>
      </w:r>
      <w:r w:rsidR="003B5E6B">
        <w:rPr>
          <w:rFonts w:ascii="Calibri" w:hAnsi="Calibri" w:cs="Calibri"/>
          <w:i/>
          <w:iCs/>
          <w:color w:val="4B4B4B"/>
          <w:sz w:val="24"/>
          <w:szCs w:val="24"/>
        </w:rPr>
        <w:t>3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 bol zaradený nehnute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ný majetok, ktorý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tovná jednotka užíva, ale vlastnícke právo nadobudne až povolením vkladu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do katastra nehnute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ností.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3. Odpisy dlhodobého hmotného majetku sú stanovené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predpokladanej doby jeho používania a predpokladaného priebehu jeho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opotrebovania. Odpisova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ne v mesiaci zaradenia dlhodobého hmotného majetku do používania. O dlhodobom hmotnom majetku,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ktorého obstarávacia cena je v ocenení rovnom alebo nižšom ako 1 700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 xml:space="preserve">€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(do 28. 2. 2009 : 996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) a zárove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ň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dobou použite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nosti dlhšou ako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jeden rok,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tuje ako o zásobách. Pozemky, umelecké diela a zbierky sa neodpisujú. Dlhodobý hmotný majetok vrátane technického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zhodnotenia, ktorý bol uvedený do používania do 28. 2. 2009 v ocenení rovnom alebo nižšom ako 1 700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, sa považuje za dlhodobý hmotný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majetok aj po tomto dátume a pokra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sa v jeho odpisovaní.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4. Alternatívne sa vypracuje tabu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ka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jednotlivého dlhodobého hmotného majetku so stanovenou metódou odpisovania a ro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lastRenderedPageBreak/>
        <w:t>odpisovou sadzbou.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5. Odhadovaná doba životnosti a odpisový plán sú prehodnotené na konci každého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tovného obdobia.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6. V prípade zníženia úžitkovej hodnoty dlhodobého majetku zisteného pri inventarizácii, pokia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ľ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 zistená úžitková hodnota dlhodobého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majetku výrazne nižšia ako jeho ocenenie v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tovníctve po odpo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ítaní oprávok, je k dlhodobému majetku vytvorená opravná položka na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úrove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ň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jeho zistenej úžitkovej hodnoty.</w:t>
      </w:r>
      <w:bookmarkStart w:id="0" w:name="_GoBack"/>
      <w:bookmarkEnd w:id="0"/>
    </w:p>
    <w:sectPr w:rsidR="00BF7CD2" w:rsidRPr="00BF7CD2" w:rsidSect="00D877FE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dobePiSt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F703A"/>
    <w:rsid w:val="00061CCB"/>
    <w:rsid w:val="00134524"/>
    <w:rsid w:val="003B5E6B"/>
    <w:rsid w:val="004C0CF2"/>
    <w:rsid w:val="005F703A"/>
    <w:rsid w:val="00890322"/>
    <w:rsid w:val="00893F97"/>
    <w:rsid w:val="009D27A9"/>
    <w:rsid w:val="00B77D15"/>
    <w:rsid w:val="00BF7CD2"/>
    <w:rsid w:val="00C04396"/>
    <w:rsid w:val="00C31BA2"/>
    <w:rsid w:val="00C438D5"/>
    <w:rsid w:val="00E032F3"/>
    <w:rsid w:val="00EA668A"/>
    <w:rsid w:val="00F66439"/>
    <w:rsid w:val="00F775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668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C0C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C0CF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917</Words>
  <Characters>5231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YNNA</dc:creator>
  <cp:keywords/>
  <dc:description/>
  <cp:lastModifiedBy>a</cp:lastModifiedBy>
  <cp:revision>4</cp:revision>
  <dcterms:created xsi:type="dcterms:W3CDTF">2013-03-22T21:00:00Z</dcterms:created>
  <dcterms:modified xsi:type="dcterms:W3CDTF">2014-03-25T20:46:00Z</dcterms:modified>
</cp:coreProperties>
</file>