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810000"/>
          <w:sz w:val="24"/>
          <w:szCs w:val="24"/>
        </w:rPr>
      </w:pP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Calibri" w:hAnsi="Calibri" w:cs="Calibri"/>
          <w:color w:val="4B4B4B"/>
          <w:sz w:val="24"/>
          <w:szCs w:val="24"/>
        </w:rPr>
        <w:t>A. Informácie o obchodnej spoločnosti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1. Založenie obchodnej spolo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nosti</w:t>
      </w:r>
    </w:p>
    <w:p w:rsidR="00BF7CD2" w:rsidRPr="00BF7CD2" w:rsidRDefault="004C0CF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>
        <w:rPr>
          <w:rFonts w:ascii="Calibri" w:hAnsi="Calibri" w:cs="Calibri"/>
          <w:color w:val="4B4B4B"/>
          <w:sz w:val="24"/>
          <w:szCs w:val="24"/>
        </w:rPr>
        <w:t xml:space="preserve">Obchodná spoločnosť MNH </w:t>
      </w:r>
      <w:r>
        <w:rPr>
          <w:rFonts w:ascii="Calibri" w:hAnsi="Calibri" w:cs="Calibri"/>
          <w:color w:val="4B4B4B"/>
          <w:sz w:val="24"/>
          <w:szCs w:val="24"/>
        </w:rPr>
        <w:tab/>
      </w:r>
      <w:r w:rsidR="00BF7CD2" w:rsidRPr="00BF7CD2">
        <w:rPr>
          <w:rFonts w:ascii="Calibri" w:hAnsi="Calibri" w:cs="Calibri"/>
          <w:color w:val="4B4B4B"/>
          <w:sz w:val="24"/>
          <w:szCs w:val="24"/>
        </w:rPr>
        <w:t xml:space="preserve"> s. r. o., bola založená dňa</w:t>
      </w:r>
      <w:r>
        <w:rPr>
          <w:rFonts w:ascii="Calibri" w:hAnsi="Calibri" w:cs="Calibri"/>
          <w:color w:val="4B4B4B"/>
          <w:sz w:val="24"/>
          <w:szCs w:val="24"/>
        </w:rPr>
        <w:t xml:space="preserve"> 31.10.</w:t>
      </w:r>
      <w:r w:rsidR="00BF7CD2" w:rsidRPr="00BF7CD2">
        <w:rPr>
          <w:rFonts w:ascii="Calibri" w:hAnsi="Calibri" w:cs="Calibri"/>
          <w:color w:val="4B4B4B"/>
          <w:sz w:val="24"/>
          <w:szCs w:val="24"/>
        </w:rPr>
        <w:t xml:space="preserve"> 20</w:t>
      </w:r>
      <w:r>
        <w:rPr>
          <w:rFonts w:ascii="Calibri" w:hAnsi="Calibri" w:cs="Calibri"/>
          <w:color w:val="4B4B4B"/>
          <w:sz w:val="24"/>
          <w:szCs w:val="24"/>
        </w:rPr>
        <w:t>11</w:t>
      </w:r>
      <w:r w:rsidR="00BF7CD2" w:rsidRPr="00BF7CD2">
        <w:rPr>
          <w:rFonts w:ascii="Calibri" w:hAnsi="Calibri" w:cs="Calibri"/>
          <w:color w:val="4B4B4B"/>
          <w:sz w:val="24"/>
          <w:szCs w:val="24"/>
        </w:rPr>
        <w:t xml:space="preserve"> a do Obchodného registra Okresného súdu Bratislava 1 v Bratislave,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Calibri" w:hAnsi="Calibri" w:cs="Calibri"/>
          <w:color w:val="4B4B4B"/>
          <w:sz w:val="24"/>
          <w:szCs w:val="24"/>
        </w:rPr>
        <w:t>oddiel S</w:t>
      </w:r>
      <w:r w:rsidR="004C0CF2">
        <w:rPr>
          <w:rFonts w:ascii="Calibri" w:hAnsi="Calibri" w:cs="Calibri"/>
          <w:color w:val="4B4B4B"/>
          <w:sz w:val="24"/>
          <w:szCs w:val="24"/>
        </w:rPr>
        <w:t xml:space="preserve">RO </w:t>
      </w:r>
      <w:r w:rsidRPr="00BF7CD2">
        <w:rPr>
          <w:rFonts w:ascii="Calibri" w:hAnsi="Calibri" w:cs="Calibri"/>
          <w:color w:val="4B4B4B"/>
          <w:sz w:val="24"/>
          <w:szCs w:val="24"/>
        </w:rPr>
        <w:t xml:space="preserve">, vložka </w:t>
      </w:r>
      <w:r w:rsidR="004C0CF2">
        <w:rPr>
          <w:rFonts w:ascii="Calibri" w:hAnsi="Calibri" w:cs="Calibri"/>
          <w:color w:val="4B4B4B"/>
          <w:sz w:val="24"/>
          <w:szCs w:val="24"/>
        </w:rPr>
        <w:t xml:space="preserve"> 77809/B</w:t>
      </w:r>
      <w:r w:rsidRPr="00BF7CD2">
        <w:rPr>
          <w:rFonts w:ascii="Calibri" w:hAnsi="Calibri" w:cs="Calibri"/>
          <w:color w:val="4B4B4B"/>
          <w:sz w:val="24"/>
          <w:szCs w:val="24"/>
        </w:rPr>
        <w:t xml:space="preserve">, bola zapísaná dňa </w:t>
      </w:r>
      <w:r w:rsidR="004C0CF2">
        <w:rPr>
          <w:rFonts w:ascii="Calibri" w:hAnsi="Calibri" w:cs="Calibri"/>
          <w:color w:val="4B4B4B"/>
          <w:sz w:val="24"/>
          <w:szCs w:val="24"/>
        </w:rPr>
        <w:t>15.12.</w:t>
      </w:r>
      <w:r w:rsidRPr="00BF7CD2">
        <w:rPr>
          <w:rFonts w:ascii="Calibri" w:hAnsi="Calibri" w:cs="Calibri"/>
          <w:color w:val="4B4B4B"/>
          <w:sz w:val="24"/>
          <w:szCs w:val="24"/>
        </w:rPr>
        <w:t xml:space="preserve"> 20</w:t>
      </w:r>
      <w:r w:rsidR="004C0CF2">
        <w:rPr>
          <w:rFonts w:ascii="Calibri" w:hAnsi="Calibri" w:cs="Calibri"/>
          <w:color w:val="4B4B4B"/>
          <w:sz w:val="24"/>
          <w:szCs w:val="24"/>
        </w:rPr>
        <w:t>11</w:t>
      </w:r>
      <w:r w:rsidRPr="00BF7CD2">
        <w:rPr>
          <w:rFonts w:ascii="Calibri" w:hAnsi="Calibri" w:cs="Calibri"/>
          <w:color w:val="4B4B4B"/>
          <w:sz w:val="24"/>
          <w:szCs w:val="24"/>
        </w:rPr>
        <w:t>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 xml:space="preserve">2. Hlavné 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innosti obchodnej spolo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nosti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Calibri" w:hAnsi="Calibri" w:cs="Calibri"/>
          <w:color w:val="4B4B4B"/>
          <w:sz w:val="24"/>
          <w:szCs w:val="24"/>
        </w:rPr>
        <w:t>Medzi hlavné obchodné činnosti obchodnej spoločnosti patria: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AdobePiStd" w:hAnsi="AdobePiStd" w:cs="AdobePiStd"/>
          <w:color w:val="4B4B4B"/>
          <w:sz w:val="24"/>
          <w:szCs w:val="24"/>
        </w:rPr>
        <w:t xml:space="preserve">l </w:t>
      </w:r>
      <w:r w:rsidR="004C0CF2">
        <w:rPr>
          <w:rFonts w:ascii="Calibri" w:hAnsi="Calibri" w:cs="Calibri"/>
          <w:color w:val="4B4B4B"/>
          <w:sz w:val="24"/>
          <w:szCs w:val="24"/>
        </w:rPr>
        <w:t xml:space="preserve"> počítačové služby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AdobePiStd" w:hAnsi="AdobePiStd" w:cs="AdobePiStd"/>
          <w:color w:val="4B4B4B"/>
          <w:sz w:val="24"/>
          <w:szCs w:val="24"/>
        </w:rPr>
        <w:t xml:space="preserve">l </w:t>
      </w:r>
      <w:r w:rsidR="004C0CF2">
        <w:rPr>
          <w:rFonts w:ascii="Calibri" w:hAnsi="Calibri" w:cs="Calibri"/>
          <w:color w:val="4B4B4B"/>
          <w:sz w:val="24"/>
          <w:szCs w:val="24"/>
        </w:rPr>
        <w:t xml:space="preserve"> vykonávanie mimoškolskej činnosti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AdobePiStd" w:hAnsi="AdobePiStd" w:cs="AdobePiStd"/>
          <w:color w:val="4B4B4B"/>
          <w:sz w:val="24"/>
          <w:szCs w:val="24"/>
        </w:rPr>
        <w:t xml:space="preserve">l </w:t>
      </w:r>
      <w:r w:rsidR="004C0CF2">
        <w:rPr>
          <w:rFonts w:ascii="Calibri" w:hAnsi="Calibri" w:cs="Calibri"/>
          <w:color w:val="4B4B4B"/>
          <w:sz w:val="24"/>
          <w:szCs w:val="24"/>
        </w:rPr>
        <w:t>prevádzka malých plavidiel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3. Po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et zamestnancov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Calibri" w:hAnsi="Calibri" w:cs="Calibri"/>
          <w:color w:val="4B4B4B"/>
          <w:sz w:val="24"/>
          <w:szCs w:val="24"/>
        </w:rPr>
        <w:t>Informácie o počte zamestnancov obchodnej spoločnosti sú uvedené v nasledujúcej tabuľke:</w:t>
      </w:r>
    </w:p>
    <w:p w:rsidR="004C0CF2" w:rsidRDefault="00061CCB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  <w:r>
        <w:rPr>
          <w:rFonts w:ascii="Calibri" w:hAnsi="Calibri" w:cs="Calibri"/>
          <w:b/>
          <w:bCs/>
          <w:color w:val="4B4B4B"/>
          <w:sz w:val="24"/>
          <w:szCs w:val="24"/>
        </w:rPr>
        <w:t>Tabuľka č. 1</w:t>
      </w:r>
    </w:p>
    <w:p w:rsidR="00061CCB" w:rsidRPr="00BF7CD2" w:rsidRDefault="00061CCB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075"/>
      </w:tblGrid>
      <w:tr w:rsidR="00893F97" w:rsidTr="00893F97">
        <w:trPr>
          <w:trHeight w:val="705"/>
        </w:trPr>
        <w:tc>
          <w:tcPr>
            <w:tcW w:w="9075" w:type="dxa"/>
          </w:tcPr>
          <w:p w:rsidR="00893F97" w:rsidRDefault="00F66439" w:rsidP="00893F97">
            <w:pPr>
              <w:autoSpaceDE w:val="0"/>
              <w:autoSpaceDN w:val="0"/>
              <w:adjustRightInd w:val="0"/>
              <w:spacing w:after="0" w:line="240" w:lineRule="auto"/>
              <w:ind w:left="-23"/>
              <w:rPr>
                <w:rFonts w:ascii="Calibri" w:hAnsi="Calibri" w:cs="Calibri"/>
                <w:b/>
                <w:bCs/>
                <w:i/>
                <w:iCs/>
                <w:color w:val="4B4B4B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4B4B4B"/>
                <w:sz w:val="24"/>
                <w:szCs w:val="24"/>
              </w:rPr>
              <w:t>Zamestnanci k 31.12.2013</w:t>
            </w:r>
            <w:r w:rsidR="00893F97">
              <w:rPr>
                <w:rFonts w:ascii="Calibri" w:hAnsi="Calibri" w:cs="Calibri"/>
                <w:b/>
                <w:bCs/>
                <w:i/>
                <w:iCs/>
                <w:color w:val="4B4B4B"/>
                <w:sz w:val="24"/>
                <w:szCs w:val="24"/>
              </w:rPr>
              <w:t xml:space="preserve">      </w:t>
            </w:r>
          </w:p>
          <w:p w:rsidR="00893F97" w:rsidRDefault="00893F97" w:rsidP="00893F97">
            <w:pPr>
              <w:autoSpaceDE w:val="0"/>
              <w:autoSpaceDN w:val="0"/>
              <w:adjustRightInd w:val="0"/>
              <w:spacing w:after="0" w:line="240" w:lineRule="auto"/>
              <w:ind w:left="-23"/>
              <w:rPr>
                <w:rFonts w:ascii="Calibri" w:hAnsi="Calibri" w:cs="Calibri"/>
                <w:b/>
                <w:bCs/>
                <w:i/>
                <w:iCs/>
                <w:color w:val="4B4B4B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4B4B4B"/>
                <w:sz w:val="24"/>
                <w:szCs w:val="24"/>
              </w:rPr>
              <w:t>0</w:t>
            </w:r>
          </w:p>
          <w:p w:rsidR="00893F97" w:rsidRDefault="00893F97" w:rsidP="00893F97">
            <w:pPr>
              <w:autoSpaceDE w:val="0"/>
              <w:autoSpaceDN w:val="0"/>
              <w:adjustRightInd w:val="0"/>
              <w:spacing w:after="0" w:line="240" w:lineRule="auto"/>
              <w:ind w:left="-23"/>
              <w:rPr>
                <w:rFonts w:ascii="Calibri" w:hAnsi="Calibri" w:cs="Calibri"/>
                <w:b/>
                <w:bCs/>
                <w:i/>
                <w:iCs/>
                <w:color w:val="4B4B4B"/>
                <w:sz w:val="24"/>
                <w:szCs w:val="24"/>
              </w:rPr>
            </w:pPr>
          </w:p>
        </w:tc>
      </w:tr>
      <w:tr w:rsidR="00893F97" w:rsidTr="00C04396">
        <w:trPr>
          <w:trHeight w:val="524"/>
        </w:trPr>
        <w:tc>
          <w:tcPr>
            <w:tcW w:w="9075" w:type="dxa"/>
          </w:tcPr>
          <w:p w:rsidR="00893F97" w:rsidRDefault="00893F97" w:rsidP="00893F97">
            <w:pPr>
              <w:autoSpaceDE w:val="0"/>
              <w:autoSpaceDN w:val="0"/>
              <w:adjustRightInd w:val="0"/>
              <w:spacing w:after="0" w:line="240" w:lineRule="auto"/>
              <w:ind w:left="-23"/>
              <w:rPr>
                <w:rFonts w:ascii="Calibri" w:hAnsi="Calibri" w:cs="Calibri"/>
                <w:b/>
                <w:bCs/>
                <w:i/>
                <w:iCs/>
                <w:color w:val="4B4B4B"/>
                <w:sz w:val="24"/>
                <w:szCs w:val="24"/>
              </w:rPr>
            </w:pPr>
          </w:p>
          <w:p w:rsidR="00893F97" w:rsidRDefault="00893F97" w:rsidP="00893F97">
            <w:pPr>
              <w:autoSpaceDE w:val="0"/>
              <w:autoSpaceDN w:val="0"/>
              <w:adjustRightInd w:val="0"/>
              <w:spacing w:after="0" w:line="240" w:lineRule="auto"/>
              <w:ind w:left="-23"/>
              <w:rPr>
                <w:rFonts w:ascii="Calibri" w:hAnsi="Calibri" w:cs="Calibri"/>
                <w:b/>
                <w:bCs/>
                <w:i/>
                <w:iCs/>
                <w:color w:val="4B4B4B"/>
                <w:sz w:val="24"/>
                <w:szCs w:val="24"/>
              </w:rPr>
            </w:pPr>
          </w:p>
        </w:tc>
      </w:tr>
    </w:tbl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4. Neobmedzené ru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enie v inej ú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tovnej jednotke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Calibri" w:hAnsi="Calibri" w:cs="Calibri"/>
          <w:color w:val="4B4B4B"/>
          <w:sz w:val="24"/>
          <w:szCs w:val="24"/>
        </w:rPr>
        <w:t>Obchodná spoločnosť nie je neobmedzene ručiacim spoločníkom v žiadnej spoločnosti.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5. Právne dôvody na zostavenie ú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tovnej závierky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Calibri" w:hAnsi="Calibri" w:cs="Calibri"/>
          <w:color w:val="4B4B4B"/>
          <w:sz w:val="24"/>
          <w:szCs w:val="24"/>
        </w:rPr>
        <w:t>Účtovná závierka obchodnej spoločnosti zostavená k 31. decembru 2011 je zostavená ako riadna účtovná závierka podľa § 17 ods. 6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Calibri" w:hAnsi="Calibri" w:cs="Calibri"/>
          <w:color w:val="4B4B4B"/>
          <w:sz w:val="24"/>
          <w:szCs w:val="24"/>
        </w:rPr>
        <w:t>zákona č. 431/2002 Z. z. o účtovníctve v znení neskorších predpisov.</w:t>
      </w:r>
    </w:p>
    <w:p w:rsidR="00BF7CD2" w:rsidRDefault="00BF7CD2" w:rsidP="00893F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6. Dátum schválenia ú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tovnej závierky za predchádzajúce ú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="00893F97">
        <w:rPr>
          <w:rFonts w:ascii="Calibri" w:hAnsi="Calibri" w:cs="Calibri"/>
          <w:b/>
          <w:bCs/>
          <w:color w:val="4B4B4B"/>
          <w:sz w:val="24"/>
          <w:szCs w:val="24"/>
        </w:rPr>
        <w:t>tovné obdo</w:t>
      </w:r>
      <w:r w:rsidR="00893F97">
        <w:rPr>
          <w:rFonts w:ascii="Calibri" w:hAnsi="Calibri" w:cs="Calibri"/>
          <w:color w:val="4B4B4B"/>
          <w:sz w:val="24"/>
          <w:szCs w:val="24"/>
        </w:rPr>
        <w:t>bie.</w:t>
      </w:r>
    </w:p>
    <w:p w:rsidR="00893F97" w:rsidRDefault="00893F97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 xml:space="preserve">B. Informácie o 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lenoch štatutárnych, dozorných a iných orgánov obchodnej spolo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nosti</w:t>
      </w:r>
    </w:p>
    <w:p w:rsidR="00BF7CD2" w:rsidRPr="00BF7CD2" w:rsidRDefault="00893F97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>
        <w:rPr>
          <w:rFonts w:ascii="Calibri" w:hAnsi="Calibri" w:cs="Calibri"/>
          <w:color w:val="4B4B4B"/>
          <w:sz w:val="24"/>
          <w:szCs w:val="24"/>
        </w:rPr>
        <w:t xml:space="preserve">Konatelia: Ing.  Milan </w:t>
      </w:r>
      <w:proofErr w:type="spellStart"/>
      <w:r w:rsidR="00F66439">
        <w:rPr>
          <w:rFonts w:ascii="Calibri" w:hAnsi="Calibri" w:cs="Calibri"/>
          <w:color w:val="4B4B4B"/>
          <w:sz w:val="24"/>
          <w:szCs w:val="24"/>
        </w:rPr>
        <w:t>H</w:t>
      </w:r>
      <w:r>
        <w:rPr>
          <w:rFonts w:ascii="Calibri" w:hAnsi="Calibri" w:cs="Calibri"/>
          <w:color w:val="4B4B4B"/>
          <w:sz w:val="24"/>
          <w:szCs w:val="24"/>
        </w:rPr>
        <w:t>agan</w:t>
      </w:r>
      <w:proofErr w:type="spellEnd"/>
    </w:p>
    <w:p w:rsidR="00893F97" w:rsidRDefault="00893F97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C. Informácie o spolo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níkoch obchodnej spolo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nosti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Calibri" w:hAnsi="Calibri" w:cs="Calibri"/>
          <w:color w:val="4B4B4B"/>
          <w:sz w:val="24"/>
          <w:szCs w:val="24"/>
        </w:rPr>
        <w:t xml:space="preserve">Štruktúra spoločníkov obchodnej </w:t>
      </w:r>
      <w:r w:rsidR="00F66439">
        <w:rPr>
          <w:rFonts w:ascii="Calibri" w:hAnsi="Calibri" w:cs="Calibri"/>
          <w:color w:val="4B4B4B"/>
          <w:sz w:val="24"/>
          <w:szCs w:val="24"/>
        </w:rPr>
        <w:t>spoločnosti k 31. 12. 2013</w:t>
      </w:r>
      <w:r w:rsidRPr="00BF7CD2">
        <w:rPr>
          <w:rFonts w:ascii="Calibri" w:hAnsi="Calibri" w:cs="Calibri"/>
          <w:color w:val="4B4B4B"/>
          <w:sz w:val="24"/>
          <w:szCs w:val="24"/>
        </w:rPr>
        <w:t xml:space="preserve"> je uvedená v nasledujúcom prehľade:</w:t>
      </w:r>
    </w:p>
    <w:p w:rsidR="00C04396" w:rsidRDefault="00C04396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C04396" w:rsidRDefault="00C04396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C04396" w:rsidRDefault="00C04396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C04396" w:rsidRDefault="00C04396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C04396" w:rsidRDefault="00C04396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C04396" w:rsidRDefault="00C04396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C04396" w:rsidRDefault="00C04396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C04396" w:rsidRDefault="00C04396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C04396" w:rsidRDefault="00C04396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C04396" w:rsidRDefault="00C04396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893F97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Tabu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ľ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 xml:space="preserve">ka 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 xml:space="preserve">. 2 </w:t>
      </w:r>
    </w:p>
    <w:tbl>
      <w:tblPr>
        <w:tblW w:w="9495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495"/>
      </w:tblGrid>
      <w:tr w:rsidR="00C04396" w:rsidTr="00C04396">
        <w:trPr>
          <w:trHeight w:val="668"/>
        </w:trPr>
        <w:tc>
          <w:tcPr>
            <w:tcW w:w="9495" w:type="dxa"/>
          </w:tcPr>
          <w:p w:rsidR="00C04396" w:rsidRDefault="00C04396" w:rsidP="00C0439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>Spoločník                           dátum zmeny               výška podielu                   podiel na hlasovacích</w:t>
            </w:r>
          </w:p>
          <w:p w:rsidR="00C04396" w:rsidRDefault="00C04396" w:rsidP="00C0439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 xml:space="preserve">                                                                                     Na ZI                                   právach</w:t>
            </w:r>
          </w:p>
          <w:p w:rsidR="00C04396" w:rsidRDefault="00C04396" w:rsidP="00C0439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</w:p>
        </w:tc>
      </w:tr>
      <w:tr w:rsidR="00C04396" w:rsidTr="00C04396">
        <w:trPr>
          <w:trHeight w:val="796"/>
        </w:trPr>
        <w:tc>
          <w:tcPr>
            <w:tcW w:w="9495" w:type="dxa"/>
          </w:tcPr>
          <w:p w:rsidR="00C04396" w:rsidRDefault="00C04396" w:rsidP="00C0439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</w:p>
          <w:p w:rsidR="00C04396" w:rsidRDefault="00C04396" w:rsidP="00C0439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</w:p>
          <w:p w:rsidR="00C04396" w:rsidRDefault="00C04396" w:rsidP="00C0439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>Ing.</w:t>
            </w:r>
            <w:r w:rsidR="00F66439"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>Milan</w:t>
            </w:r>
            <w:r w:rsidR="00F66439"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>Hagan</w:t>
            </w:r>
            <w:proofErr w:type="spellEnd"/>
            <w:r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 xml:space="preserve">               15.12.2011        100%    5000 EUR                       100%               </w:t>
            </w:r>
          </w:p>
          <w:p w:rsidR="00C04396" w:rsidRDefault="00C04396" w:rsidP="00C0439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</w:p>
          <w:p w:rsidR="00C04396" w:rsidRDefault="00C04396" w:rsidP="00C0439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</w:p>
        </w:tc>
      </w:tr>
    </w:tbl>
    <w:p w:rsidR="00C04396" w:rsidRDefault="00C04396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061CCB" w:rsidRDefault="00061CCB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061CCB" w:rsidRDefault="00061CCB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E. Informácie o použitých ú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tovných zásadách a ú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tovných metódach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Calibri" w:hAnsi="Calibri" w:cs="Calibri"/>
          <w:color w:val="4B4B4B"/>
          <w:sz w:val="24"/>
          <w:szCs w:val="24"/>
        </w:rPr>
        <w:t>Účtovná závierka bola zostavená za predpokladu nepretržitého trvania obchodnej spoločnosti (</w:t>
      </w:r>
      <w:proofErr w:type="spellStart"/>
      <w:r w:rsidRPr="00BF7CD2">
        <w:rPr>
          <w:rFonts w:ascii="Calibri" w:hAnsi="Calibri" w:cs="Calibri"/>
          <w:color w:val="4B4B4B"/>
          <w:sz w:val="24"/>
          <w:szCs w:val="24"/>
        </w:rPr>
        <w:t>goingconcern</w:t>
      </w:r>
      <w:proofErr w:type="spellEnd"/>
      <w:r w:rsidRPr="00BF7CD2">
        <w:rPr>
          <w:rFonts w:ascii="Calibri" w:hAnsi="Calibri" w:cs="Calibri"/>
          <w:color w:val="4B4B4B"/>
          <w:sz w:val="24"/>
          <w:szCs w:val="24"/>
        </w:rPr>
        <w:t>). Základné účtovné metódy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Calibri" w:hAnsi="Calibri" w:cs="Calibri"/>
          <w:color w:val="4B4B4B"/>
          <w:sz w:val="24"/>
          <w:szCs w:val="24"/>
        </w:rPr>
        <w:t>použité pri zostavovaní tejto individuálnej účtovnej závierky sú opísané nižšie. Tieto metódy sa uplatňujú konzistentne počas všetkých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Calibri" w:hAnsi="Calibri" w:cs="Calibri"/>
          <w:color w:val="4B4B4B"/>
          <w:sz w:val="24"/>
          <w:szCs w:val="24"/>
        </w:rPr>
        <w:t>účtovných období, ak nie je uvedené inak.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i/>
          <w:iCs/>
          <w:color w:val="4B4B4B"/>
          <w:sz w:val="24"/>
          <w:szCs w:val="24"/>
        </w:rPr>
        <w:t>Návod na doplnenie informácií: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i/>
          <w:iCs/>
          <w:color w:val="4B4B4B"/>
          <w:sz w:val="24"/>
          <w:szCs w:val="24"/>
        </w:rPr>
        <w:t>Dlhodobý nehmotný majetok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F7CD2">
        <w:rPr>
          <w:rFonts w:ascii="Times New Roman" w:hAnsi="Times New Roman" w:cs="Times New Roman"/>
          <w:color w:val="000000"/>
          <w:sz w:val="24"/>
          <w:szCs w:val="24"/>
        </w:rPr>
        <w:t>strana 3/5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1. Dlhodobý nehmotný majetok nakupovaný sa oce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ň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uje obstarávacou cenou, ktorá zah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ŕň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a cenu obstarania a náklady súvisiace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s obstaraním (clo, prepravu, montáž, poistné a pod.). Sú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as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ť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ou obstarávacej ceny dlhodobého nehmotného majetku sú úroky z úverov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súvisiacich s obstaraním majetku, ktoré vznikli do momentu zaradenia majetku do užívania.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 xml:space="preserve">2. Dlhodobý nehmotný majetok vytvorený vlastnou 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innos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ť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ou sa oce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ň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uje vlastnými nákladmi. Vlastnými nákladmi sú všetky priame náklady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 xml:space="preserve">vynaložené na výrobu alebo inú 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innos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 xml:space="preserve">ť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a nepriame náklady, ktoré sa vz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ť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 xml:space="preserve">ahujú na výrobu a 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innos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ť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3. Náklady na výskum sa neaktivujú, 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tujú sa do nákladov 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tovného obdobia, v ktorom vznikli. Náklady na vývoj sa 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tujú do obdobia,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v ktorom vznikli, ale tie náklady na vývoj, ktoré sa vz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ť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ahujú na jasne definovaný výrobok alebo proces, pri ktorých je možné preukáza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ť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technickú realizovate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ľ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nos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 xml:space="preserve">ť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a možnos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 xml:space="preserve">ť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predaja, spolo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nos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 xml:space="preserve">ť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má dostato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né zdroje na dokon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enie projektu, jeho predaj alebo vnútorné využitie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jeho výsledkov sa aktivujú, a to vo výške, ktorá je pravdepodobná, že sa získa spä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 xml:space="preserve">ť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z budúcich ekonomických úžitkov.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4. Do obstarávaného dlhodobého nehmotného majetku sa aktivujú výdavky na vývoj na nový produkt „ABC“. Aktivované náklady na vývoj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sa odpisujú 5 rokov.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5. Odpisy dlhodobého nehmotného majetku sú stanovené pod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ľ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a predpokladanej doby používania a predpokladaného priebehu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lastRenderedPageBreak/>
        <w:t>opotrebenia. Odpisova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 xml:space="preserve">ť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sa za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ína v mesiaci zaradenia dlhodobo nehmotného majetku do používania. Nehmotný majetok, ktorého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 xml:space="preserve">obstarávacia cena je 2 400 </w:t>
      </w:r>
      <w:r w:rsidRPr="00BF7CD2">
        <w:rPr>
          <w:rFonts w:ascii="Times New Roman" w:hAnsi="Times New Roman" w:cs="Times New Roman"/>
          <w:i/>
          <w:iCs/>
          <w:color w:val="4B4B4B"/>
          <w:sz w:val="24"/>
          <w:szCs w:val="24"/>
        </w:rPr>
        <w:t xml:space="preserve">€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 xml:space="preserve">(do 28. 2. 2009: 1 660 </w:t>
      </w:r>
      <w:r w:rsidRPr="00BF7CD2">
        <w:rPr>
          <w:rFonts w:ascii="Times New Roman" w:hAnsi="Times New Roman" w:cs="Times New Roman"/>
          <w:i/>
          <w:iCs/>
          <w:color w:val="4B4B4B"/>
          <w:sz w:val="24"/>
          <w:szCs w:val="24"/>
        </w:rPr>
        <w:t>€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) a nižšia, s dobou použite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ľ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nosti dlhšou ako jeden rok, sa 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tuje na 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et 518 – Ostatné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 xml:space="preserve">služby. Dlhodobý nehmotný majetok, ktorý bol uvedený do používania najneskôr do 28. 2. 2009 v ocenení rovnom alebo nižšom ako 2 400 </w:t>
      </w:r>
      <w:r w:rsidRPr="00BF7CD2">
        <w:rPr>
          <w:rFonts w:ascii="Times New Roman" w:hAnsi="Times New Roman" w:cs="Times New Roman"/>
          <w:i/>
          <w:iCs/>
          <w:color w:val="4B4B4B"/>
          <w:sz w:val="24"/>
          <w:szCs w:val="24"/>
        </w:rPr>
        <w:t>€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,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sa považuje za dlhodobý nehmotný majetok a pokra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uje sa v jeho odpisovaní.</w:t>
      </w:r>
    </w:p>
    <w:p w:rsid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Tabu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ľ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 xml:space="preserve">ka 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="00061CCB">
        <w:rPr>
          <w:rFonts w:ascii="Calibri" w:hAnsi="Calibri" w:cs="Calibri"/>
          <w:b/>
          <w:bCs/>
          <w:color w:val="4B4B4B"/>
          <w:sz w:val="24"/>
          <w:szCs w:val="24"/>
        </w:rPr>
        <w:t>. 3</w:t>
      </w:r>
    </w:p>
    <w:p w:rsidR="00061CCB" w:rsidRDefault="00061CCB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tbl>
      <w:tblPr>
        <w:tblW w:w="9705" w:type="dxa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5"/>
      </w:tblGrid>
      <w:tr w:rsidR="00061CCB" w:rsidTr="00061CCB">
        <w:trPr>
          <w:trHeight w:val="858"/>
        </w:trPr>
        <w:tc>
          <w:tcPr>
            <w:tcW w:w="9705" w:type="dxa"/>
          </w:tcPr>
          <w:p w:rsidR="00061CCB" w:rsidRDefault="00061CCB" w:rsidP="00061CCB">
            <w:pPr>
              <w:autoSpaceDE w:val="0"/>
              <w:autoSpaceDN w:val="0"/>
              <w:adjustRightInd w:val="0"/>
              <w:spacing w:after="0" w:line="240" w:lineRule="auto"/>
              <w:ind w:left="-68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</w:p>
          <w:p w:rsidR="00061CCB" w:rsidRDefault="00061CCB" w:rsidP="00061CCB">
            <w:pPr>
              <w:autoSpaceDE w:val="0"/>
              <w:autoSpaceDN w:val="0"/>
              <w:adjustRightInd w:val="0"/>
              <w:spacing w:after="0" w:line="240" w:lineRule="auto"/>
              <w:ind w:left="-68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 xml:space="preserve">                                          Predpokladaná doba používania                               metóda odpisovania</w:t>
            </w:r>
          </w:p>
          <w:p w:rsidR="00061CCB" w:rsidRDefault="00061CCB" w:rsidP="00061CCB">
            <w:pPr>
              <w:autoSpaceDE w:val="0"/>
              <w:autoSpaceDN w:val="0"/>
              <w:adjustRightInd w:val="0"/>
              <w:spacing w:after="0" w:line="240" w:lineRule="auto"/>
              <w:ind w:left="-68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</w:p>
        </w:tc>
      </w:tr>
      <w:tr w:rsidR="00061CCB" w:rsidTr="00061CCB">
        <w:trPr>
          <w:trHeight w:val="885"/>
        </w:trPr>
        <w:tc>
          <w:tcPr>
            <w:tcW w:w="9705" w:type="dxa"/>
          </w:tcPr>
          <w:p w:rsidR="00061CCB" w:rsidRDefault="00061CCB" w:rsidP="00061CCB">
            <w:pPr>
              <w:autoSpaceDE w:val="0"/>
              <w:autoSpaceDN w:val="0"/>
              <w:adjustRightInd w:val="0"/>
              <w:spacing w:after="0" w:line="240" w:lineRule="auto"/>
              <w:ind w:left="-68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</w:p>
          <w:p w:rsidR="00061CCB" w:rsidRDefault="00061CCB" w:rsidP="00061CCB">
            <w:pPr>
              <w:autoSpaceDE w:val="0"/>
              <w:autoSpaceDN w:val="0"/>
              <w:adjustRightInd w:val="0"/>
              <w:spacing w:after="0" w:line="240" w:lineRule="auto"/>
              <w:ind w:left="-68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>Softwer</w:t>
            </w:r>
            <w:proofErr w:type="spellEnd"/>
            <w:r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 xml:space="preserve">                              0</w:t>
            </w:r>
          </w:p>
          <w:p w:rsidR="00061CCB" w:rsidRDefault="00061CCB" w:rsidP="00061CCB">
            <w:pPr>
              <w:autoSpaceDE w:val="0"/>
              <w:autoSpaceDN w:val="0"/>
              <w:adjustRightInd w:val="0"/>
              <w:spacing w:after="0" w:line="240" w:lineRule="auto"/>
              <w:ind w:left="-68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</w:p>
        </w:tc>
      </w:tr>
    </w:tbl>
    <w:p w:rsidR="00061CCB" w:rsidRDefault="00061CCB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061CCB" w:rsidRDefault="00061CCB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C31BA2" w:rsidRPr="00BF7CD2" w:rsidRDefault="00C31BA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i/>
          <w:iCs/>
          <w:color w:val="4B4B4B"/>
          <w:sz w:val="24"/>
          <w:szCs w:val="24"/>
        </w:rPr>
        <w:t>Dlhodobý hmotný majetok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i/>
          <w:iCs/>
          <w:color w:val="4B4B4B"/>
          <w:sz w:val="24"/>
          <w:szCs w:val="24"/>
        </w:rPr>
        <w:t>Predpokladaná doba používania Metóda odpisovania</w:t>
      </w:r>
    </w:p>
    <w:p w:rsidR="009D27A9" w:rsidRDefault="009D27A9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1. Dlhodobý hmotný majetok nakupovaný sa oce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ň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uje obstarávacou cenou, ktorá zah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ŕň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a cenu obstarania a náklady súvisiace s obstaraním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(clo, prepravu, montáž, poistné a pod.). Sú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as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ť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ou obstarávacej ceny dlhodobého hmotného majetku sú úroky z úverov súvisiacich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s obstaraním majetku, ktoré vznikli do momentu zaradenia majetku do užívania.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2. Do dlhodobého hmotného majetku patrí majetok, ku ktorému má 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 xml:space="preserve">tovná jednotka vlastnícke právo. 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Ď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alej do dlhodobého hmotného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majetku v roku 201</w:t>
      </w:r>
      <w:r w:rsidR="003B5E6B">
        <w:rPr>
          <w:rFonts w:ascii="Calibri" w:hAnsi="Calibri" w:cs="Calibri"/>
          <w:i/>
          <w:iCs/>
          <w:color w:val="4B4B4B"/>
          <w:sz w:val="24"/>
          <w:szCs w:val="24"/>
        </w:rPr>
        <w:t>3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 xml:space="preserve"> bol zaradený nehnute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ľ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ný majetok, ktorý 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tovná jednotka užíva, ale vlastnícke právo nadobudne až povolením vkladu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do katastra nehnute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ľ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ností.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3. Odpisy dlhodobého hmotného majetku sú stanovené pod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ľ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a predpokladanej doby jeho používania a predpokladaného priebehu jeho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opotrebovania. Odpisova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 xml:space="preserve">ť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sa za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ne v mesiaci zaradenia dlhodobého hmotného majetku do používania. O dlhodobom hmotnom majetku,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 xml:space="preserve">ktorého obstarávacia cena je v ocenení rovnom alebo nižšom ako 1 700 </w:t>
      </w:r>
      <w:r w:rsidRPr="00BF7CD2">
        <w:rPr>
          <w:rFonts w:ascii="Times New Roman" w:hAnsi="Times New Roman" w:cs="Times New Roman"/>
          <w:i/>
          <w:iCs/>
          <w:color w:val="4B4B4B"/>
          <w:sz w:val="24"/>
          <w:szCs w:val="24"/>
        </w:rPr>
        <w:t xml:space="preserve">€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 xml:space="preserve">(do 28. 2. 2009 : 996 </w:t>
      </w:r>
      <w:r w:rsidRPr="00BF7CD2">
        <w:rPr>
          <w:rFonts w:ascii="Times New Roman" w:hAnsi="Times New Roman" w:cs="Times New Roman"/>
          <w:i/>
          <w:iCs/>
          <w:color w:val="4B4B4B"/>
          <w:sz w:val="24"/>
          <w:szCs w:val="24"/>
        </w:rPr>
        <w:t>€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) a zárove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 xml:space="preserve">ň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s dobou použite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ľ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nosti dlhšou ako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jeden rok, sa 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tuje ako o zásobách. Pozemky, umelecké diela a zbierky sa neodpisujú. Dlhodobý hmotný majetok vrátane technického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 xml:space="preserve">zhodnotenia, ktorý bol uvedený do používania do 28. 2. 2009 v ocenení rovnom alebo nižšom ako 1 700 </w:t>
      </w:r>
      <w:r w:rsidRPr="00BF7CD2">
        <w:rPr>
          <w:rFonts w:ascii="Times New Roman" w:hAnsi="Times New Roman" w:cs="Times New Roman"/>
          <w:i/>
          <w:iCs/>
          <w:color w:val="4B4B4B"/>
          <w:sz w:val="24"/>
          <w:szCs w:val="24"/>
        </w:rPr>
        <w:t>€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, sa považuje za dlhodobý hmotný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majetok aj po tomto dátume a pokra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uje sa v jeho odpisovaní.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4. Alternatívne sa vypracuje tabu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ľ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ka pod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ľ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a jednotlivého dlhodobého hmotného majetku so stanovenou metódou odpisovania a ro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nou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lastRenderedPageBreak/>
        <w:t>odpisovou sadzbou.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5. Odhadovaná doba životnosti a odpisový plán sú prehodnotené na konci každého 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tovného obdobia.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6. V prípade zníženia úžitkovej hodnoty dlhodobého majetku zisteného pri inventarizácii, pokia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 xml:space="preserve">ľ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je zistená úžitková hodnota dlhodobého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majetku výrazne nižšia ako jeho ocenenie v 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tovníctve po odpo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ítaní oprávok, je k dlhodobému majetku vytvorená opravná položka na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úrove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 xml:space="preserve">ň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jeho zistenej úžitkovej hodnoty.</w:t>
      </w:r>
      <w:bookmarkStart w:id="0" w:name="_GoBack"/>
      <w:bookmarkEnd w:id="0"/>
    </w:p>
    <w:sectPr w:rsidR="00BF7CD2" w:rsidRPr="00BF7CD2" w:rsidSect="00D877FE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dobePiSt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-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F703A"/>
    <w:rsid w:val="00061CCB"/>
    <w:rsid w:val="00134524"/>
    <w:rsid w:val="003B5E6B"/>
    <w:rsid w:val="004C0CF2"/>
    <w:rsid w:val="005F703A"/>
    <w:rsid w:val="00890322"/>
    <w:rsid w:val="00893F97"/>
    <w:rsid w:val="009D27A9"/>
    <w:rsid w:val="00B77D15"/>
    <w:rsid w:val="00BF7CD2"/>
    <w:rsid w:val="00C04396"/>
    <w:rsid w:val="00C31BA2"/>
    <w:rsid w:val="00C438D5"/>
    <w:rsid w:val="00E032F3"/>
    <w:rsid w:val="00EA668A"/>
    <w:rsid w:val="00F66439"/>
    <w:rsid w:val="00F775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A668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C0C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C0C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917</Words>
  <Characters>5231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YNNA</dc:creator>
  <cp:keywords/>
  <dc:description/>
  <cp:lastModifiedBy>a</cp:lastModifiedBy>
  <cp:revision>4</cp:revision>
  <dcterms:created xsi:type="dcterms:W3CDTF">2013-03-22T21:00:00Z</dcterms:created>
  <dcterms:modified xsi:type="dcterms:W3CDTF">2014-03-25T20:46:00Z</dcterms:modified>
</cp:coreProperties>
</file>