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143D46">
        <w:t>TEMACOM</w:t>
      </w:r>
      <w:r>
        <w:t xml:space="preserve">, spol. s r. o. (ďalej len Spoločnosť), bola založená </w:t>
      </w:r>
      <w:r w:rsidR="00143D46">
        <w:t>3.11.2000</w:t>
      </w:r>
      <w:r>
        <w:t xml:space="preserve"> a do obchodného registra bola zapísaná </w:t>
      </w:r>
      <w:r w:rsidR="00F029A3">
        <w:t>27.10.2000</w:t>
      </w:r>
      <w:r>
        <w:t xml:space="preserve"> (Obchodný register Okresného súdu </w:t>
      </w:r>
      <w:r w:rsidR="00F029A3">
        <w:t>Trenčín</w:t>
      </w:r>
      <w:r>
        <w:t xml:space="preserve">, oddiel s.r.o., vložka </w:t>
      </w:r>
      <w:r w:rsidR="00F029A3">
        <w:t>18794/R</w:t>
      </w:r>
      <w:r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F029A3">
        <w:t>kúpa tovaru za účelom predaja konečnému spotrebiteľovi (maloobchod)</w:t>
      </w:r>
      <w:r>
        <w:t>,</w:t>
      </w:r>
    </w:p>
    <w:p w:rsidR="004D3B4A" w:rsidRDefault="004D3B4A" w:rsidP="004D3B4A">
      <w:pPr>
        <w:pStyle w:val="Zkladntext"/>
      </w:pPr>
      <w:r>
        <w:t xml:space="preserve">– </w:t>
      </w:r>
      <w:r w:rsidR="00F029A3">
        <w:t>kúpa tovaru za účelom predaja iným prevádzkovateľom živnosti (veľkoobchod)</w:t>
      </w:r>
      <w:r>
        <w:t>,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Zkladntext"/>
      </w:pPr>
    </w:p>
    <w:bookmarkStart w:id="2" w:name="_MON_1405921752"/>
    <w:bookmarkEnd w:id="2"/>
    <w:p w:rsidR="000A1BBA" w:rsidRDefault="00FE7C7C" w:rsidP="004D3B4A">
      <w:pPr>
        <w:pStyle w:val="Zkladntext"/>
      </w:pPr>
      <w:r>
        <w:object w:dxaOrig="8938" w:dyaOrig="163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9.7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7508380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E7C7C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FE7C7C">
        <w:t>3</w:t>
      </w:r>
      <w:r>
        <w:t xml:space="preserve"> do 31. decembra </w:t>
      </w:r>
      <w:r w:rsidR="00C4486C">
        <w:t>201</w:t>
      </w:r>
      <w:r w:rsidR="00FE7C7C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FE7C7C">
        <w:t>2</w:t>
      </w:r>
      <w:r>
        <w:t>, za predchádzajúce účtovné obdobie, bola schválená valným zhromaždením Spoločnosti</w:t>
      </w:r>
      <w:r w:rsidR="00FE7C7C">
        <w:t xml:space="preserve"> dňa 24.6.2013.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  <w:t xml:space="preserve">Ing. </w:t>
      </w:r>
      <w:r w:rsidR="00F029A3">
        <w:t>Slavomír Majtán</w:t>
      </w:r>
    </w:p>
    <w:p w:rsidR="004D3B4A" w:rsidRDefault="004D3B4A" w:rsidP="00F029A3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>
        <w:t>informácie o spoločníkoch účtovnej jednotky</w:t>
      </w:r>
      <w:bookmarkEnd w:id="4"/>
    </w:p>
    <w:p w:rsidR="004D3B4A" w:rsidRDefault="004D3B4A" w:rsidP="004D3B4A"/>
    <w:p w:rsidR="00D54563" w:rsidRDefault="00D54563" w:rsidP="00D54563">
      <w:pPr>
        <w:pStyle w:val="Zkladntext"/>
      </w:pPr>
      <w:r>
        <w:t xml:space="preserve">Štruktúra spoločníkov k 31. decembru </w:t>
      </w:r>
      <w:r w:rsidR="00C4486C">
        <w:t>201</w:t>
      </w:r>
      <w:r w:rsidR="00FE7C7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5" w:name="_MON_1410865165"/>
    <w:bookmarkEnd w:id="5"/>
    <w:p w:rsidR="00D54563" w:rsidRDefault="00406633" w:rsidP="004D3B4A">
      <w:pPr>
        <w:pStyle w:val="Zkladntext"/>
      </w:pPr>
      <w:r>
        <w:object w:dxaOrig="9111" w:dyaOrig="2354">
          <v:shape id="_x0000_i1026" type="#_x0000_t75" style="width:427.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57508381" r:id="rId11"/>
        </w:object>
      </w:r>
    </w:p>
    <w:p w:rsidR="00FE7C7C" w:rsidRDefault="00FE7C7C" w:rsidP="00FE7C7C">
      <w:pPr>
        <w:autoSpaceDE w:val="0"/>
        <w:autoSpaceDN w:val="0"/>
        <w:adjustRightInd w:val="0"/>
        <w:rPr>
          <w:rFonts w:ascii="TimesNewRoman,Bold" w:hAnsi="TimesNewRoman,Bold" w:cs="TimesNewRoman,Bold"/>
          <w:b/>
          <w:bCs/>
          <w:sz w:val="18"/>
          <w:szCs w:val="18"/>
        </w:rPr>
      </w:pPr>
      <w:r>
        <w:rPr>
          <w:rFonts w:ascii="TimesNewRoman,Bold" w:hAnsi="TimesNewRoman,Bold" w:cs="TimesNewRoman,Bold"/>
          <w:b/>
          <w:bCs/>
          <w:sz w:val="18"/>
          <w:szCs w:val="18"/>
        </w:rPr>
        <w:t xml:space="preserve">D. INFORMÁCIE O KONSOLIDOVANOM CELKU </w:t>
      </w:r>
    </w:p>
    <w:p w:rsidR="00FE7C7C" w:rsidRDefault="00FE7C7C" w:rsidP="00FE7C7C">
      <w:pP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</w:rPr>
      </w:pPr>
      <w:r>
        <w:rPr>
          <w:rFonts w:ascii="TimesNewRoman" w:hAnsi="TimesNewRoman" w:cs="TimesNewRoman"/>
          <w:sz w:val="18"/>
          <w:szCs w:val="18"/>
        </w:rPr>
        <w:t xml:space="preserve"> </w:t>
      </w:r>
    </w:p>
    <w:p w:rsidR="00FE7C7C" w:rsidRDefault="00FE7C7C" w:rsidP="00FE7C7C">
      <w:pPr>
        <w:autoSpaceDE w:val="0"/>
        <w:autoSpaceDN w:val="0"/>
        <w:adjustRightInd w:val="0"/>
        <w:rPr>
          <w:rFonts w:ascii="TimesNewRoman" w:hAnsi="TimesNewRoman" w:cs="TimesNewRoman"/>
          <w:sz w:val="18"/>
          <w:szCs w:val="18"/>
        </w:rPr>
      </w:pPr>
      <w:r>
        <w:rPr>
          <w:rFonts w:ascii="TimesNewRoman,Bold" w:hAnsi="TimesNewRoman,Bold" w:cs="TimesNewRoman,Bold"/>
          <w:b/>
          <w:bCs/>
          <w:sz w:val="18"/>
          <w:szCs w:val="18"/>
        </w:rPr>
        <w:t xml:space="preserve">  </w:t>
      </w:r>
      <w:r>
        <w:rPr>
          <w:rFonts w:ascii="TimesNewRoman" w:hAnsi="TimesNewRoman" w:cs="TimesNewRoman"/>
          <w:sz w:val="18"/>
          <w:szCs w:val="18"/>
        </w:rPr>
        <w:t>Spolo</w:t>
      </w:r>
      <w:r>
        <w:rPr>
          <w:rFonts w:ascii="TimesNewRoman+1" w:hAnsi="TimesNewRoman+1" w:cs="TimesNewRoman+1"/>
          <w:sz w:val="18"/>
          <w:szCs w:val="18"/>
        </w:rPr>
        <w:t>č</w:t>
      </w:r>
      <w:r>
        <w:rPr>
          <w:rFonts w:ascii="TimesNewRoman" w:hAnsi="TimesNewRoman" w:cs="TimesNewRoman"/>
          <w:sz w:val="18"/>
          <w:szCs w:val="18"/>
        </w:rPr>
        <w:t>nos</w:t>
      </w:r>
      <w:r>
        <w:rPr>
          <w:rFonts w:ascii="TimesNewRoman+1" w:hAnsi="TimesNewRoman+1" w:cs="TimesNewRoman+1"/>
          <w:sz w:val="18"/>
          <w:szCs w:val="18"/>
        </w:rPr>
        <w:t>ť</w:t>
      </w:r>
      <w:r>
        <w:rPr>
          <w:rFonts w:ascii="TimesNewRoman" w:hAnsi="TimesNewRoman" w:cs="TimesNewRoman"/>
          <w:sz w:val="18"/>
          <w:szCs w:val="18"/>
        </w:rPr>
        <w:t xml:space="preserve"> sa nezah</w:t>
      </w:r>
      <w:r>
        <w:rPr>
          <w:rFonts w:ascii="TimesNewRoman+1" w:hAnsi="TimesNewRoman+1" w:cs="TimesNewRoman+1"/>
          <w:sz w:val="18"/>
          <w:szCs w:val="18"/>
        </w:rPr>
        <w:t>ŕň</w:t>
      </w:r>
      <w:r>
        <w:rPr>
          <w:rFonts w:ascii="TimesNewRoman" w:hAnsi="TimesNewRoman" w:cs="TimesNewRoman"/>
          <w:sz w:val="18"/>
          <w:szCs w:val="18"/>
        </w:rPr>
        <w:t>a do konsolidovanej ú</w:t>
      </w:r>
      <w:r>
        <w:rPr>
          <w:rFonts w:ascii="TimesNewRoman+1" w:hAnsi="TimesNewRoman+1" w:cs="TimesNewRoman+1"/>
          <w:sz w:val="18"/>
          <w:szCs w:val="18"/>
        </w:rPr>
        <w:t>č</w:t>
      </w:r>
      <w:r>
        <w:rPr>
          <w:rFonts w:ascii="TimesNewRoman" w:hAnsi="TimesNewRoman" w:cs="TimesNewRoman"/>
          <w:sz w:val="18"/>
          <w:szCs w:val="18"/>
        </w:rPr>
        <w:t>tovnej závierky žiadnej inej sp</w:t>
      </w:r>
      <w:r w:rsidR="003126BC">
        <w:rPr>
          <w:rFonts w:ascii="TimesNewRoman" w:hAnsi="TimesNewRoman" w:cs="TimesNewRoman"/>
          <w:sz w:val="18"/>
          <w:szCs w:val="18"/>
        </w:rPr>
        <w:t>o</w:t>
      </w:r>
      <w:r>
        <w:rPr>
          <w:rFonts w:ascii="TimesNewRoman" w:hAnsi="TimesNewRoman" w:cs="TimesNewRoman"/>
          <w:sz w:val="18"/>
          <w:szCs w:val="18"/>
        </w:rPr>
        <w:t>ločnosti.</w:t>
      </w:r>
    </w:p>
    <w:p w:rsidR="00FE7C7C" w:rsidRDefault="00FE7C7C" w:rsidP="004D3B4A">
      <w:pPr>
        <w:pStyle w:val="Zkladntext"/>
      </w:pPr>
    </w:p>
    <w:p w:rsidR="00FE7C7C" w:rsidRDefault="00FE7C7C" w:rsidP="004D3B4A">
      <w:pPr>
        <w:pStyle w:val="Zkladntext"/>
      </w:pPr>
    </w:p>
    <w:p w:rsidR="00FE7C7C" w:rsidRDefault="00FE7C7C" w:rsidP="004D3B4A">
      <w:pPr>
        <w:pStyle w:val="Zkladntext"/>
      </w:pPr>
    </w:p>
    <w:p w:rsidR="003126BC" w:rsidRDefault="003126BC" w:rsidP="004D3B4A">
      <w:pPr>
        <w:pStyle w:val="Zkladntext"/>
      </w:pPr>
    </w:p>
    <w:p w:rsidR="003126BC" w:rsidRDefault="003126BC" w:rsidP="004D3B4A">
      <w:pPr>
        <w:pStyle w:val="Zkladntext"/>
      </w:pPr>
    </w:p>
    <w:p w:rsidR="00D54563" w:rsidRDefault="00D54563" w:rsidP="004D3B4A">
      <w:pPr>
        <w:pStyle w:val="Zkladntext"/>
      </w:pP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bookmarkStart w:id="6" w:name="_Toc530739900"/>
      <w:r w:rsidRPr="008A2A9F">
        <w:rPr>
          <w:b/>
          <w:bCs/>
        </w:rPr>
        <w:lastRenderedPageBreak/>
        <w:t>E. INFORMÁCIE O ÚČTOVNÝCH ZÁSADÁCH A ÚČTOVNÝCH METÓDACH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(a) Východiská pre zostavenie účtovnej závierky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Účtovná závierka bola zostavená za predpokladu, že Spoločnosť bude nepretržite pokračovať vo svojej činnosti (</w:t>
      </w:r>
      <w:proofErr w:type="spellStart"/>
      <w:r w:rsidRPr="008A2A9F">
        <w:rPr>
          <w:rFonts w:eastAsia="TimesNewRomanPSMT"/>
        </w:rPr>
        <w:t>going</w:t>
      </w:r>
      <w:proofErr w:type="spellEnd"/>
      <w:r>
        <w:rPr>
          <w:rFonts w:eastAsia="TimesNewRomanPSMT"/>
        </w:rPr>
        <w:t xml:space="preserve"> </w:t>
      </w:r>
      <w:proofErr w:type="spellStart"/>
      <w:r w:rsidRPr="008A2A9F">
        <w:rPr>
          <w:rFonts w:eastAsia="TimesNewRomanPSMT"/>
        </w:rPr>
        <w:t>concern</w:t>
      </w:r>
      <w:proofErr w:type="spellEnd"/>
      <w:r w:rsidRPr="008A2A9F">
        <w:rPr>
          <w:rFonts w:eastAsia="TimesNewRomanPSMT"/>
        </w:rPr>
        <w:t>).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Účtovné metódy a všeobecné účtovné zásady boli účtovnou jednotkou konzistentne aplikované.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V účtovnom období 2013 Spoločnosť nevykonala žiadne opravy významných chýb minulých účtovných období.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(b) Dlhodobý nehmotný majetok a dlhodobý hmotný majetok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Dlhodobý majetok nakupovaný sa oceňuje obstarávacou cenou, ktorá zahŕňa cenu obstarania a náklady súvisiace s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obstaraním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(clo, prepravu, montáž, poistné a pod.).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Súčasťou obstarávacej ceny dlhodobého hmotného majetku nie sú úroky z cudzích zdrojov ani realizované kurzové rozdiely,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ktoré vznikli do momentu uvedenia dlhodobého majetku do používania.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Súčasťou obstarávacej ceny dlhodobého nehmotného majetku nie sú úroky z cudzích zdrojov, ktoré vznikli do momentu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zaradenia dlhodobého nehmotného majetku do používania.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Dlhodobý majetok vytvorený vlastnou činnosťou sa oceňuje vlastnými nákladmi. Vlastnými nákladmi sú všetky priame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náklady vynaložené na výrobu alebo inú činnosť a nepriame náklady, ktoré sa vzťahujú na výrobu alebo inú činnosť.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Náklady na výskum sa neaktivujú, účtujú sa do nákladov účtovného obdobia, v ktorom vznikli. Náklady na vývoj sa účtujú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 obdobia, v ktorom vznikli, ale tie náklady na vývoj, ktoré sa vzťahujú na jasne definovaný výrobok alebo proces,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 ktorých je možné preukázať technickú realizovateľnosť a možnosť predaja a spoločnosť má dostatočné zdroje na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dokončenie projektu, jeho predaj alebo na vnútorné využitie jeho výsledkov, sa aktivujú, a to vo výške, ktorá je pravdepodobná,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že sa získa späť z budúcich ekonomických úžitkov.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Aktivované náklady na vývoj sa odpisujú počas maximálne 5 rokov, a to v tých účtovných obdobiach, v ktorých sa očakáva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predaj produktu alebo využívanie procesu. Ak sa zníži ich hodnota, odpisujú sa na sumu, ktorá je pravdepodobná,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že sa získa späť z budúcich ekonomických úžitkov.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Odpisy dlhodobého nehmotného majetku sú stanovené vychádzajúc z predpokladanej doby jeho používania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predpokladaného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priebehu jeho opotrebenia. Odpisovať sa začína prvým dňom mesiaca uvedení dlhodobého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majetku do používania. Drobný dlhodobý nehmotný majetok, ktorého obstarávacia cena (resp. vlastné náklady) je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 xml:space="preserve">2 400 EUR a nižšia, sa odpisuje jednorazovo pri uvedení do používania. 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Odpisy dlhodobého hmotného majetku sú stanovené vychádzajúc z predpokladanej doby jeho používania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predpokladaného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priebehu jeho opotrebenia. Odpisovať sa začína prvým dňom mesiaca uvedení dlhodobého majetku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 používania. Drobný dlhodobý hmotný majetok, ktorého obstarávacia cena (resp. vlastné náklady) je 1 700 EUR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 xml:space="preserve">a nižšia, sa odpisuje jednorazovo pri uvedení do používania. Pozemky sa neodpisujú. 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(c) Cenné papiere a podiely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Cenné papiere a podiely (okrem cenných papierov na obchodovanie) sa oceňujú obstarávacími cenami vrátane nákladov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súvisiacich s obstaraním. Od obstarávacej ceny je odpočítané zníženie hodnoty cenných papierov a podielov.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Cenné papiere na obchodovanie sa pri ich obstaraní oceňujú reálnou hodnotou.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(d) Zásoby</w:t>
      </w:r>
    </w:p>
    <w:p w:rsidR="00806F2C" w:rsidRPr="00806F2C" w:rsidRDefault="00806F2C" w:rsidP="00806F2C">
      <w:pPr>
        <w:pStyle w:val="Zkladntext"/>
        <w:ind w:left="0"/>
        <w:rPr>
          <w:sz w:val="20"/>
        </w:rPr>
      </w:pPr>
      <w:r w:rsidRPr="00806F2C">
        <w:rPr>
          <w:sz w:val="20"/>
        </w:rPr>
        <w:t xml:space="preserve">Nakupované zásoby sa oceňujú obstarávacou cenou. </w:t>
      </w:r>
    </w:p>
    <w:p w:rsidR="00806F2C" w:rsidRPr="00806F2C" w:rsidRDefault="00806F2C" w:rsidP="00806F2C">
      <w:pPr>
        <w:pStyle w:val="Zkladntext"/>
        <w:ind w:left="0"/>
        <w:rPr>
          <w:sz w:val="20"/>
        </w:rPr>
      </w:pPr>
      <w:r w:rsidRPr="00806F2C">
        <w:rPr>
          <w:sz w:val="20"/>
        </w:rPr>
        <w:t>Pri vyskladnení sa používa metóda FIFO.</w:t>
      </w:r>
    </w:p>
    <w:p w:rsidR="00806F2C" w:rsidRPr="00806F2C" w:rsidRDefault="00806F2C" w:rsidP="00806F2C">
      <w:pPr>
        <w:pStyle w:val="Zkladntext"/>
        <w:ind w:left="0"/>
        <w:rPr>
          <w:sz w:val="20"/>
        </w:rPr>
      </w:pPr>
      <w:r w:rsidRPr="00806F2C">
        <w:rPr>
          <w:sz w:val="20"/>
        </w:rPr>
        <w:t xml:space="preserve">Pri účtovaní sa používa spôsob „A“ účtovania zásob. </w:t>
      </w:r>
    </w:p>
    <w:p w:rsidR="00806F2C" w:rsidRPr="00806F2C" w:rsidRDefault="00806F2C" w:rsidP="00806F2C">
      <w:pPr>
        <w:pStyle w:val="Zkladntext"/>
        <w:ind w:left="0"/>
        <w:rPr>
          <w:sz w:val="20"/>
        </w:rPr>
      </w:pPr>
      <w:r w:rsidRPr="00806F2C">
        <w:rPr>
          <w:sz w:val="20"/>
        </w:rPr>
        <w:t>Zníženie hodnoty zásob sa zohľadňuje vytvorením opravnej položky.</w:t>
      </w:r>
    </w:p>
    <w:p w:rsidR="00FE7C7C" w:rsidRPr="008A2A9F" w:rsidRDefault="00806F2C" w:rsidP="00806F2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</w:t>
      </w:r>
      <w:r w:rsidR="00FE7C7C" w:rsidRPr="008A2A9F">
        <w:rPr>
          <w:b/>
          <w:bCs/>
        </w:rPr>
        <w:t>(e) Zákazková výroba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 xml:space="preserve">Zákazková výroba sa vykazuje použitím metódy stupňa dokončenia zákazky (angl. </w:t>
      </w:r>
      <w:proofErr w:type="spellStart"/>
      <w:r w:rsidRPr="008A2A9F">
        <w:rPr>
          <w:rFonts w:eastAsia="TimesNewRomanPSMT"/>
        </w:rPr>
        <w:t>percentage-of-completion-method</w:t>
      </w:r>
      <w:proofErr w:type="spellEnd"/>
      <w:r w:rsidRPr="008A2A9F">
        <w:rPr>
          <w:rFonts w:eastAsia="TimesNewRomanPSMT"/>
        </w:rPr>
        <w:t>).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(f) Zákazková výstavba nehnuteľnosti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8A2A9F">
        <w:rPr>
          <w:b/>
          <w:bCs/>
          <w:i/>
          <w:iCs/>
        </w:rPr>
        <w:t>Zákazková výstavba nehnuteľnosti – priebežný transfer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Zákazková výstavba nehnuteľnosti určenej na predaj sa vykazuje podľa metódy stupňa dokončenia.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8A2A9F">
        <w:rPr>
          <w:b/>
          <w:bCs/>
          <w:i/>
          <w:iCs/>
        </w:rPr>
        <w:t>Zákazková výstavba nehnuteľnosti – ostatn</w:t>
      </w:r>
      <w:r w:rsidRPr="008A2A9F">
        <w:rPr>
          <w:rFonts w:eastAsia="TimesNewRomanPSMT"/>
        </w:rPr>
        <w:t xml:space="preserve">á </w:t>
      </w:r>
      <w:r w:rsidRPr="008A2A9F">
        <w:rPr>
          <w:b/>
          <w:bCs/>
          <w:i/>
          <w:iCs/>
        </w:rPr>
        <w:t>(nie priebežný transfer)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Zákazková výstavba nehnuteľnosti určenej na predaj – ostatná (nie priebežný transfer) sa vykazuje metódou tzv. nulového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zisku, t. j. zisk sa vykáže až pri predaji nehnuteľnosti.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(g) Pohľadávky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Pohľadávky pri ich vzniku sa oceňujú ich menovitou hodnotou; postúpené pohľadávky a pohľadávky nadobudnuté vkladom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do základného imania sa oceňujú obstarávacou cenou vrátane nákladov súvisiacich s obstaraním. Toto ocenenie sa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znižuje o pochybné a nevymožiteľné pohľadávky.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(h) Peňažné prostriedky a ceniny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Peňažné prostriedky a ceniny sa oceňujú ich menovitou hodnotou. Zníženie ich hodnoty sa vyjadruje opravnou položkou.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(i) Náklady budúcich období a príjmy budúcich období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Náklady budúcich období a príjmy budúcich období sa vykazujú vo výške, ktorá je potrebná na dodržanie zásady vecnej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časovej súvislosti s účtovným obdobím.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lastRenderedPageBreak/>
        <w:t>(j) Rezervy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Rezervy sú záväzky s neurčitým časovým vymedzením alebo výškou; tvoria sa na krytie známych rizík alebo strát z podnikania.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Oceňujú sa v očakávanej výške záväzku.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(k) Záväzky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Záväzky pri ich vzniku sa oceňujú menovitou hodnotou. Záväzky pri ich prevzatí sa oceňujú obstarávacou cenou.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Ak sa pri inventarizácii zistí, že suma záväzkov je iná ako ich výška v účtovníctve, uvedú sa záväzky v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účtovníctve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v účtovnej závierke v tomto zistenom ocenení.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(l) Odložené dane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Odložené dane (odložená daňová pohľadávka a odložený daňový záväzok) sa vzťahujú na: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a) dočasné rozdiely medzi účtovnou hodnotou majetku a účtovnou hodnotou záväzkov vykázanou v súvahe a ich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daňovou základňou,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b) možnosť umorovať daňovú stratu v budúcnosti, ktorou sa rozumie možnosť odpočítať daňovú stratu od základu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dane v budúcnosti,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c) možnosť previesť nevyužité daňové odpočty a iné daňové nároky do budúcich období.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(m) Výdavky budúcich období a výnosy budúcich období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Výdavky budúcich období a výnosy budúcich období sa vykazujú vo výške, ktorá je potrebná na dodržanie zásady vecnej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časovej súvislosti s účtovným obdobím.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 xml:space="preserve"> (n) Emisné kvóty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Bezodplatne pripísaný proporčný podiel emisných kvót v ocenení reprodukčnou obstarávacou cenou sa účtuje v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prospech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výnosov budúcich období.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Zúčtovanie výnosov budúcich období sa uskutočňuje v časovej a vecnej súvislosti s použitím bezodplatne pripísaných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emisných kvót z dôvodu ich predaja alebo tvorby rezervy alebo splnenia povinnosti odovzdania emisných kvót.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Nakúpené emisné kvóty sa oceňujú obstarávacou cenou.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(o) Dotácie zo štátneho rozpočtu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O nároku na dotácie zo štátneho rozpočtu sa účtuje, ak je takmer isté, že sa splnia všetky podmienky súvisiace s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dotáciou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a súčasne, že sa dotácia poskytne.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Dotácie na hospodársku činnosť Spoločnosti sa najskôr vykazujú ako výnosy budúcich období a do výkazu ziskov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strát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sa rozpúšťajú ako výnosy z hospodárskej činnosti v časovej a vecnej súvislosti s vynaložením nákladov na príslušný účel.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Dotácie na obstaranie dlhodobého hmotného majetku a dlhodobého nehmotného majetku sa najskôr vykazujú ako výnosy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budúcich období a do výkazu ziskov a strát sa rozpúšťajú v časovej a vecnej súvislosti so zaúčtovaním odpisov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 tohto dlhodobého majetku.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(p) Prenájom (lízing)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prenajatý na základe operatívneho prenájmu vykazuje ako svoj majetok jeho vlastník, nie nájomca.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Finančný prenájom je obstaranie dlhodobého hmotného majetku na základe nájomnej zmluvy s dojednaným právom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kúpy prenajatej veci za dohodnuté platby počas dohodnutej doby nájmu. Majetok prenajatý formou finančného prenájmu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vykazuje ako svoj majetok a odpisuje ho jeho nájomca, nie vlastník.</w:t>
      </w:r>
    </w:p>
    <w:p w:rsidR="00FE7C7C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Súčasťou dohodnutých platieb je aj kúpna cena, za ktorú na konci dohodnutej doby finančného prenájmu prechádza vlastnícke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právo k prenajatému majetku z prenajímateľa na nájomcu. Dohodnutá doba nájmu je najmenej 60 % doby odpisovania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podľa daňových predpisov, minimálne však 3 roky. Platba nájomného je alokovaná medzi splátku istiny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finančné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 xml:space="preserve">náklady, vypočítané metódou efektívnej úrokovej miery. 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(q) Deriváty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Deriváty sa oceňujú reálnou hodnotou.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Zmeny reálnych hodnôt zabezpečovacích derivátov sa účtujú bez vplyvu na výsledok hospodárenia, priamo do vlastného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imania.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Zmeny reálnych hodnôt derivátov určených na obchodovanie na tuzemskej burze, zahraničnej burze alebo na inom verejnom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trhu sa účtujú s vplyvom na výsledok hospodárenia.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Zmeny reálnych hodnôt derivátov určených na obchodovanie na neverejnom trhu sa účtujú bez vplyvu na výsledok hospodárenia,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priamo do vlastného imania.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(r) Majetok a záväzky zabezpečené derivátmi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a záväzky zabezpečené derivátmi sa oceňujú reálnou hodnotou. Zmeny reálnych hodnôt majetku a</w:t>
      </w:r>
      <w:r>
        <w:rPr>
          <w:rFonts w:eastAsia="TimesNewRomanPSMT"/>
        </w:rPr>
        <w:t> </w:t>
      </w:r>
      <w:r w:rsidRPr="008A2A9F">
        <w:rPr>
          <w:rFonts w:eastAsia="TimesNewRomanPSMT"/>
        </w:rPr>
        <w:t>záväzkov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zabezpečených derivátmi sa účtujú bez vplyvu na výsledok hospodárenia, priamo do vlastného imania.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(s) Cudzia mena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a záväzky vyjadrené v cudzej mene sa ku dňu uskutočnenia účtovného prípadu prepočítavajú na menu euro referenčným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výmenným kurzom určeným a vyhláseným Európskou centrálnou bankou alebo Národnou bankou Slovenska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 deň predchádzajúci dňu uskutočnenia účtovného prípadu.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Na ocenenie prírastku cudzej meny nakúpenej za euro sa použije kurz, za ktorý bola táto cudzia mena nakúpená.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lastRenderedPageBreak/>
        <w:t>Na úbytok rovnakej cudzej meny v hotovosti alebo z devízového účtu sa na prepočet cudzej meny na eurá použije referenčný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výmenný kurz určený a vyhlásený Európskou centrálnou bankou alebo Národnou bankou Slovenska v deň predchádzajúci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dňu uskutočnenia účtovného prípadu.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Majetok a záväzky vyjadrené v cudzej mene (okrem prijatých a poskytnutých preddavkov) sa ku dňu, ku ktorému sa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zostavuje účtovná závierka, prepočítavajú na menu euro referenčným výmenným kurzom určeným a vyhláseným Európskou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centrálnou bankou alebo Národnou bankou Slovenska v deň, ku ktorému sa zostavuje účtovná závierka, a účtujú sa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 vplyvom na výsledok hospodárenia.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Prijaté a poskytnuté preddavky v cudzej mene prostredníctvom účtu vedeného v tejto cudzej mene sa prepočítavajú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na menu euro referenčným výmenným kurzom určeným a vyhláseným Európskou centrálnou bankou alebo Národnou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bankou Slovenska v deň predchádzajúci dňu uskutočnenia účtovného prípadu. Ku dňu, ku ktorému sa zostavuje účtovná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závierka, sa už neprepočítavajú.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rFonts w:eastAsia="TimesNewRomanPSMT"/>
        </w:rPr>
      </w:pPr>
      <w:r w:rsidRPr="008A2A9F">
        <w:rPr>
          <w:rFonts w:eastAsia="TimesNewRomanPSMT"/>
        </w:rPr>
        <w:t>Prijaté a poskytnuté preddavky v cudzej mene na účet zriadený v eurách a z účtu zriadeného v eurách sa prepočítavajú na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menu euro kurzom, za ktorý boli tieto hodnoty nakúpené alebo predané.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  <w:rPr>
          <w:b/>
          <w:bCs/>
        </w:rPr>
      </w:pPr>
      <w:r w:rsidRPr="008A2A9F">
        <w:rPr>
          <w:b/>
          <w:bCs/>
        </w:rPr>
        <w:t>(t) Výnosy</w:t>
      </w:r>
    </w:p>
    <w:p w:rsidR="00FE7C7C" w:rsidRPr="008A2A9F" w:rsidRDefault="00FE7C7C" w:rsidP="00FE7C7C">
      <w:pPr>
        <w:autoSpaceDE w:val="0"/>
        <w:autoSpaceDN w:val="0"/>
        <w:adjustRightInd w:val="0"/>
        <w:jc w:val="both"/>
      </w:pPr>
      <w:r w:rsidRPr="008A2A9F">
        <w:rPr>
          <w:rFonts w:eastAsia="TimesNewRomanPSMT"/>
        </w:rPr>
        <w:t>Tržby za vlastné výkony a tovar neobsahujú daň z pridanej hodnoty. Sú tiež znížené o zľavy a zrážky (rabaty, bonusy,</w:t>
      </w:r>
      <w:r>
        <w:rPr>
          <w:rFonts w:eastAsia="TimesNewRomanPSMT"/>
        </w:rPr>
        <w:t xml:space="preserve"> </w:t>
      </w:r>
      <w:r w:rsidRPr="008A2A9F">
        <w:rPr>
          <w:rFonts w:eastAsia="TimesNewRomanPSMT"/>
        </w:rPr>
        <w:t>skontá, dobropisy a pod.), bez ohľadu na to, či zákazník mal vopred na zľavu nárok, alebo či ide o dodatočne uznanú</w:t>
      </w:r>
      <w:r>
        <w:rPr>
          <w:rFonts w:eastAsia="TimesNewRomanPSMT"/>
        </w:rPr>
        <w:t xml:space="preserve"> zľavu.</w:t>
      </w:r>
    </w:p>
    <w:p w:rsidR="00FE7C7C" w:rsidRPr="00652A99" w:rsidRDefault="00FE7C7C" w:rsidP="00FE7C7C"/>
    <w:p w:rsidR="004D3B4A" w:rsidRDefault="004D3B4A" w:rsidP="008A2C5F">
      <w:pPr>
        <w:pStyle w:val="Nadpis1"/>
        <w:numPr>
          <w:ilvl w:val="0"/>
          <w:numId w:val="8"/>
        </w:numPr>
        <w:spacing w:before="120" w:after="60"/>
      </w:pPr>
      <w:r>
        <w:t>informácie o údajoch na strane aktív súvahy</w:t>
      </w:r>
      <w:bookmarkEnd w:id="6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8A2C5F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5070E3" w:rsidRDefault="005070E3" w:rsidP="005070E3"/>
    <w:p w:rsidR="005070E3" w:rsidRDefault="005070E3" w:rsidP="005070E3">
      <w:pPr>
        <w:pStyle w:val="Zkladntext"/>
      </w:pPr>
      <w:r>
        <w:t xml:space="preserve">Prehľad o pohybe dlhodobého nehmotného majetku </w:t>
      </w:r>
      <w:r w:rsidRPr="00C24B6B">
        <w:t>je uvedený v</w:t>
      </w:r>
      <w:r>
        <w:t> </w:t>
      </w:r>
      <w:r w:rsidRPr="00C24B6B">
        <w:t>tabuľk</w:t>
      </w:r>
      <w:r>
        <w:t>e:</w:t>
      </w:r>
    </w:p>
    <w:p w:rsidR="005070E3" w:rsidRDefault="005070E3" w:rsidP="005070E3">
      <w:pPr>
        <w:pStyle w:val="Zkladntext"/>
      </w:pPr>
    </w:p>
    <w:bookmarkStart w:id="8" w:name="_MON_1426229052"/>
    <w:bookmarkEnd w:id="8"/>
    <w:p w:rsidR="005070E3" w:rsidRDefault="00C71C4F" w:rsidP="005070E3">
      <w:pPr>
        <w:pStyle w:val="Zkladntext"/>
      </w:pPr>
      <w:r>
        <w:object w:dxaOrig="9321" w:dyaOrig="5797">
          <v:shape id="_x0000_i1027" type="#_x0000_t75" style="width:448.5pt;height:312.75pt" o:ole="" o:preferrelative="f">
            <v:imagedata r:id="rId12" o:title=""/>
            <o:lock v:ext="edit" aspectratio="f"/>
          </v:shape>
          <o:OLEObject Type="Embed" ProgID="Excel.Sheet.12" ShapeID="_x0000_i1027" DrawAspect="Content" ObjectID="_1457508382" r:id="rId13"/>
        </w:object>
      </w:r>
    </w:p>
    <w:p w:rsidR="005070E3" w:rsidRDefault="005070E3" w:rsidP="005070E3">
      <w:pPr>
        <w:ind w:left="360"/>
      </w:pPr>
    </w:p>
    <w:bookmarkStart w:id="9" w:name="_MON_1426229235"/>
    <w:bookmarkEnd w:id="9"/>
    <w:p w:rsidR="005070E3" w:rsidRPr="005070E3" w:rsidRDefault="00C71C4F" w:rsidP="005070E3">
      <w:pPr>
        <w:ind w:left="360"/>
      </w:pPr>
      <w:r>
        <w:object w:dxaOrig="9321" w:dyaOrig="5797">
          <v:shape id="_x0000_i1028" type="#_x0000_t75" style="width:448.5pt;height:312.75pt" o:ole="" o:preferrelative="f">
            <v:imagedata r:id="rId14" o:title=""/>
            <o:lock v:ext="edit" aspectratio="f"/>
          </v:shape>
          <o:OLEObject Type="Embed" ProgID="Excel.Sheet.12" ShapeID="_x0000_i1028" DrawAspect="Content" ObjectID="_1457508383" r:id="rId15"/>
        </w:object>
      </w:r>
    </w:p>
    <w:p w:rsidR="005070E3" w:rsidRDefault="005070E3" w:rsidP="005070E3"/>
    <w:p w:rsidR="005070E3" w:rsidRDefault="005070E3" w:rsidP="005070E3">
      <w:pPr>
        <w:pStyle w:val="Zkladntext"/>
      </w:pPr>
      <w:r>
        <w:t xml:space="preserve">Prehľad o pohybe dlhodobého hmotného majetku </w:t>
      </w:r>
      <w:r w:rsidRPr="00C24B6B">
        <w:t>je uvedený v</w:t>
      </w:r>
      <w:r>
        <w:t> </w:t>
      </w:r>
      <w:r w:rsidRPr="00C24B6B">
        <w:t>tabuľk</w:t>
      </w:r>
      <w:r>
        <w:t>e:</w:t>
      </w:r>
    </w:p>
    <w:p w:rsidR="005070E3" w:rsidRDefault="005070E3" w:rsidP="005070E3">
      <w:pPr>
        <w:pStyle w:val="Zkladntext"/>
      </w:pPr>
    </w:p>
    <w:bookmarkStart w:id="10" w:name="_MON_1425366777"/>
    <w:bookmarkEnd w:id="10"/>
    <w:p w:rsidR="005070E3" w:rsidRDefault="004B40EB" w:rsidP="005070E3">
      <w:pPr>
        <w:pStyle w:val="Zkladntext"/>
      </w:pPr>
      <w:r>
        <w:object w:dxaOrig="8642" w:dyaOrig="6013">
          <v:shape id="_x0000_i1029" type="#_x0000_t75" style="width:416.25pt;height:324pt" o:ole="" o:preferrelative="f">
            <v:imagedata r:id="rId16" o:title=""/>
            <o:lock v:ext="edit" aspectratio="f"/>
          </v:shape>
          <o:OLEObject Type="Embed" ProgID="Excel.Sheet.12" ShapeID="_x0000_i1029" DrawAspect="Content" ObjectID="_1457508384" r:id="rId17"/>
        </w:object>
      </w:r>
    </w:p>
    <w:p w:rsidR="005070E3" w:rsidRDefault="005070E3" w:rsidP="005070E3"/>
    <w:p w:rsidR="005070E3" w:rsidRDefault="005070E3" w:rsidP="005070E3">
      <w:pPr>
        <w:pStyle w:val="Zkladntext"/>
      </w:pPr>
    </w:p>
    <w:bookmarkStart w:id="11" w:name="_MON_1426228935"/>
    <w:bookmarkEnd w:id="11"/>
    <w:p w:rsidR="005070E3" w:rsidRDefault="004B40EB" w:rsidP="005070E3">
      <w:pPr>
        <w:pStyle w:val="Zkladntext"/>
      </w:pPr>
      <w:r>
        <w:object w:dxaOrig="8738" w:dyaOrig="6013">
          <v:shape id="_x0000_i1030" type="#_x0000_t75" style="width:420.75pt;height:324pt" o:ole="" o:preferrelative="f">
            <v:imagedata r:id="rId18" o:title=""/>
            <o:lock v:ext="edit" aspectratio="f"/>
          </v:shape>
          <o:OLEObject Type="Embed" ProgID="Excel.Sheet.12" ShapeID="_x0000_i1030" DrawAspect="Content" ObjectID="_1457508385" r:id="rId19"/>
        </w:object>
      </w:r>
    </w:p>
    <w:p w:rsidR="005070E3" w:rsidRPr="005070E3" w:rsidRDefault="005070E3" w:rsidP="005070E3"/>
    <w:p w:rsidR="00B62963" w:rsidRDefault="00B62963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0629B7" w:rsidRDefault="000629B7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lastRenderedPageBreak/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</w:t>
      </w:r>
      <w:r w:rsidR="00B219F1">
        <w:t>predchádzajúce</w:t>
      </w:r>
      <w:r w:rsidR="00515879">
        <w:t xml:space="preserve">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3" w:name="_MON_1405930710"/>
    <w:bookmarkEnd w:id="13"/>
    <w:p w:rsidR="00086A82" w:rsidRDefault="00085D04" w:rsidP="00342E08">
      <w:pPr>
        <w:pStyle w:val="Zkladntext"/>
      </w:pPr>
      <w:r>
        <w:object w:dxaOrig="8833" w:dyaOrig="6071">
          <v:shape id="_x0000_i1031" type="#_x0000_t75" style="width:429.75pt;height:330.75pt" o:ole="" o:preferrelative="f">
            <v:imagedata r:id="rId20" o:title=""/>
            <o:lock v:ext="edit" aspectratio="f"/>
          </v:shape>
          <o:OLEObject Type="Embed" ProgID="Excel.Sheet.12" ShapeID="_x0000_i1031" DrawAspect="Content" ObjectID="_1457508386" r:id="rId21"/>
        </w:object>
      </w:r>
    </w:p>
    <w:p w:rsidR="00B56CBE" w:rsidRDefault="00B56CBE" w:rsidP="00342E08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 xml:space="preserve">Veková štruktúra pohľadávok za </w:t>
      </w:r>
      <w:r w:rsidR="00B219F1">
        <w:t>bežné</w:t>
      </w:r>
      <w:r>
        <w:t xml:space="preserve">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14" w:name="_MON_1405930718"/>
    <w:bookmarkEnd w:id="14"/>
    <w:p w:rsidR="00342E08" w:rsidRDefault="00B219F1" w:rsidP="00CA441D">
      <w:pPr>
        <w:pStyle w:val="Zkladntext"/>
      </w:pPr>
      <w:r>
        <w:object w:dxaOrig="8833" w:dyaOrig="6071">
          <v:shape id="_x0000_i1032" type="#_x0000_t75" style="width:431.25pt;height:331.5pt" o:ole="" o:preferrelative="f">
            <v:imagedata r:id="rId22" o:title=""/>
            <o:lock v:ext="edit" aspectratio="f"/>
          </v:shape>
          <o:OLEObject Type="Embed" ProgID="Excel.Sheet.12" ShapeID="_x0000_i1032" DrawAspect="Content" ObjectID="_1457508387" r:id="rId23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5" w:name="_MON_1405930725"/>
    <w:bookmarkEnd w:id="15"/>
    <w:p w:rsidR="00367A6E" w:rsidRDefault="00A7546C" w:rsidP="00142DDE">
      <w:pPr>
        <w:pStyle w:val="Zkladntext"/>
      </w:pPr>
      <w:r>
        <w:object w:dxaOrig="8795" w:dyaOrig="2383">
          <v:shape id="_x0000_i1033" type="#_x0000_t75" style="width:430.5pt;height:129.75pt" o:ole="" o:preferrelative="f">
            <v:imagedata r:id="rId24" o:title=""/>
            <o:lock v:ext="edit" aspectratio="f"/>
          </v:shape>
          <o:OLEObject Type="Embed" ProgID="Excel.Sheet.12" ShapeID="_x0000_i1033" DrawAspect="Content" ObjectID="_1457508388" r:id="rId25"/>
        </w:object>
      </w:r>
      <w:r w:rsidR="00A9048F" w:rsidRPr="00A9048F">
        <w:t xml:space="preserve"> </w:t>
      </w:r>
    </w:p>
    <w:p w:rsidR="00761E3B" w:rsidRDefault="00761E3B" w:rsidP="00761E3B">
      <w:pPr>
        <w:pStyle w:val="Zkladntext"/>
      </w:pPr>
    </w:p>
    <w:p w:rsidR="00761E3B" w:rsidRPr="001D5F78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5"/>
      <w:r>
        <w:lastRenderedPageBreak/>
        <w:t>Finančné účty</w:t>
      </w:r>
      <w:bookmarkEnd w:id="16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</w:t>
      </w:r>
      <w:r w:rsidR="00085D04">
        <w:t> </w:t>
      </w:r>
      <w:r>
        <w:t>bankách</w:t>
      </w:r>
      <w:r w:rsidR="00085D04">
        <w:t>.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7" w:name="_MON_1405930822"/>
    <w:bookmarkEnd w:id="17"/>
    <w:p w:rsidR="004262D7" w:rsidRDefault="00A7546C" w:rsidP="00086A82">
      <w:pPr>
        <w:pStyle w:val="Zkladntext"/>
      </w:pPr>
      <w:r w:rsidRPr="00003C63">
        <w:object w:dxaOrig="8809" w:dyaOrig="1893">
          <v:shape id="_x0000_i1034" type="#_x0000_t75" style="width:430.5pt;height:102.75pt" o:ole="" o:preferrelative="f">
            <v:imagedata r:id="rId26" o:title=""/>
            <o:lock v:ext="edit" aspectratio="f"/>
          </v:shape>
          <o:OLEObject Type="Embed" ProgID="Excel.Sheet.12" ShapeID="_x0000_i1034" DrawAspect="Content" ObjectID="_1457508389" r:id="rId27"/>
        </w:object>
      </w: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8" w:name="_Toc530739906"/>
      <w:r>
        <w:t>Časové rozlíšenie</w:t>
      </w:r>
      <w:bookmarkEnd w:id="18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085D04" w:rsidRDefault="00085D04" w:rsidP="00CA441D">
      <w:pPr>
        <w:pStyle w:val="Zkladntext"/>
      </w:pPr>
    </w:p>
    <w:bookmarkStart w:id="19" w:name="_MON_1405947617"/>
    <w:bookmarkEnd w:id="19"/>
    <w:p w:rsidR="00B12204" w:rsidRDefault="004D4BE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95" w:dyaOrig="2095">
          <v:shape id="_x0000_i1035" type="#_x0000_t75" style="width:429.75pt;height:114.75pt" o:ole="" o:preferrelative="f">
            <v:imagedata r:id="rId28" o:title=""/>
            <o:lock v:ext="edit" aspectratio="f"/>
          </v:shape>
          <o:OLEObject Type="Embed" ProgID="Excel.Sheet.12" ShapeID="_x0000_i1035" DrawAspect="Content" ObjectID="_1457508390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8A2C5F">
      <w:pPr>
        <w:pStyle w:val="Nadpis2"/>
        <w:numPr>
          <w:ilvl w:val="0"/>
          <w:numId w:val="5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</w:t>
      </w:r>
      <w:r w:rsidR="00E63EB9">
        <w:t>K</w:t>
      </w:r>
      <w:r>
        <w:t>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8A2C5F">
      <w:pPr>
        <w:pStyle w:val="Nadpis2"/>
        <w:numPr>
          <w:ilvl w:val="0"/>
          <w:numId w:val="5"/>
        </w:numPr>
      </w:pPr>
      <w:r>
        <w:t>Rezervy</w:t>
      </w:r>
    </w:p>
    <w:bookmarkEnd w:id="2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 xml:space="preserve">Prehľad o rezervách za </w:t>
      </w:r>
      <w:r w:rsidR="004D4BE4">
        <w:t>predchádzajúce</w:t>
      </w:r>
      <w:r>
        <w:t xml:space="preserve">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1" w:name="_MON_1405948469"/>
    <w:bookmarkEnd w:id="21"/>
    <w:p w:rsidR="00B12204" w:rsidRDefault="004D4BE4" w:rsidP="009D0700">
      <w:pPr>
        <w:ind w:left="426"/>
      </w:pPr>
      <w:r>
        <w:object w:dxaOrig="8560" w:dyaOrig="3535">
          <v:shape id="_x0000_i1036" type="#_x0000_t75" style="width:429pt;height:197.25pt" o:ole="" o:preferrelative="f">
            <v:imagedata r:id="rId30" o:title=""/>
            <o:lock v:ext="edit" aspectratio="f"/>
          </v:shape>
          <o:OLEObject Type="Embed" ProgID="Excel.Sheet.12" ShapeID="_x0000_i1036" DrawAspect="Content" ObjectID="_1457508391" r:id="rId31"/>
        </w:object>
      </w:r>
    </w:p>
    <w:p w:rsidR="00EF0F13" w:rsidRDefault="00EF0F13" w:rsidP="00EF0F13">
      <w:pPr>
        <w:pStyle w:val="Zkladntext"/>
      </w:pPr>
      <w:bookmarkStart w:id="22" w:name="OLE_LINK17"/>
      <w:bookmarkStart w:id="23" w:name="OLE_LINK18"/>
    </w:p>
    <w:p w:rsidR="004D4BE4" w:rsidRPr="00EC0203" w:rsidRDefault="004D4BE4" w:rsidP="004D4BE4">
      <w:pPr>
        <w:pStyle w:val="Zkladntext"/>
      </w:pPr>
      <w:r>
        <w:t>Prehľad o rezervách za bežné účtovné obdobie je uvedený v nasledujúcom prehľade:</w:t>
      </w:r>
    </w:p>
    <w:p w:rsidR="004D4BE4" w:rsidRDefault="004D4BE4" w:rsidP="004D4BE4">
      <w:pPr>
        <w:pStyle w:val="Zkladntext"/>
        <w:jc w:val="left"/>
      </w:pPr>
    </w:p>
    <w:bookmarkStart w:id="24" w:name="_MON_1457503591"/>
    <w:bookmarkEnd w:id="24"/>
    <w:p w:rsidR="004D4BE4" w:rsidRDefault="004D4BE4" w:rsidP="004D4BE4">
      <w:pPr>
        <w:ind w:left="426"/>
      </w:pPr>
      <w:r>
        <w:object w:dxaOrig="8560" w:dyaOrig="3535">
          <v:shape id="_x0000_i1037" type="#_x0000_t75" style="width:429pt;height:197.25pt" o:ole="" o:preferrelative="f">
            <v:imagedata r:id="rId32" o:title=""/>
            <o:lock v:ext="edit" aspectratio="f"/>
          </v:shape>
          <o:OLEObject Type="Embed" ProgID="Excel.Sheet.12" ShapeID="_x0000_i1037" DrawAspect="Content" ObjectID="_1457508392" r:id="rId33"/>
        </w:object>
      </w:r>
    </w:p>
    <w:p w:rsidR="004D4BE4" w:rsidRDefault="004D4BE4" w:rsidP="004D4BE4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4D4BE4" w:rsidRDefault="004D4BE4" w:rsidP="00EF0F13">
      <w:pPr>
        <w:pStyle w:val="Zkladntex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5" w:name="_Toc530739909"/>
      <w:bookmarkEnd w:id="22"/>
      <w:bookmarkEnd w:id="23"/>
      <w:r>
        <w:lastRenderedPageBreak/>
        <w:t>Záväzky</w:t>
      </w:r>
      <w:bookmarkEnd w:id="25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6" w:name="_MON_1405948528"/>
    <w:bookmarkEnd w:id="26"/>
    <w:p w:rsidR="002A7CDF" w:rsidRDefault="00A60734" w:rsidP="009D0700">
      <w:pPr>
        <w:ind w:left="426"/>
      </w:pPr>
      <w:r>
        <w:object w:dxaOrig="8728" w:dyaOrig="2844">
          <v:shape id="_x0000_i1046" type="#_x0000_t75" style="width:429pt;height:156pt" o:ole="" o:preferrelative="f">
            <v:imagedata r:id="rId34" o:title=""/>
            <o:lock v:ext="edit" aspectratio="f"/>
          </v:shape>
          <o:OLEObject Type="Embed" ProgID="Excel.Sheet.12" ShapeID="_x0000_i1046" DrawAspect="Content" ObjectID="_1457508393" r:id="rId35"/>
        </w:object>
      </w:r>
    </w:p>
    <w:p w:rsidR="0093504F" w:rsidRDefault="0093504F" w:rsidP="0093504F">
      <w:pPr>
        <w:pStyle w:val="Nadpis2"/>
        <w:numPr>
          <w:ilvl w:val="0"/>
          <w:numId w:val="2"/>
        </w:numPr>
      </w:pPr>
      <w:r>
        <w:t>Bankové úvery</w:t>
      </w:r>
    </w:p>
    <w:p w:rsidR="0093504F" w:rsidRDefault="0093504F" w:rsidP="0093504F"/>
    <w:p w:rsidR="0093504F" w:rsidRDefault="0093504F" w:rsidP="0093504F">
      <w:r>
        <w:t>Štruktúra bankových úverov je uvedená v nasledujúcom prehľade:</w:t>
      </w:r>
    </w:p>
    <w:p w:rsidR="0093504F" w:rsidRDefault="0093504F" w:rsidP="0093504F"/>
    <w:tbl>
      <w:tblPr>
        <w:tblW w:w="9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30"/>
        <w:gridCol w:w="550"/>
        <w:gridCol w:w="1500"/>
        <w:gridCol w:w="1320"/>
        <w:gridCol w:w="1240"/>
        <w:gridCol w:w="1080"/>
        <w:gridCol w:w="1240"/>
      </w:tblGrid>
      <w:tr w:rsidR="0093504F" w:rsidRPr="00D91A67" w:rsidTr="008A1750">
        <w:trPr>
          <w:trHeight w:val="720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504F" w:rsidRPr="00D91A67" w:rsidRDefault="0093504F" w:rsidP="008A1750">
            <w:pPr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 xml:space="preserve">úrok </w:t>
            </w:r>
            <w:proofErr w:type="spellStart"/>
            <w:r w:rsidRPr="00D91A67">
              <w:rPr>
                <w:color w:val="000000"/>
                <w:sz w:val="18"/>
                <w:szCs w:val="18"/>
                <w:lang w:eastAsia="sk-SK"/>
              </w:rPr>
              <w:t>p.a</w:t>
            </w:r>
            <w:proofErr w:type="spellEnd"/>
            <w:r w:rsidRPr="00D91A67">
              <w:rPr>
                <w:color w:val="000000"/>
                <w:sz w:val="18"/>
                <w:szCs w:val="18"/>
                <w:lang w:eastAsia="sk-SK"/>
              </w:rPr>
              <w:t>. v %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suma istiny v príslušnej mene k 31.12.2013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suma istiny v eurách k 31.12.2013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suma istiny v príslušnej mene k 31.12.2012</w:t>
            </w:r>
          </w:p>
        </w:tc>
      </w:tr>
      <w:tr w:rsidR="0093504F" w:rsidRPr="00D91A67" w:rsidTr="008A1750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93504F" w:rsidRPr="00D91A67" w:rsidTr="008A1750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504F" w:rsidRPr="00D91A67" w:rsidRDefault="0093504F" w:rsidP="008A17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bankové úvery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3504F" w:rsidRPr="00D91A67" w:rsidTr="008A1750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504F" w:rsidRPr="00D91A67" w:rsidRDefault="0093504F" w:rsidP="008A175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D91A67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93504F" w:rsidRPr="00D91A67" w:rsidTr="008A1750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504F" w:rsidRPr="00D91A67" w:rsidRDefault="0093504F" w:rsidP="008A175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Krátkodobé bankové úvery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13783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13</w:t>
            </w: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783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3504F" w:rsidRPr="00D91A67" w:rsidTr="008A1750">
        <w:trPr>
          <w:trHeight w:val="300"/>
        </w:trPr>
        <w:tc>
          <w:tcPr>
            <w:tcW w:w="2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3504F" w:rsidRPr="00D91A67" w:rsidRDefault="0093504F" w:rsidP="008A1750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D91A67">
              <w:rPr>
                <w:color w:val="000000"/>
                <w:sz w:val="18"/>
                <w:szCs w:val="18"/>
                <w:lang w:eastAsia="sk-SK"/>
              </w:rPr>
              <w:t>Kontokorent</w:t>
            </w:r>
            <w:proofErr w:type="spellEnd"/>
            <w:r w:rsidRPr="00D91A67">
              <w:rPr>
                <w:color w:val="000000"/>
                <w:sz w:val="18"/>
                <w:szCs w:val="18"/>
                <w:lang w:eastAsia="sk-SK"/>
              </w:rPr>
              <w:t xml:space="preserve"> ČSOB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BF14EC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7,3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91A67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13783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8A175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13783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504F" w:rsidRPr="00D91A67" w:rsidRDefault="0093504F" w:rsidP="0093504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2330</w:t>
            </w:r>
          </w:p>
        </w:tc>
      </w:tr>
    </w:tbl>
    <w:p w:rsidR="0093504F" w:rsidRDefault="0093504F" w:rsidP="009D0700">
      <w:pPr>
        <w:ind w:left="426"/>
      </w:pPr>
    </w:p>
    <w:p w:rsidR="00086A82" w:rsidRDefault="00086A82" w:rsidP="00491AF0">
      <w:pPr>
        <w:pStyle w:val="Zkladntext"/>
      </w:pPr>
    </w:p>
    <w:p w:rsidR="00B62963" w:rsidRDefault="000C17C3">
      <w:pPr>
        <w:pStyle w:val="Nadpis2"/>
        <w:numPr>
          <w:ilvl w:val="0"/>
          <w:numId w:val="0"/>
        </w:numPr>
        <w:ind w:left="426"/>
      </w:pPr>
      <w:bookmarkStart w:id="27" w:name="_Toc530739910"/>
      <w:r w:rsidRPr="000C17C3">
        <w:rPr>
          <w:b w:val="0"/>
        </w:rPr>
        <w:br w:type="page"/>
      </w:r>
      <w:r w:rsidRPr="000C17C3">
        <w:lastRenderedPageBreak/>
        <w:t xml:space="preserve"> </w:t>
      </w:r>
      <w:bookmarkEnd w:id="27"/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1"/>
      <w:r>
        <w:t>Sociálny fond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29" w:name="_MON_1405948668"/>
    <w:bookmarkEnd w:id="29"/>
    <w:p w:rsidR="00A25722" w:rsidRPr="00D16B95" w:rsidRDefault="0093504F" w:rsidP="00A25722">
      <w:pPr>
        <w:pStyle w:val="Zkladntext"/>
        <w:rPr>
          <w:lang w:val="de-DE"/>
        </w:rPr>
      </w:pPr>
      <w:r>
        <w:object w:dxaOrig="8728" w:dyaOrig="2815">
          <v:shape id="_x0000_i1038" type="#_x0000_t75" style="width:429pt;height:154.5pt" o:ole="" o:preferrelative="f">
            <v:imagedata r:id="rId36" o:title=""/>
            <o:lock v:ext="edit" aspectratio="f"/>
          </v:shape>
          <o:OLEObject Type="Embed" ProgID="Excel.Sheet.12" ShapeID="_x0000_i1038" DrawAspect="Content" ObjectID="_1457508394" r:id="rId3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bookmarkEnd w:id="30"/>
    <w:p w:rsidR="00E231BA" w:rsidRDefault="00E231BA" w:rsidP="00E231BA">
      <w:pPr>
        <w:pStyle w:val="Zkladntext"/>
      </w:pPr>
    </w:p>
    <w:p w:rsidR="005C50FC" w:rsidRDefault="005C50FC" w:rsidP="008A2C5F">
      <w:pPr>
        <w:pStyle w:val="Nadpis2"/>
        <w:numPr>
          <w:ilvl w:val="0"/>
          <w:numId w:val="9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1" w:name="_MON_1405950002"/>
    <w:bookmarkEnd w:id="31"/>
    <w:p w:rsidR="0000290B" w:rsidRDefault="00417BC5" w:rsidP="0000290B">
      <w:pPr>
        <w:pStyle w:val="Zkladntext"/>
      </w:pPr>
      <w:r>
        <w:object w:dxaOrig="8503" w:dyaOrig="2368">
          <v:shape id="_x0000_i1039" type="#_x0000_t75" style="width:429pt;height:133.5pt" o:ole="" o:preferrelative="f">
            <v:imagedata r:id="rId38" o:title=""/>
            <o:lock v:ext="edit" aspectratio="f"/>
          </v:shape>
          <o:OLEObject Type="Embed" ProgID="Excel.Sheet.12" ShapeID="_x0000_i1039" DrawAspect="Content" ObjectID="_1457508395" r:id="rId39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8A2C5F">
      <w:pPr>
        <w:pStyle w:val="Nadpis2"/>
        <w:numPr>
          <w:ilvl w:val="0"/>
          <w:numId w:val="7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2" w:name="_MON_1405950034"/>
    <w:bookmarkEnd w:id="32"/>
    <w:p w:rsidR="009458E0" w:rsidRDefault="000D43F7" w:rsidP="0000290B">
      <w:pPr>
        <w:pStyle w:val="Zkladntext"/>
      </w:pPr>
      <w:r>
        <w:object w:dxaOrig="8589" w:dyaOrig="9212">
          <v:shape id="_x0000_i1040" type="#_x0000_t75" style="width:429.75pt;height:515.25pt" o:ole="" o:preferrelative="f">
            <v:imagedata r:id="rId40" o:title=""/>
            <o:lock v:ext="edit" aspectratio="f"/>
          </v:shape>
          <o:OLEObject Type="Embed" ProgID="Excel.Sheet.12" ShapeID="_x0000_i1040" DrawAspect="Content" ObjectID="_1457508396" r:id="rId41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3" w:name="_MON_1405950056"/>
    <w:bookmarkEnd w:id="33"/>
    <w:p w:rsidR="009226CD" w:rsidRDefault="00E41DD3" w:rsidP="0000290B">
      <w:pPr>
        <w:pStyle w:val="Zkladntext"/>
      </w:pPr>
      <w:r w:rsidRPr="00003C63">
        <w:object w:dxaOrig="8905" w:dyaOrig="3996">
          <v:shape id="_x0000_i1041" type="#_x0000_t75" style="width:430.5pt;height:215.25pt" o:ole="" o:preferrelative="f">
            <v:imagedata r:id="rId42" o:title=""/>
            <o:lock v:ext="edit" aspectratio="f"/>
          </v:shape>
          <o:OLEObject Type="Embed" ProgID="Excel.Sheet.12" ShapeID="_x0000_i1041" DrawAspect="Content" ObjectID="_1457508397" r:id="rId43"/>
        </w:object>
      </w:r>
    </w:p>
    <w:p w:rsidR="009226CD" w:rsidRDefault="009226CD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A155D4" w:rsidRDefault="00A155D4" w:rsidP="0000290B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07"/>
      <w:r>
        <w:lastRenderedPageBreak/>
        <w:t>Informácie o Vlastnom imaní</w:t>
      </w:r>
      <w:bookmarkEnd w:id="3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</w:t>
      </w:r>
      <w:r w:rsidR="00E41DD3">
        <w:t> </w:t>
      </w:r>
      <w:r>
        <w:t>priebehu</w:t>
      </w:r>
      <w:r w:rsidR="00E41DD3">
        <w:t xml:space="preserve"> predchádzajúceho</w:t>
      </w:r>
      <w:r>
        <w:t xml:space="preserve">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5" w:name="_MON_1405950579"/>
    <w:bookmarkEnd w:id="35"/>
    <w:p w:rsidR="00262CD4" w:rsidRDefault="00E41DD3" w:rsidP="003E0FA2">
      <w:pPr>
        <w:pStyle w:val="Zkladntext"/>
      </w:pPr>
      <w:r>
        <w:object w:dxaOrig="9053" w:dyaOrig="6994">
          <v:shape id="_x0000_i1042" type="#_x0000_t75" style="width:429.75pt;height:371.25pt" o:ole="" o:preferrelative="f">
            <v:imagedata r:id="rId44" o:title=""/>
            <o:lock v:ext="edit" aspectratio="f"/>
          </v:shape>
          <o:OLEObject Type="Embed" ProgID="Excel.Sheet.12" ShapeID="_x0000_i1042" DrawAspect="Content" ObjectID="_1457508398" r:id="rId45"/>
        </w:object>
      </w: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B11AFC" w:rsidRDefault="00B11AFC" w:rsidP="003E0FA2">
      <w:pPr>
        <w:pStyle w:val="Zkladntext"/>
      </w:pPr>
    </w:p>
    <w:p w:rsidR="003E0FA2" w:rsidRDefault="003E0FA2" w:rsidP="003E0FA2">
      <w:pPr>
        <w:pStyle w:val="Zkladntext"/>
      </w:pPr>
      <w:r>
        <w:lastRenderedPageBreak/>
        <w:t xml:space="preserve">Prehľad o pohybe vlastného imania za </w:t>
      </w:r>
      <w:r w:rsidR="00E41DD3">
        <w:t>bežné</w:t>
      </w:r>
      <w:r>
        <w:t xml:space="preserve">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6" w:name="_MON_1405950602"/>
    <w:bookmarkEnd w:id="36"/>
    <w:p w:rsidR="00627B6C" w:rsidRDefault="00E41DD3" w:rsidP="003E0FA2">
      <w:pPr>
        <w:pStyle w:val="Zkladntext"/>
      </w:pPr>
      <w:r w:rsidRPr="001C0A6A">
        <w:object w:dxaOrig="8900" w:dyaOrig="7022">
          <v:shape id="_x0000_i1043" type="#_x0000_t75" style="width:429pt;height:378pt" o:ole="" o:preferrelative="f">
            <v:imagedata r:id="rId46" o:title=""/>
            <o:lock v:ext="edit" aspectratio="f"/>
          </v:shape>
          <o:OLEObject Type="Embed" ProgID="Excel.Sheet.12" ShapeID="_x0000_i1043" DrawAspect="Content" ObjectID="_1457508399" r:id="rId47"/>
        </w:object>
      </w:r>
    </w:p>
    <w:p w:rsidR="003E0FA2" w:rsidRDefault="003E0FA2" w:rsidP="00B902CC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D27314">
        <w:t>3</w:t>
      </w:r>
      <w:r>
        <w:t xml:space="preserve"> vo výške </w:t>
      </w:r>
      <w:r w:rsidR="00D27314">
        <w:t>2839</w:t>
      </w:r>
      <w:r w:rsidR="003C3A17">
        <w:t xml:space="preserve"> </w:t>
      </w:r>
      <w:r>
        <w:t xml:space="preserve">EUR rozhodne valné zhromaždenie. </w:t>
      </w:r>
    </w:p>
    <w:p w:rsidR="00416A0F" w:rsidRDefault="00416A0F" w:rsidP="003E0FA2">
      <w:pPr>
        <w:pStyle w:val="Zkladntext"/>
      </w:pPr>
    </w:p>
    <w:p w:rsidR="00FB5521" w:rsidRDefault="00FB5521" w:rsidP="003E0FA2">
      <w:pPr>
        <w:pStyle w:val="Zkladntext"/>
        <w:rPr>
          <w:i/>
        </w:rPr>
      </w:pPr>
    </w:p>
    <w:p w:rsidR="00FB5521" w:rsidRPr="00FB5521" w:rsidRDefault="00F4619A" w:rsidP="003E0FA2">
      <w:pPr>
        <w:pStyle w:val="Zkladntext"/>
      </w:pPr>
      <w:r>
        <w:t>Účtovná strata za rok 201</w:t>
      </w:r>
      <w:r w:rsidR="00EF3004">
        <w:t>2</w:t>
      </w:r>
      <w:r>
        <w:t xml:space="preserve"> bola </w:t>
      </w:r>
      <w:proofErr w:type="spellStart"/>
      <w:r>
        <w:t>vysporiadaná</w:t>
      </w:r>
      <w:proofErr w:type="spellEnd"/>
      <w:r>
        <w:t xml:space="preserve"> </w:t>
      </w:r>
      <w:r w:rsidR="00540718">
        <w:t>takto</w:t>
      </w:r>
      <w:r>
        <w:t>:</w:t>
      </w:r>
    </w:p>
    <w:p w:rsidR="00B62963" w:rsidRDefault="00B62963">
      <w:pPr>
        <w:pStyle w:val="Nadpis1"/>
        <w:numPr>
          <w:ilvl w:val="0"/>
          <w:numId w:val="0"/>
        </w:numPr>
        <w:spacing w:before="120" w:after="60"/>
        <w:ind w:left="360"/>
      </w:pPr>
      <w:bookmarkStart w:id="37" w:name="_Toc530739926"/>
    </w:p>
    <w:bookmarkStart w:id="38" w:name="_MON_1405948157"/>
    <w:bookmarkEnd w:id="38"/>
    <w:p w:rsidR="00416A0F" w:rsidRDefault="00EF3004" w:rsidP="00416A0F">
      <w:pPr>
        <w:pStyle w:val="Zkladntext"/>
      </w:pPr>
      <w:r w:rsidRPr="00416A0F">
        <w:object w:dxaOrig="8689" w:dyaOrig="711">
          <v:shape id="_x0000_i1044" type="#_x0000_t75" style="width:425.25pt;height:36pt" o:ole="" o:preferrelative="f">
            <v:imagedata r:id="rId48" o:title=""/>
          </v:shape>
          <o:OLEObject Type="Embed" ProgID="Excel.Sheet.12" ShapeID="_x0000_i1044" DrawAspect="Content" ObjectID="_1457508400" r:id="rId49"/>
        </w:object>
      </w:r>
    </w:p>
    <w:p w:rsidR="00416A0F" w:rsidRDefault="00416A0F" w:rsidP="00416A0F">
      <w:pPr>
        <w:pStyle w:val="Zkladntext"/>
      </w:pPr>
    </w:p>
    <w:bookmarkStart w:id="39" w:name="_MON_1405948211"/>
    <w:bookmarkEnd w:id="39"/>
    <w:p w:rsidR="00416A0F" w:rsidRDefault="00EF3004" w:rsidP="00416A0F">
      <w:pPr>
        <w:pStyle w:val="Zkladntext"/>
      </w:pPr>
      <w:r w:rsidRPr="001C0A6A">
        <w:object w:dxaOrig="8685" w:dyaOrig="2123">
          <v:shape id="_x0000_i1045" type="#_x0000_t75" style="width:429pt;height:117pt" o:ole="" o:preferrelative="f">
            <v:imagedata r:id="rId50" o:title=""/>
            <o:lock v:ext="edit" aspectratio="f"/>
          </v:shape>
          <o:OLEObject Type="Embed" ProgID="Excel.Sheet.12" ShapeID="_x0000_i1045" DrawAspect="Content" ObjectID="_1457508401" r:id="rId51"/>
        </w:object>
      </w:r>
      <w:bookmarkEnd w:id="37"/>
    </w:p>
    <w:sectPr w:rsidR="00416A0F" w:rsidSect="00837B46">
      <w:headerReference w:type="default" r:id="rId52"/>
      <w:headerReference w:type="first" r:id="rId53"/>
      <w:footerReference w:type="first" r:id="rId54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6255" w:rsidRDefault="001F6255" w:rsidP="00E95128">
      <w:r>
        <w:separator/>
      </w:r>
    </w:p>
  </w:endnote>
  <w:endnote w:type="continuationSeparator" w:id="0">
    <w:p w:rsidR="001F6255" w:rsidRDefault="001F625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TimesNewRoman,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+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6D99" w:rsidRPr="00F70C00" w:rsidRDefault="001F6D9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6255" w:rsidRDefault="001F6255" w:rsidP="00E95128">
      <w:r>
        <w:separator/>
      </w:r>
    </w:p>
  </w:footnote>
  <w:footnote w:type="continuationSeparator" w:id="0">
    <w:p w:rsidR="001F6255" w:rsidRDefault="001F625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6D99" w:rsidRPr="00E95128" w:rsidRDefault="001F6D99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6D99" w:rsidRPr="00E95128" w:rsidRDefault="001F6D9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1"/>
    <w:lvlOverride w:ilvl="0">
      <w:startOverride w:val="6"/>
    </w:lvlOverride>
  </w:num>
  <w:num w:numId="9">
    <w:abstractNumId w:val="0"/>
    <w:lvlOverride w:ilvl="0">
      <w:startOverride w:val="1"/>
    </w:lvlOverride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577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1C5B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29B7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5D04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43F7"/>
    <w:rsid w:val="000E4B8D"/>
    <w:rsid w:val="000E6FA7"/>
    <w:rsid w:val="000F038C"/>
    <w:rsid w:val="000F1306"/>
    <w:rsid w:val="000F27A2"/>
    <w:rsid w:val="000F40C4"/>
    <w:rsid w:val="000F5666"/>
    <w:rsid w:val="000F66C2"/>
    <w:rsid w:val="00102C1A"/>
    <w:rsid w:val="00103B71"/>
    <w:rsid w:val="00106863"/>
    <w:rsid w:val="00113A67"/>
    <w:rsid w:val="001176F5"/>
    <w:rsid w:val="00117C0F"/>
    <w:rsid w:val="00120F3A"/>
    <w:rsid w:val="0012205A"/>
    <w:rsid w:val="001236BC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3D46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3EEC"/>
    <w:rsid w:val="001D4E8A"/>
    <w:rsid w:val="001D507C"/>
    <w:rsid w:val="001D5F78"/>
    <w:rsid w:val="001E03E6"/>
    <w:rsid w:val="001E1815"/>
    <w:rsid w:val="001E27A6"/>
    <w:rsid w:val="001E3EC9"/>
    <w:rsid w:val="001E5493"/>
    <w:rsid w:val="001E6A82"/>
    <w:rsid w:val="001E7DAF"/>
    <w:rsid w:val="001F338B"/>
    <w:rsid w:val="001F340D"/>
    <w:rsid w:val="001F6255"/>
    <w:rsid w:val="001F6D99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18D5"/>
    <w:rsid w:val="0024584A"/>
    <w:rsid w:val="00246542"/>
    <w:rsid w:val="00251BF2"/>
    <w:rsid w:val="00254418"/>
    <w:rsid w:val="00256414"/>
    <w:rsid w:val="0025662A"/>
    <w:rsid w:val="00257145"/>
    <w:rsid w:val="00260C4C"/>
    <w:rsid w:val="00261F1A"/>
    <w:rsid w:val="00262CD4"/>
    <w:rsid w:val="00262E3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26BC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A5D"/>
    <w:rsid w:val="003B591C"/>
    <w:rsid w:val="003C3A17"/>
    <w:rsid w:val="003C3FDF"/>
    <w:rsid w:val="003C6B7B"/>
    <w:rsid w:val="003D140B"/>
    <w:rsid w:val="003D163F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06633"/>
    <w:rsid w:val="004108AD"/>
    <w:rsid w:val="00411D88"/>
    <w:rsid w:val="00416A0F"/>
    <w:rsid w:val="00417BC5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7085"/>
    <w:rsid w:val="00483A16"/>
    <w:rsid w:val="0048666B"/>
    <w:rsid w:val="00486C05"/>
    <w:rsid w:val="00487A4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40EB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4BE4"/>
    <w:rsid w:val="004E0168"/>
    <w:rsid w:val="004E0BAA"/>
    <w:rsid w:val="004E0C8C"/>
    <w:rsid w:val="004E7FC9"/>
    <w:rsid w:val="004F12D3"/>
    <w:rsid w:val="004F1F45"/>
    <w:rsid w:val="00500B7D"/>
    <w:rsid w:val="00503C90"/>
    <w:rsid w:val="00506E0F"/>
    <w:rsid w:val="005070E3"/>
    <w:rsid w:val="00507B8B"/>
    <w:rsid w:val="00507CB4"/>
    <w:rsid w:val="005131C0"/>
    <w:rsid w:val="005138B1"/>
    <w:rsid w:val="00514614"/>
    <w:rsid w:val="00515879"/>
    <w:rsid w:val="00530F38"/>
    <w:rsid w:val="00537B88"/>
    <w:rsid w:val="00540718"/>
    <w:rsid w:val="00541789"/>
    <w:rsid w:val="00542006"/>
    <w:rsid w:val="0054259E"/>
    <w:rsid w:val="00545B77"/>
    <w:rsid w:val="00546BD3"/>
    <w:rsid w:val="0054786F"/>
    <w:rsid w:val="005510F2"/>
    <w:rsid w:val="00553AFB"/>
    <w:rsid w:val="00564B72"/>
    <w:rsid w:val="00565ABC"/>
    <w:rsid w:val="00567765"/>
    <w:rsid w:val="0057382A"/>
    <w:rsid w:val="00574527"/>
    <w:rsid w:val="0057480F"/>
    <w:rsid w:val="00582D7B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3889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A77A2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3344"/>
    <w:rsid w:val="00705108"/>
    <w:rsid w:val="007134CA"/>
    <w:rsid w:val="00714597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58EA"/>
    <w:rsid w:val="0077399F"/>
    <w:rsid w:val="00775D22"/>
    <w:rsid w:val="00777324"/>
    <w:rsid w:val="00777719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545B"/>
    <w:rsid w:val="007F0C3F"/>
    <w:rsid w:val="007F4606"/>
    <w:rsid w:val="00805075"/>
    <w:rsid w:val="0080548E"/>
    <w:rsid w:val="00806EE2"/>
    <w:rsid w:val="00806F2C"/>
    <w:rsid w:val="00815894"/>
    <w:rsid w:val="00815A32"/>
    <w:rsid w:val="00816C5F"/>
    <w:rsid w:val="008323FB"/>
    <w:rsid w:val="0083467A"/>
    <w:rsid w:val="00837B46"/>
    <w:rsid w:val="00841776"/>
    <w:rsid w:val="008433F4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C5F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13B04"/>
    <w:rsid w:val="009145D4"/>
    <w:rsid w:val="0091468F"/>
    <w:rsid w:val="00915C15"/>
    <w:rsid w:val="009226CD"/>
    <w:rsid w:val="0093504F"/>
    <w:rsid w:val="009430B1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E4F"/>
    <w:rsid w:val="009A1CEB"/>
    <w:rsid w:val="009A57FC"/>
    <w:rsid w:val="009A7168"/>
    <w:rsid w:val="009B56FC"/>
    <w:rsid w:val="009B60B7"/>
    <w:rsid w:val="009B7215"/>
    <w:rsid w:val="009B7785"/>
    <w:rsid w:val="009C3450"/>
    <w:rsid w:val="009D02E9"/>
    <w:rsid w:val="009D0700"/>
    <w:rsid w:val="009D2ECF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155D4"/>
    <w:rsid w:val="00A2012A"/>
    <w:rsid w:val="00A20D49"/>
    <w:rsid w:val="00A20DD0"/>
    <w:rsid w:val="00A21B29"/>
    <w:rsid w:val="00A25722"/>
    <w:rsid w:val="00A26359"/>
    <w:rsid w:val="00A26C17"/>
    <w:rsid w:val="00A31DFF"/>
    <w:rsid w:val="00A35B0F"/>
    <w:rsid w:val="00A41EC6"/>
    <w:rsid w:val="00A443B1"/>
    <w:rsid w:val="00A52311"/>
    <w:rsid w:val="00A5618F"/>
    <w:rsid w:val="00A60734"/>
    <w:rsid w:val="00A61B19"/>
    <w:rsid w:val="00A61FB3"/>
    <w:rsid w:val="00A639F4"/>
    <w:rsid w:val="00A6527B"/>
    <w:rsid w:val="00A70B8E"/>
    <w:rsid w:val="00A7144F"/>
    <w:rsid w:val="00A72805"/>
    <w:rsid w:val="00A73577"/>
    <w:rsid w:val="00A7546C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A68A3"/>
    <w:rsid w:val="00AB320D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1AFC"/>
    <w:rsid w:val="00B12204"/>
    <w:rsid w:val="00B12629"/>
    <w:rsid w:val="00B146E6"/>
    <w:rsid w:val="00B219F1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02CC"/>
    <w:rsid w:val="00B96BFB"/>
    <w:rsid w:val="00BA11AF"/>
    <w:rsid w:val="00BA3FB7"/>
    <w:rsid w:val="00BB0327"/>
    <w:rsid w:val="00BB218F"/>
    <w:rsid w:val="00BB2336"/>
    <w:rsid w:val="00BC09C5"/>
    <w:rsid w:val="00BC0C8D"/>
    <w:rsid w:val="00BC4AA7"/>
    <w:rsid w:val="00BC631F"/>
    <w:rsid w:val="00BE075E"/>
    <w:rsid w:val="00BF14EC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25264"/>
    <w:rsid w:val="00C42031"/>
    <w:rsid w:val="00C43092"/>
    <w:rsid w:val="00C43A59"/>
    <w:rsid w:val="00C43B83"/>
    <w:rsid w:val="00C44120"/>
    <w:rsid w:val="00C4486C"/>
    <w:rsid w:val="00C459DC"/>
    <w:rsid w:val="00C460D7"/>
    <w:rsid w:val="00C477D2"/>
    <w:rsid w:val="00C47E49"/>
    <w:rsid w:val="00C520AC"/>
    <w:rsid w:val="00C55C56"/>
    <w:rsid w:val="00C575CA"/>
    <w:rsid w:val="00C672BA"/>
    <w:rsid w:val="00C712A3"/>
    <w:rsid w:val="00C71C4F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27314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111D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D3"/>
    <w:rsid w:val="00E44B03"/>
    <w:rsid w:val="00E45B32"/>
    <w:rsid w:val="00E45D99"/>
    <w:rsid w:val="00E46C27"/>
    <w:rsid w:val="00E47A8E"/>
    <w:rsid w:val="00E5113F"/>
    <w:rsid w:val="00E52FC0"/>
    <w:rsid w:val="00E5385A"/>
    <w:rsid w:val="00E56466"/>
    <w:rsid w:val="00E5726F"/>
    <w:rsid w:val="00E6166E"/>
    <w:rsid w:val="00E626B1"/>
    <w:rsid w:val="00E627BF"/>
    <w:rsid w:val="00E63EB9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004"/>
    <w:rsid w:val="00EF34AE"/>
    <w:rsid w:val="00EF4E72"/>
    <w:rsid w:val="00EF4FC7"/>
    <w:rsid w:val="00EF5A22"/>
    <w:rsid w:val="00EF688C"/>
    <w:rsid w:val="00F029A3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7C7C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b/>
      <w:bCs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0570BB-4FEC-44FE-8CE9-605141BBC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16</Pages>
  <Words>2261</Words>
  <Characters>12890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Danka</cp:lastModifiedBy>
  <cp:revision>17</cp:revision>
  <cp:lastPrinted>2012-08-10T10:31:00Z</cp:lastPrinted>
  <dcterms:created xsi:type="dcterms:W3CDTF">2014-03-28T07:23:00Z</dcterms:created>
  <dcterms:modified xsi:type="dcterms:W3CDTF">2014-03-28T09:40:00Z</dcterms:modified>
</cp:coreProperties>
</file>