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numPr>
          <w:ilvl w:val="0"/>
          <w:numId w:val="4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Informácie o  účtovnej jednotke</w:t>
      </w:r>
    </w:p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3"/>
          <w:bottom w:type="dxa" w:w="0"/>
          <w:right w:type="dxa" w:w="108"/>
        </w:tblCellMar>
      </w:tblPr>
      <w:tblGrid>
        <w:gridCol w:w="2147"/>
        <w:gridCol w:w="7140"/>
      </w:tblGrid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Obchodné meno:</w:t>
            </w:r>
          </w:p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Abemon, s.r.o.</w:t>
            </w:r>
            <w:r>
              <w:rPr>
                <w:rFonts w:cs="Arial Narrow"/>
                <w:sz w:val="22"/>
                <w:szCs w:val="22"/>
              </w:rPr>
              <w:t> </w:t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Čeladice 228</w:t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Dátum založenia:</w:t>
            </w:r>
          </w:p>
        </w:tc>
        <w:tc>
          <w:tcPr>
            <w:tcW w:type="dxa" w:w="71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3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</w:r>
          </w:p>
        </w:tc>
      </w:tr>
      <w:tr>
        <w:trPr>
          <w:trHeight w:hRule="atLeast" w:val="390"/>
          <w:cantSplit w:val="false"/>
        </w:trPr>
        <w:tc>
          <w:tcPr>
            <w:tcW w:type="dxa" w:w="2147"/>
            <w:tcBorders>
              <w:top w:color="00000A" w:space="0" w:sz="4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8"/>
            </w:tcMar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Dátum vzniku:</w:t>
            </w:r>
          </w:p>
        </w:tc>
        <w:tc>
          <w:tcPr>
            <w:tcW w:type="dxa" w:w="7140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both"/>
            </w:pPr>
            <w:r>
              <w:rPr>
                <w:rFonts w:cs="Arial Narrow"/>
                <w:sz w:val="22"/>
                <w:szCs w:val="22"/>
              </w:rPr>
              <w:t>7.9.2011</w:t>
            </w:r>
          </w:p>
        </w:tc>
      </w:tr>
    </w:tbl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b/>
          <w:sz w:val="22"/>
          <w:szCs w:val="22"/>
        </w:rPr>
        <w:t xml:space="preserve">A.b) </w:t>
      </w:r>
      <w:r>
        <w:rPr>
          <w:b/>
          <w:bCs/>
          <w:sz w:val="22"/>
          <w:szCs w:val="22"/>
        </w:rPr>
        <w:t>opis hospodárskej  činnosti účtovnej jednotky: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 xml:space="preserve">A.d) Podniky je neobmedzene ručiacim spoločníkom v iných účtovných jednotkách: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__Fieldmark__40_1973820818"/>
      <w:bookmarkStart w:id="1" w:name="__Fieldmark__40_1973820818"/>
      <w:bookmarkStart w:id="2" w:name="__Fieldmark__40_1973820818"/>
      <w:bookmarkEnd w:id="2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" w:name="__Fieldmark__45_1973820818"/>
      <w:bookmarkStart w:id="4" w:name="__Fieldmark__45_1973820818"/>
      <w:bookmarkStart w:id="5" w:name="__Fieldmark__45_1973820818"/>
      <w:bookmarkEnd w:id="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Nie</w:t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" w:name="Začiarkov1"/>
      <w:bookmarkStart w:id="7" w:name="__Fieldmark__52_1973820818"/>
      <w:bookmarkStart w:id="8" w:name="__Fieldmark__52_1973820818"/>
      <w:bookmarkStart w:id="9" w:name="__Fieldmark__52_1973820818"/>
      <w:bookmarkEnd w:id="9"/>
      <w:r>
        <w:rPr>
          <w:b/>
          <w:sz w:val="22"/>
          <w:szCs w:val="22"/>
        </w:rPr>
      </w:r>
      <w:r>
        <w:fldChar w:fldCharType="end"/>
      </w:r>
      <w:bookmarkEnd w:id="6"/>
      <w:r>
        <w:rPr>
          <w:sz w:val="22"/>
          <w:szCs w:val="22"/>
        </w:rPr>
        <w:t xml:space="preserve"> riadna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" w:name="Začiarkov2"/>
      <w:bookmarkStart w:id="11" w:name="__Fieldmark__61_1973820818"/>
      <w:bookmarkStart w:id="12" w:name="__Fieldmark__61_1973820818"/>
      <w:bookmarkStart w:id="13" w:name="__Fieldmark__61_1973820818"/>
      <w:bookmarkEnd w:id="13"/>
      <w:r>
        <w:rPr>
          <w:sz w:val="22"/>
          <w:szCs w:val="22"/>
        </w:rPr>
      </w:r>
      <w:r>
        <w:fldChar w:fldCharType="end"/>
      </w:r>
      <w:bookmarkEnd w:id="10"/>
      <w:r>
        <w:rPr>
          <w:sz w:val="22"/>
          <w:szCs w:val="22"/>
        </w:rPr>
        <w:t xml:space="preserve"> mimoriadna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  <w:tab/>
        <w:t xml:space="preserve">Dôvod na zostavenie </w:t>
      </w:r>
      <w:r>
        <w:rPr>
          <w:b/>
          <w:sz w:val="22"/>
          <w:szCs w:val="22"/>
        </w:rPr>
        <w:t>mimoriadnej</w:t>
      </w:r>
      <w:r>
        <w:rPr>
          <w:sz w:val="22"/>
          <w:szCs w:val="22"/>
        </w:rPr>
        <w:t xml:space="preserve"> účtovnej závierky:</w:t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" w:name="Začiarkov3"/>
      <w:bookmarkStart w:id="15" w:name="__Fieldmark__71_1973820818"/>
      <w:bookmarkStart w:id="16" w:name="__Fieldmark__71_1973820818"/>
      <w:bookmarkStart w:id="17" w:name="__Fieldmark__71_1973820818"/>
      <w:bookmarkEnd w:id="17"/>
      <w:r>
        <w:rPr/>
      </w:r>
      <w:r>
        <w:fldChar w:fldCharType="end"/>
      </w:r>
      <w:bookmarkEnd w:id="14"/>
      <w:r>
        <w:rPr>
          <w:sz w:val="22"/>
          <w:szCs w:val="22"/>
        </w:rPr>
        <w:t xml:space="preserve"> rozdelenie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" w:name="__Fieldmark__78_1973820818"/>
      <w:bookmarkStart w:id="19" w:name="__Fieldmark__78_1973820818"/>
      <w:bookmarkStart w:id="20" w:name="__Fieldmark__78_1973820818"/>
      <w:bookmarkEnd w:id="2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zlúčenie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" w:name="__Fieldmark__84_1973820818"/>
      <w:bookmarkStart w:id="22" w:name="__Fieldmark__84_1973820818"/>
      <w:bookmarkStart w:id="23" w:name="__Fieldmark__84_1973820818"/>
      <w:bookmarkEnd w:id="23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splynutie</w:t>
        <w:tab/>
        <w:tab/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" w:name="__Fieldmark__90_1973820818"/>
      <w:bookmarkStart w:id="25" w:name="__Fieldmark__90_1973820818"/>
      <w:bookmarkStart w:id="26" w:name="__Fieldmark__90_1973820818"/>
      <w:bookmarkEnd w:id="26"/>
      <w:r>
        <w:rPr/>
      </w:r>
      <w:r>
        <w:fldChar w:fldCharType="end"/>
      </w:r>
      <w:r>
        <w:rPr>
          <w:sz w:val="22"/>
          <w:szCs w:val="22"/>
        </w:rPr>
        <w:t xml:space="preserve"> zmena právnej formy 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7" w:name="__Fieldmark__95_1973820818"/>
      <w:bookmarkStart w:id="28" w:name="__Fieldmark__95_1973820818"/>
      <w:bookmarkStart w:id="29" w:name="__Fieldmark__95_1973820818"/>
      <w:bookmarkEnd w:id="29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začiatok likvidácie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" w:name="__Fieldmark__100_1973820818"/>
      <w:bookmarkStart w:id="31" w:name="__Fieldmark__100_1973820818"/>
      <w:bookmarkStart w:id="32" w:name="__Fieldmark__100_1973820818"/>
      <w:bookmarkEnd w:id="3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koniec likvidácie</w:t>
        <w:tab/>
      </w:r>
    </w:p>
    <w:p>
      <w:pPr>
        <w:pStyle w:val="style0"/>
        <w:spacing w:after="0" w:before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3" w:name="__Fieldmark__105_1973820818"/>
      <w:bookmarkStart w:id="34" w:name="__Fieldmark__105_1973820818"/>
      <w:bookmarkStart w:id="35" w:name="__Fieldmark__105_1973820818"/>
      <w:bookmarkEnd w:id="35"/>
      <w:r>
        <w:rPr/>
      </w:r>
      <w:r>
        <w:fldChar w:fldCharType="end"/>
      </w:r>
      <w:r>
        <w:rPr>
          <w:sz w:val="22"/>
          <w:szCs w:val="22"/>
        </w:rPr>
        <w:t xml:space="preserve"> vyhlásenie konkurzu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6" w:name="__Fieldmark__110_1973820818"/>
      <w:bookmarkStart w:id="37" w:name="__Fieldmark__110_1973820818"/>
      <w:bookmarkStart w:id="38" w:name="__Fieldmark__110_1973820818"/>
      <w:bookmarkEnd w:id="3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zrušenie konkurzu</w:t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color="00000A" w:space="0" w:sz="4" w:val="single"/>
          <w:insideV w:color="00000A" w:space="0" w:sz="4" w:val="single"/>
        </w:tblBorders>
        <w:tblCellMar>
          <w:top w:type="dxa" w:w="0"/>
          <w:left w:type="dxa" w:w="70"/>
          <w:bottom w:type="dxa" w:w="0"/>
          <w:right w:type="dxa" w:w="70"/>
        </w:tblCellMar>
      </w:tblPr>
      <w:tblGrid>
        <w:gridCol w:w="7680"/>
        <w:gridCol w:w="1531"/>
      </w:tblGrid>
      <w:tr>
        <w:trPr>
          <w:trHeight w:hRule="atLeast" w:val="255"/>
          <w:cantSplit w:val="false"/>
        </w:trPr>
        <w:tc>
          <w:tcPr>
            <w:tcW w:type="dxa" w:w="7680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rFonts w:ascii="Arial" w:cs="Arial" w:hAnsi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type="dxa" w:w="153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5"/>
            </w:tcMar>
            <w:vAlign w:val="bottom"/>
          </w:tcPr>
          <w:p>
            <w:pPr>
              <w:pStyle w:val="style0"/>
              <w:jc w:val="right"/>
            </w:pPr>
            <w:r>
              <w:rPr>
                <w:rFonts w:ascii="Arial" w:cs="Arial" w:hAnsi="Arial"/>
                <w:b/>
                <w:bCs/>
                <w:sz w:val="20"/>
                <w:szCs w:val="20"/>
              </w:rPr>
            </w:r>
          </w:p>
        </w:tc>
      </w:tr>
    </w:tbl>
    <w:p>
      <w:pPr>
        <w:pStyle w:val="style0"/>
        <w:spacing w:after="0" w:before="0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Informácie k prílohe č. 3 časti A. písm. c) o počte zamestnancov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3692"/>
        <w:gridCol w:w="2645"/>
        <w:gridCol w:w="2874"/>
      </w:tblGrid>
      <w:tr>
        <w:trPr>
          <w:cantSplit w:val="false"/>
        </w:trPr>
        <w:tc>
          <w:tcPr>
            <w:tcW w:type="dxa" w:w="36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Názov položky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87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69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287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hRule="atLeast" w:val="285"/>
          <w:cantSplit w:val="false"/>
        </w:trPr>
        <w:tc>
          <w:tcPr>
            <w:tcW w:type="dxa" w:w="369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287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69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  <w:shd w:fill="00FF00" w:val="clear"/>
              </w:rPr>
              <w:t>0</w:t>
            </w:r>
          </w:p>
        </w:tc>
        <w:tc>
          <w:tcPr>
            <w:tcW w:type="dxa" w:w="287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Informácie o konsolidovanom celku, ak je účtovná jednotka jeho súčasťou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C.a)</w:t>
      </w:r>
      <w:r>
        <w:rPr>
          <w:sz w:val="22"/>
          <w:szCs w:val="22"/>
        </w:rPr>
        <w:t xml:space="preserve"> </w:t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C.b)</w:t>
      </w:r>
      <w:r>
        <w:rPr>
          <w:sz w:val="22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C.c)</w:t>
      </w:r>
      <w:r>
        <w:rPr>
          <w:sz w:val="22"/>
          <w:szCs w:val="22"/>
        </w:rPr>
        <w:t xml:space="preserve"> </w:t>
        <w:tab/>
        <w:t>Obchodné meno a sídlo konsolidujúcej účtovnej jednotky, v ktorej je možné tieto konsolidované účtovné závierky získať:</w:t>
      </w:r>
    </w:p>
    <w:p>
      <w:pPr>
        <w:pStyle w:val="style0"/>
        <w:ind w:hanging="0" w:left="705" w:right="0"/>
        <w:jc w:val="both"/>
      </w:pPr>
      <w:r>
        <w:rPr>
          <w:sz w:val="22"/>
          <w:szCs w:val="22"/>
        </w:rPr>
        <w:t>Adresa registrovaného súdu, ktorý vedie obchodný register, v ktorom sa uložia tieto konsolidované účtovné závierky:</w:t>
      </w:r>
    </w:p>
    <w:p>
      <w:pPr>
        <w:pStyle w:val="style0"/>
        <w:ind w:hanging="705" w:left="705" w:right="0"/>
        <w:jc w:val="both"/>
      </w:pPr>
      <w:r>
        <w:rPr>
          <w:b/>
          <w:sz w:val="22"/>
          <w:szCs w:val="22"/>
        </w:rPr>
        <w:t>C.d)</w:t>
        <w:tab/>
      </w:r>
      <w:r>
        <w:rPr>
          <w:sz w:val="22"/>
          <w:szCs w:val="22"/>
        </w:rPr>
        <w:t>Materská účtovná jednotka je oslobodená od povinnosti zostaviť konsolidovanú účtovnú závierku a konsolidovanú výročnú správu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Ďalšie informácie o: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použitých účtovných zásadách a účtovných metódach,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vykázaných na strane aktív súvahy,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vykázaných na strane pasív súvahy,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výnosoch,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nákladoch,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daniach z príjmov,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údajoch na podsúvahových účtoch,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iných aktívach a  iných pasívach,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spriaznených osobách,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skutočnostiach, ktoré nastali medzi dňom, ku ktorému sa zostavuje účtovná závierka a dňom jej zostavenia,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prehľade zmien vlastného imania,</w:t>
      </w:r>
    </w:p>
    <w:p>
      <w:pPr>
        <w:pStyle w:val="style0"/>
        <w:numPr>
          <w:ilvl w:val="0"/>
          <w:numId w:val="5"/>
        </w:numPr>
        <w:spacing w:after="0" w:before="0" w:line="100" w:lineRule="atLeast"/>
        <w:ind w:hanging="360" w:left="360" w:right="-468"/>
        <w:contextualSpacing w:val="false"/>
        <w:jc w:val="both"/>
      </w:pPr>
      <w:r>
        <w:rPr>
          <w:bCs/>
          <w:sz w:val="22"/>
          <w:szCs w:val="22"/>
        </w:rPr>
        <w:t>prehľade peňažných tokov.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a/ rozpracované v časti E.</w:t>
        <w:tab/>
        <w:tab/>
        <w:t>e/ rozpracované v časti I.</w:t>
        <w:tab/>
        <w:tab/>
        <w:tab/>
        <w:t>i/ rozpracované v časti M. a N.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b/ rozpracované v časti F.</w:t>
        <w:tab/>
        <w:tab/>
        <w:t>f/ rozpracované v časti J.</w:t>
        <w:tab/>
        <w:tab/>
        <w:tab/>
        <w:t>j/ rozpracované v časti O.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c/ rozpracované v časti G.</w:t>
        <w:tab/>
        <w:tab/>
        <w:t>g/ rozpracované v časti K.</w:t>
        <w:tab/>
        <w:tab/>
        <w:tab/>
        <w:t>k/ rozpracované v časti P.</w:t>
      </w:r>
    </w:p>
    <w:p>
      <w:pPr>
        <w:pStyle w:val="style0"/>
        <w:spacing w:after="0" w:before="0"/>
        <w:contextualSpacing w:val="false"/>
        <w:jc w:val="both"/>
      </w:pPr>
      <w:r>
        <w:rPr>
          <w:sz w:val="20"/>
          <w:szCs w:val="20"/>
        </w:rPr>
        <w:t>d/ rozpracované v časti H.</w:t>
        <w:tab/>
        <w:tab/>
        <w:t>h/ rozpracované v časti L.</w:t>
        <w:tab/>
        <w:tab/>
        <w:tab/>
        <w:t>l/ rozpracované v časti R.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numPr>
          <w:ilvl w:val="0"/>
          <w:numId w:val="10"/>
        </w:numPr>
        <w:shd w:fill="E6E6E6" w:val="clear"/>
        <w:spacing w:after="0" w:before="0" w:line="100" w:lineRule="atLeast"/>
        <w:contextualSpacing w:val="false"/>
        <w:jc w:val="center"/>
      </w:pPr>
      <w:r>
        <w:rPr>
          <w:b/>
          <w:i/>
          <w:sz w:val="26"/>
          <w:szCs w:val="26"/>
        </w:rPr>
        <w:t>Informácie o účtovných zásadách a účtovných metódach.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E.a) Účtovná jednotka bude nepretržite pokračovať vo svoje činnosti:</w:t>
      </w:r>
      <w:r>
        <w:rPr>
          <w:sz w:val="22"/>
          <w:szCs w:val="22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9" w:name="Začiarkov4"/>
      <w:bookmarkStart w:id="40" w:name="__Fieldmark__228_1973820818"/>
      <w:bookmarkStart w:id="41" w:name="__Fieldmark__228_1973820818"/>
      <w:bookmarkStart w:id="42" w:name="__Fieldmark__228_1973820818"/>
      <w:bookmarkEnd w:id="42"/>
      <w:r>
        <w:rPr>
          <w:sz w:val="22"/>
          <w:szCs w:val="22"/>
        </w:rPr>
      </w:r>
      <w:r>
        <w:fldChar w:fldCharType="end"/>
      </w:r>
      <w:bookmarkEnd w:id="39"/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3" w:name="__Fieldmark__234_1973820818"/>
      <w:bookmarkStart w:id="44" w:name="__Fieldmark__234_1973820818"/>
      <w:bookmarkStart w:id="45" w:name="__Fieldmark__234_1973820818"/>
      <w:bookmarkEnd w:id="4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Nie</w:t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E.b) Zmeny účtovných zásad a metód</w:t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6" w:name="__Fieldmark__246_1973820818"/>
      <w:bookmarkStart w:id="47" w:name="__Fieldmark__246_1973820818"/>
      <w:bookmarkStart w:id="48" w:name="__Fieldmark__246_1973820818"/>
      <w:bookmarkEnd w:id="48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9" w:name="__Fieldmark__251_1973820818"/>
      <w:bookmarkStart w:id="50" w:name="__Fieldmark__251_1973820818"/>
      <w:bookmarkStart w:id="51" w:name="__Fieldmark__251_1973820818"/>
      <w:bookmarkEnd w:id="5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jc w:val="both"/>
      </w:pPr>
      <w:r>
        <w:rPr>
          <w:b/>
          <w:sz w:val="22"/>
          <w:szCs w:val="22"/>
        </w:rPr>
        <w:t>E.c) Spôsob oceňovania jednotlivých zložiek majetku a záväzkov: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nakupoval v danom roku dlhodobý nehmotný majetok</w:t>
      </w:r>
      <w:r>
        <w:rPr>
          <w:sz w:val="22"/>
          <w:szCs w:val="22"/>
        </w:rPr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2" w:name="__Fieldmark__260_1973820818"/>
      <w:bookmarkStart w:id="53" w:name="__Fieldmark__260_1973820818"/>
      <w:bookmarkStart w:id="54" w:name="__Fieldmark__260_1973820818"/>
      <w:bookmarkEnd w:id="5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5" w:name="__Fieldmark__265_1973820818"/>
      <w:bookmarkStart w:id="56" w:name="__Fieldmark__265_1973820818"/>
      <w:bookmarkStart w:id="57" w:name="__Fieldmark__265_1973820818"/>
      <w:bookmarkEnd w:id="5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nakupovaný, podnik oceňoval obstarávacou cenou v zložení: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8" w:name="Začiarkov8"/>
      <w:bookmarkStart w:id="59" w:name="__Fieldmark__271_1973820818"/>
      <w:bookmarkStart w:id="60" w:name="__Fieldmark__271_1973820818"/>
      <w:bookmarkStart w:id="61" w:name="__Fieldmark__271_1973820818"/>
      <w:bookmarkEnd w:id="61"/>
      <w:r>
        <w:rPr/>
      </w:r>
      <w:r>
        <w:fldChar w:fldCharType="end"/>
      </w:r>
      <w:bookmarkEnd w:id="58"/>
      <w:r>
        <w:rPr>
          <w:sz w:val="22"/>
          <w:szCs w:val="22"/>
        </w:rPr>
        <w:t xml:space="preserve"> Obstarávacia cena vrátane nákladov súvisiacich s obstaraním v zložení</w:t>
      </w:r>
    </w:p>
    <w:p>
      <w:pPr>
        <w:pStyle w:val="style0"/>
        <w:spacing w:after="0" w:before="0"/>
        <w:ind w:firstLine="709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2" w:name="Začiarkov9"/>
      <w:bookmarkStart w:id="63" w:name="__Fieldmark__277_1973820818"/>
      <w:bookmarkStart w:id="64" w:name="__Fieldmark__277_1973820818"/>
      <w:bookmarkStart w:id="65" w:name="__Fieldmark__277_1973820818"/>
      <w:bookmarkEnd w:id="65"/>
      <w:r>
        <w:rPr/>
      </w:r>
      <w:r>
        <w:fldChar w:fldCharType="end"/>
      </w:r>
      <w:bookmarkEnd w:id="62"/>
      <w:r>
        <w:rPr>
          <w:sz w:val="22"/>
          <w:szCs w:val="22"/>
        </w:rPr>
        <w:t xml:space="preserve"> dopravné</w:t>
        <w:tab/>
      </w:r>
      <w:bookmarkStart w:id="66" w:name="Začiarkov10"/>
      <w:r>
        <w:rPr>
          <w:sz w:val="22"/>
          <w:szCs w:val="22"/>
        </w:rPr>
        <w:t>x</w:t>
      </w:r>
      <w:bookmarkEnd w:id="66"/>
      <w:r>
        <w:rPr>
          <w:sz w:val="22"/>
          <w:szCs w:val="22"/>
        </w:rPr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7" w:name="Začiarkov11"/>
      <w:bookmarkStart w:id="68" w:name="__Fieldmark__289_1973820818"/>
      <w:bookmarkStart w:id="69" w:name="__Fieldmark__289_1973820818"/>
      <w:bookmarkStart w:id="70" w:name="__Fieldmark__289_1973820818"/>
      <w:bookmarkEnd w:id="70"/>
      <w:r>
        <w:rPr>
          <w:sz w:val="22"/>
          <w:szCs w:val="22"/>
        </w:rPr>
      </w:r>
      <w:r>
        <w:fldChar w:fldCharType="end"/>
      </w:r>
      <w:bookmarkEnd w:id="67"/>
      <w:r>
        <w:rPr>
          <w:sz w:val="22"/>
          <w:szCs w:val="22"/>
        </w:rPr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1" w:name="Začiarkov12"/>
      <w:bookmarkStart w:id="72" w:name="__Fieldmark__299_1973820818"/>
      <w:bookmarkStart w:id="73" w:name="__Fieldmark__299_1973820818"/>
      <w:bookmarkStart w:id="74" w:name="__Fieldmark__299_1973820818"/>
      <w:bookmarkEnd w:id="74"/>
      <w:r>
        <w:rPr>
          <w:sz w:val="22"/>
          <w:szCs w:val="22"/>
        </w:rPr>
      </w:r>
      <w:r>
        <w:fldChar w:fldCharType="end"/>
      </w:r>
      <w:bookmarkEnd w:id="71"/>
      <w:r>
        <w:rPr>
          <w:sz w:val="22"/>
          <w:szCs w:val="22"/>
        </w:rPr>
        <w:t xml:space="preserve"> clo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tvoril vlastnou činnosťou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5" w:name="__Fieldmark__307_1973820818"/>
      <w:bookmarkStart w:id="76" w:name="__Fieldmark__307_1973820818"/>
      <w:bookmarkStart w:id="77" w:name="__Fieldmark__307_1973820818"/>
      <w:bookmarkEnd w:id="77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8" w:name="__Fieldmark__312_1973820818"/>
      <w:bookmarkStart w:id="79" w:name="__Fieldmark__312_1973820818"/>
      <w:bookmarkStart w:id="80" w:name="__Fieldmark__312_1973820818"/>
      <w:bookmarkEnd w:id="8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vytvorený vlastnou činnosťou oceňoval podnik vlastnými nákladmi v zložení:</w:t>
      </w:r>
    </w:p>
    <w:p>
      <w:pPr>
        <w:pStyle w:val="style0"/>
        <w:spacing w:after="0" w:before="0"/>
        <w:ind w:hanging="0" w:left="709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1" w:name="Začiarkov13"/>
      <w:bookmarkStart w:id="82" w:name="__Fieldmark__318_1973820818"/>
      <w:bookmarkStart w:id="83" w:name="__Fieldmark__318_1973820818"/>
      <w:bookmarkStart w:id="84" w:name="__Fieldmark__318_1973820818"/>
      <w:bookmarkEnd w:id="84"/>
      <w:r>
        <w:rPr/>
      </w:r>
      <w:r>
        <w:fldChar w:fldCharType="end"/>
      </w:r>
      <w:bookmarkEnd w:id="81"/>
      <w:r>
        <w:rPr>
          <w:sz w:val="22"/>
          <w:szCs w:val="22"/>
        </w:rPr>
        <w:t xml:space="preserve"> priame náklady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5" w:name="Začiarkov14"/>
      <w:bookmarkStart w:id="86" w:name="__Fieldmark__325_1973820818"/>
      <w:bookmarkStart w:id="87" w:name="__Fieldmark__325_1973820818"/>
      <w:bookmarkStart w:id="88" w:name="__Fieldmark__325_1973820818"/>
      <w:bookmarkEnd w:id="88"/>
      <w:r>
        <w:rPr>
          <w:sz w:val="22"/>
          <w:szCs w:val="22"/>
        </w:rPr>
      </w:r>
      <w:r>
        <w:fldChar w:fldCharType="end"/>
      </w:r>
      <w:bookmarkEnd w:id="85"/>
      <w:r>
        <w:rPr>
          <w:sz w:val="22"/>
          <w:szCs w:val="22"/>
        </w:rPr>
        <w:t xml:space="preserve"> nepr</w:t>
      </w:r>
      <w:bookmarkStart w:id="89" w:name="Začiarkov15"/>
      <w:r>
        <w:rPr>
          <w:sz w:val="22"/>
          <w:szCs w:val="22"/>
        </w:rPr>
        <w:t>iame náklady spojené s výrobou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0" w:name="__Fieldmark__333_1973820818"/>
      <w:bookmarkStart w:id="91" w:name="__Fieldmark__333_1973820818"/>
      <w:bookmarkStart w:id="92" w:name="__Fieldmark__333_1973820818"/>
      <w:bookmarkEnd w:id="92"/>
      <w:r>
        <w:rPr>
          <w:sz w:val="22"/>
          <w:szCs w:val="22"/>
        </w:rPr>
      </w:r>
      <w:r>
        <w:fldChar w:fldCharType="end"/>
      </w:r>
      <w:bookmarkEnd w:id="89"/>
      <w:r>
        <w:rPr>
          <w:sz w:val="22"/>
          <w:szCs w:val="22"/>
        </w:rPr>
        <w:t xml:space="preserve"> inak: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 iným spôsobom 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3" w:name="__Fieldmark__341_1973820818"/>
      <w:bookmarkStart w:id="94" w:name="__Fieldmark__341_1973820818"/>
      <w:bookmarkStart w:id="95" w:name="__Fieldmark__341_1973820818"/>
      <w:bookmarkEnd w:id="95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96" w:name="__Fieldmark__346_1973820818"/>
      <w:bookmarkStart w:id="97" w:name="__Fieldmark__346_1973820818"/>
      <w:bookmarkStart w:id="98" w:name="__Fieldmark__346_1973820818"/>
      <w:bookmarkEnd w:id="9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obstaraný iným spôsobom: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v bežnom roku nakupoval dlhodobý 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9" w:name="__Fieldmark__356_1973820818"/>
      <w:bookmarkStart w:id="100" w:name="__Fieldmark__356_1973820818"/>
      <w:bookmarkStart w:id="101" w:name="__Fieldmark__356_1973820818"/>
      <w:bookmarkEnd w:id="101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2" w:name="__Fieldmark__361_1973820818"/>
      <w:bookmarkStart w:id="103" w:name="__Fieldmark__361_1973820818"/>
      <w:bookmarkStart w:id="104" w:name="__Fieldmark__361_1973820818"/>
      <w:bookmarkEnd w:id="10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hmotný majetok nakupovaný oceňoval podnik obstarávacou cenou v zložení: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5" w:name="Začiarkov16"/>
      <w:bookmarkStart w:id="106" w:name="__Fieldmark__367_1973820818"/>
      <w:bookmarkStart w:id="107" w:name="__Fieldmark__367_1973820818"/>
      <w:bookmarkStart w:id="108" w:name="__Fieldmark__367_1973820818"/>
      <w:bookmarkEnd w:id="108"/>
      <w:r>
        <w:rPr/>
      </w:r>
      <w:r>
        <w:fldChar w:fldCharType="end"/>
      </w:r>
      <w:bookmarkEnd w:id="105"/>
      <w:r>
        <w:rPr>
          <w:sz w:val="22"/>
          <w:szCs w:val="22"/>
        </w:rPr>
        <w:t xml:space="preserve"> obstarávacia cena, vrátane nákladov súvisiacich s obstaraním v zložení</w:t>
        <w:tab/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9" w:name="Začiarkov17"/>
      <w:bookmarkStart w:id="110" w:name="__Fieldmark__374_1973820818"/>
      <w:bookmarkStart w:id="111" w:name="__Fieldmark__374_1973820818"/>
      <w:bookmarkStart w:id="112" w:name="__Fieldmark__374_1973820818"/>
      <w:bookmarkEnd w:id="112"/>
      <w:r>
        <w:rPr/>
      </w:r>
      <w:r>
        <w:fldChar w:fldCharType="end"/>
      </w:r>
      <w:bookmarkEnd w:id="109"/>
      <w:r>
        <w:rPr>
          <w:sz w:val="22"/>
          <w:szCs w:val="22"/>
        </w:rPr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3" w:name="Začiarkov18"/>
      <w:bookmarkStart w:id="114" w:name="__Fieldmark__381_1973820818"/>
      <w:bookmarkStart w:id="115" w:name="__Fieldmark__381_1973820818"/>
      <w:bookmarkStart w:id="116" w:name="__Fieldmark__381_1973820818"/>
      <w:bookmarkEnd w:id="116"/>
      <w:r>
        <w:rPr>
          <w:sz w:val="22"/>
          <w:szCs w:val="22"/>
        </w:rPr>
      </w:r>
      <w:r>
        <w:fldChar w:fldCharType="end"/>
      </w:r>
      <w:bookmarkEnd w:id="113"/>
      <w:r>
        <w:rPr>
          <w:sz w:val="22"/>
          <w:szCs w:val="22"/>
        </w:rPr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7" w:name="Začiarkov19"/>
      <w:bookmarkStart w:id="118" w:name="__Fieldmark__388_1973820818"/>
      <w:bookmarkStart w:id="119" w:name="__Fieldmark__388_1973820818"/>
      <w:bookmarkStart w:id="120" w:name="__Fieldmark__388_1973820818"/>
      <w:bookmarkEnd w:id="120"/>
      <w:r>
        <w:rPr>
          <w:sz w:val="22"/>
          <w:szCs w:val="22"/>
        </w:rPr>
      </w:r>
      <w:r>
        <w:fldChar w:fldCharType="end"/>
      </w:r>
      <w:bookmarkEnd w:id="117"/>
      <w:r>
        <w:rPr>
          <w:sz w:val="22"/>
          <w:szCs w:val="22"/>
        </w:rPr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1" w:name="Začiarkov20"/>
      <w:bookmarkStart w:id="122" w:name="__Fieldmark__395_1973820818"/>
      <w:bookmarkStart w:id="123" w:name="__Fieldmark__395_1973820818"/>
      <w:bookmarkStart w:id="124" w:name="__Fieldmark__395_1973820818"/>
      <w:bookmarkEnd w:id="124"/>
      <w:r>
        <w:rPr>
          <w:sz w:val="22"/>
          <w:szCs w:val="22"/>
        </w:rPr>
      </w:r>
      <w:r>
        <w:fldChar w:fldCharType="end"/>
      </w:r>
      <w:bookmarkEnd w:id="121"/>
      <w:r>
        <w:rPr>
          <w:sz w:val="22"/>
          <w:szCs w:val="22"/>
        </w:rPr>
        <w:t xml:space="preserve"> 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5" w:name="Začiarkov21"/>
      <w:bookmarkStart w:id="126" w:name="__Fieldmark__403_1973820818"/>
      <w:bookmarkStart w:id="127" w:name="__Fieldmark__403_1973820818"/>
      <w:bookmarkStart w:id="128" w:name="__Fieldmark__403_1973820818"/>
      <w:bookmarkEnd w:id="128"/>
      <w:r>
        <w:rPr>
          <w:sz w:val="22"/>
          <w:szCs w:val="22"/>
        </w:rPr>
      </w:r>
      <w:r>
        <w:fldChar w:fldCharType="end"/>
      </w:r>
      <w:bookmarkEnd w:id="125"/>
      <w:r>
        <w:rPr>
          <w:sz w:val="22"/>
          <w:szCs w:val="22"/>
        </w:rPr>
        <w:t xml:space="preserve"> ostatné VON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ind w:hanging="294" w:left="720" w:right="0"/>
        <w:contextualSpacing/>
        <w:jc w:val="both"/>
      </w:pPr>
      <w:r>
        <w:rPr>
          <w:b/>
          <w:sz w:val="22"/>
          <w:szCs w:val="22"/>
        </w:rPr>
        <w:t>Podnik v bežnom roku tvoril dlhodobý hmotný majetok vlastnou činnosťou</w:t>
      </w:r>
      <w:r>
        <w:rPr>
          <w:sz w:val="22"/>
          <w:szCs w:val="22"/>
        </w:rPr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29" w:name="__Fieldmark__411_1973820818"/>
      <w:bookmarkStart w:id="130" w:name="__Fieldmark__411_1973820818"/>
      <w:bookmarkStart w:id="131" w:name="__Fieldmark__411_1973820818"/>
      <w:bookmarkEnd w:id="13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32" w:name="__Fieldmark__416_1973820818"/>
      <w:bookmarkStart w:id="133" w:name="__Fieldmark__416_1973820818"/>
      <w:bookmarkStart w:id="134" w:name="__Fieldmark__416_1973820818"/>
      <w:bookmarkEnd w:id="13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hmotný majetok vytvorený vlastnou činnosťou oceňoval podnik vlastnými nákladmi v zložení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5" w:name="Začiarkov22"/>
      <w:bookmarkStart w:id="136" w:name="__Fieldmark__422_1973820818"/>
      <w:bookmarkStart w:id="137" w:name="__Fieldmark__422_1973820818"/>
      <w:bookmarkStart w:id="138" w:name="__Fieldmark__422_1973820818"/>
      <w:bookmarkEnd w:id="138"/>
      <w:r>
        <w:rPr/>
      </w:r>
      <w:r>
        <w:fldChar w:fldCharType="end"/>
      </w:r>
      <w:bookmarkEnd w:id="135"/>
      <w:r>
        <w:rPr>
          <w:sz w:val="22"/>
          <w:szCs w:val="22"/>
        </w:rPr>
        <w:t xml:space="preserve"> priame náklady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9" w:name="Začiarkov23"/>
      <w:bookmarkStart w:id="140" w:name="__Fieldmark__428_1973820818"/>
      <w:bookmarkStart w:id="141" w:name="__Fieldmark__428_1973820818"/>
      <w:bookmarkStart w:id="142" w:name="__Fieldmark__428_1973820818"/>
      <w:bookmarkEnd w:id="142"/>
      <w:r>
        <w:rPr/>
      </w:r>
      <w:r>
        <w:fldChar w:fldCharType="end"/>
      </w:r>
      <w:bookmarkEnd w:id="139"/>
      <w:r>
        <w:rPr>
          <w:sz w:val="22"/>
          <w:szCs w:val="22"/>
        </w:rPr>
        <w:t xml:space="preserve"> nepriame náklady (výrobná réžia) súvisiace s vytvorením dlhodobého hmotného majetku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3" w:name="Začiarkov24"/>
      <w:bookmarkStart w:id="144" w:name="__Fieldmark__434_1973820818"/>
      <w:bookmarkStart w:id="145" w:name="__Fieldmark__434_1973820818"/>
      <w:bookmarkStart w:id="146" w:name="__Fieldmark__434_1973820818"/>
      <w:bookmarkEnd w:id="146"/>
      <w:r>
        <w:rPr/>
      </w:r>
      <w:r>
        <w:fldChar w:fldCharType="end"/>
      </w:r>
      <w:bookmarkEnd w:id="143"/>
      <w:r>
        <w:rPr>
          <w:sz w:val="22"/>
          <w:szCs w:val="22"/>
        </w:rPr>
        <w:t xml:space="preserve"> inak: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 iným spôsobom  dlhodobý hmotný majetok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7" w:name="__Fieldmark__443_1973820818"/>
      <w:bookmarkStart w:id="148" w:name="__Fieldmark__443_1973820818"/>
      <w:bookmarkStart w:id="149" w:name="__Fieldmark__443_1973820818"/>
      <w:bookmarkEnd w:id="149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0" w:name="__Fieldmark__448_1973820818"/>
      <w:bookmarkStart w:id="151" w:name="__Fieldmark__448_1973820818"/>
      <w:bookmarkStart w:id="152" w:name="__Fieldmark__448_1973820818"/>
      <w:bookmarkEnd w:id="15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Dlhodobý nehmotný majetok obstaraný iným spôsobom: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v bežnom roku vlastnil cenné papiere</w:t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3" w:name="__Fieldmark__461_1973820818"/>
      <w:bookmarkStart w:id="154" w:name="__Fieldmark__461_1973820818"/>
      <w:bookmarkStart w:id="155" w:name="__Fieldmark__461_1973820818"/>
      <w:bookmarkEnd w:id="155"/>
      <w:r>
        <w:rPr>
          <w:b/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6" w:name="__Fieldmark__466_1973820818"/>
      <w:bookmarkStart w:id="157" w:name="__Fieldmark__466_1973820818"/>
      <w:bookmarkStart w:id="158" w:name="__Fieldmark__466_1973820818"/>
      <w:bookmarkEnd w:id="15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Podiely na základnom imaní spoločností, cenné papiere a deriváty oceňoval: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59" w:name="Začiarkov25"/>
      <w:bookmarkStart w:id="160" w:name="__Fieldmark__472_1973820818"/>
      <w:bookmarkStart w:id="161" w:name="__Fieldmark__472_1973820818"/>
      <w:bookmarkStart w:id="162" w:name="__Fieldmark__472_1973820818"/>
      <w:bookmarkEnd w:id="162"/>
      <w:r>
        <w:rPr/>
      </w:r>
      <w:r>
        <w:fldChar w:fldCharType="end"/>
      </w:r>
      <w:bookmarkEnd w:id="159"/>
      <w:r>
        <w:rPr>
          <w:sz w:val="22"/>
          <w:szCs w:val="22"/>
        </w:rPr>
        <w:t xml:space="preserve"> obstarávacou cenou pri nákupe a predaji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3" w:name="Začiarkov26"/>
      <w:bookmarkStart w:id="164" w:name="__Fieldmark__478_1973820818"/>
      <w:bookmarkStart w:id="165" w:name="__Fieldmark__478_1973820818"/>
      <w:bookmarkStart w:id="166" w:name="__Fieldmark__478_1973820818"/>
      <w:bookmarkEnd w:id="166"/>
      <w:r>
        <w:rPr/>
      </w:r>
      <w:r>
        <w:fldChar w:fldCharType="end"/>
      </w:r>
      <w:bookmarkEnd w:id="163"/>
      <w:r>
        <w:rPr>
          <w:sz w:val="22"/>
          <w:szCs w:val="22"/>
        </w:rPr>
        <w:t xml:space="preserve"> pri nákupe obstarávacou cenou a pri predaji váženým aritmetickým priemerom, (pri rovnakom druhu, rovnakom emitentovi, rovnakej mene)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67" w:name="Začiarkov27"/>
      <w:bookmarkStart w:id="168" w:name="__Fieldmark__484_1973820818"/>
      <w:bookmarkStart w:id="169" w:name="__Fieldmark__484_1973820818"/>
      <w:bookmarkStart w:id="170" w:name="__Fieldmark__484_1973820818"/>
      <w:bookmarkEnd w:id="170"/>
      <w:r>
        <w:rPr/>
      </w:r>
      <w:r>
        <w:fldChar w:fldCharType="end"/>
      </w:r>
      <w:bookmarkEnd w:id="167"/>
      <w:r>
        <w:rPr>
          <w:sz w:val="22"/>
          <w:szCs w:val="22"/>
        </w:rPr>
        <w:t xml:space="preserve"> metódou FIFO (pri rovnakom druhu, rovnakom emitentovi a rovnakej mene)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1" w:name="Začiarkov28"/>
      <w:bookmarkStart w:id="172" w:name="__Fieldmark__490_1973820818"/>
      <w:bookmarkStart w:id="173" w:name="__Fieldmark__490_1973820818"/>
      <w:bookmarkStart w:id="174" w:name="__Fieldmark__490_1973820818"/>
      <w:bookmarkEnd w:id="174"/>
      <w:r>
        <w:rPr/>
      </w:r>
      <w:r>
        <w:fldChar w:fldCharType="end"/>
      </w:r>
      <w:bookmarkEnd w:id="171"/>
      <w:r>
        <w:rPr>
          <w:sz w:val="22"/>
          <w:szCs w:val="22"/>
        </w:rPr>
        <w:t xml:space="preserve"> inak: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b/>
          <w:sz w:val="22"/>
          <w:szCs w:val="22"/>
        </w:rPr>
        <w:t>Podnik nakupoval zásoby</w:t>
        <w:tab/>
      </w:r>
      <w:r>
        <w:rPr>
          <w:sz w:val="22"/>
          <w:szCs w:val="22"/>
        </w:rPr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5" w:name="__Fieldmark__503_1973820818"/>
      <w:bookmarkStart w:id="176" w:name="__Fieldmark__503_1973820818"/>
      <w:bookmarkStart w:id="177" w:name="__Fieldmark__503_1973820818"/>
      <w:bookmarkEnd w:id="17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78" w:name="__Fieldmark__508_1973820818"/>
      <w:bookmarkStart w:id="179" w:name="__Fieldmark__508_1973820818"/>
      <w:bookmarkStart w:id="180" w:name="__Fieldmark__508_1973820818"/>
      <w:bookmarkEnd w:id="180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>Účtovanie obstarania a úbytku zásob.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 xml:space="preserve">Pri účtovaní zásob postupoval podnik 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1" w:name="__Fieldmark__514_1973820818"/>
      <w:bookmarkStart w:id="182" w:name="__Fieldmark__514_1973820818"/>
      <w:bookmarkStart w:id="183" w:name="__Fieldmark__514_1973820818"/>
      <w:bookmarkEnd w:id="183"/>
      <w:r>
        <w:rPr/>
      </w:r>
      <w:r>
        <w:fldChar w:fldCharType="end"/>
      </w:r>
      <w:r>
        <w:rPr>
          <w:sz w:val="22"/>
          <w:szCs w:val="22"/>
        </w:rPr>
        <w:t>spôsobom A účtovania zásob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4" w:name="__Fieldmark__518_1973820818"/>
      <w:bookmarkStart w:id="185" w:name="__Fieldmark__518_1973820818"/>
      <w:bookmarkStart w:id="186" w:name="__Fieldmark__518_1973820818"/>
      <w:bookmarkEnd w:id="186"/>
      <w:r>
        <w:rPr/>
      </w:r>
      <w:r>
        <w:fldChar w:fldCharType="end"/>
      </w:r>
      <w:r>
        <w:rPr>
          <w:sz w:val="22"/>
          <w:szCs w:val="22"/>
        </w:rPr>
        <w:t>spôsobom B účtovania zásob</w:t>
      </w:r>
    </w:p>
    <w:p>
      <w:pPr>
        <w:pStyle w:val="style277"/>
        <w:numPr>
          <w:ilvl w:val="0"/>
          <w:numId w:val="11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Nakupované zásoby oceňoval podnik obstarávacou cenou v zložení: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87" w:name="__Fieldmark__523_1973820818"/>
      <w:bookmarkStart w:id="188" w:name="__Fieldmark__523_1973820818"/>
      <w:bookmarkStart w:id="189" w:name="__Fieldmark__523_1973820818"/>
      <w:bookmarkEnd w:id="189"/>
      <w:r>
        <w:rPr/>
      </w:r>
      <w:r>
        <w:fldChar w:fldCharType="end"/>
      </w:r>
      <w:r>
        <w:rPr>
          <w:sz w:val="22"/>
          <w:szCs w:val="22"/>
        </w:rPr>
        <w:t xml:space="preserve"> cena obstarania vrátane nákladov súvisiacich s obstaraním v zložení</w:t>
      </w:r>
    </w:p>
    <w:p>
      <w:pPr>
        <w:pStyle w:val="style0"/>
        <w:spacing w:after="0" w:before="0"/>
        <w:ind w:hanging="0" w:left="360" w:right="0"/>
        <w:contextualSpacing w:val="false"/>
        <w:jc w:val="both"/>
      </w:pPr>
      <w:r>
        <w:rPr>
          <w:sz w:val="22"/>
          <w:szCs w:val="22"/>
        </w:rPr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0" w:name="__Fieldmark__528_1973820818"/>
      <w:bookmarkStart w:id="191" w:name="__Fieldmark__528_1973820818"/>
      <w:bookmarkStart w:id="192" w:name="__Fieldmark__528_1973820818"/>
      <w:bookmarkEnd w:id="192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3" w:name="__Fieldmark__533_1973820818"/>
      <w:bookmarkStart w:id="194" w:name="__Fieldmark__533_1973820818"/>
      <w:bookmarkStart w:id="195" w:name="__Fieldmark__533_1973820818"/>
      <w:bookmarkEnd w:id="19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6" w:name="__Fieldmark__538_1973820818"/>
      <w:bookmarkStart w:id="197" w:name="__Fieldmark__538_1973820818"/>
      <w:bookmarkStart w:id="198" w:name="__Fieldmark__538_1973820818"/>
      <w:bookmarkEnd w:id="19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9" w:name="__Fieldmark__543_1973820818"/>
      <w:bookmarkStart w:id="200" w:name="__Fieldmark__543_1973820818"/>
      <w:bookmarkStart w:id="201" w:name="__Fieldmark__543_1973820818"/>
      <w:bookmarkEnd w:id="201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2" w:name="__Fieldmark__549_1973820818"/>
      <w:bookmarkStart w:id="203" w:name="__Fieldmark__549_1973820818"/>
      <w:bookmarkStart w:id="204" w:name="__Fieldmark__549_1973820818"/>
      <w:bookmarkEnd w:id="20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>ostatné VON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rPr>
          <w:sz w:val="22"/>
          <w:szCs w:val="22"/>
        </w:rPr>
        <w:t>Náklady súvisiace s obstaraním zásob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5" w:name="__Fieldmark__554_1973820818"/>
      <w:bookmarkStart w:id="206" w:name="__Fieldmark__554_1973820818"/>
      <w:bookmarkStart w:id="207" w:name="__Fieldmark__554_1973820818"/>
      <w:bookmarkEnd w:id="207"/>
      <w:r>
        <w:rPr/>
      </w:r>
      <w:r>
        <w:fldChar w:fldCharType="end"/>
      </w:r>
      <w:r>
        <w:rPr>
          <w:sz w:val="22"/>
          <w:szCs w:val="22"/>
        </w:rPr>
        <w:t xml:space="preserve"> pri príjme na sklad sa rozpočítali s cenou obstarania na technickú jednotku obstaranej zásoby,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8" w:name="__Fieldmark__558_1973820818"/>
      <w:bookmarkStart w:id="209" w:name="__Fieldmark__558_1973820818"/>
      <w:bookmarkStart w:id="210" w:name="__Fieldmark__558_1973820818"/>
      <w:bookmarkEnd w:id="210"/>
      <w:r>
        <w:rPr/>
      </w:r>
      <w:r>
        <w:fldChar w:fldCharType="end"/>
      </w:r>
      <w:r>
        <w:rPr>
          <w:sz w:val="22"/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>
      <w:pPr>
        <w:pStyle w:val="style0"/>
        <w:spacing w:after="0" w:before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ind w:hanging="0" w:left="709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1" w:name="__Fieldmark__567_1973820818"/>
      <w:bookmarkStart w:id="212" w:name="__Fieldmark__567_1973820818"/>
      <w:bookmarkStart w:id="213" w:name="__Fieldmark__567_1973820818"/>
      <w:bookmarkEnd w:id="213"/>
      <w:r>
        <w:rPr/>
      </w:r>
      <w:r>
        <w:fldChar w:fldCharType="end"/>
      </w:r>
      <w:r>
        <w:rPr>
          <w:sz w:val="22"/>
          <w:szCs w:val="22"/>
        </w:rPr>
        <w:t xml:space="preserve"> obstarávacia cena zásob sa v analytickej evidencii rozdeľovala na vopred stanovenú cenu </w:t>
      </w:r>
    </w:p>
    <w:p>
      <w:pPr>
        <w:pStyle w:val="style0"/>
        <w:ind w:hanging="0" w:left="708" w:right="0"/>
        <w:jc w:val="both"/>
      </w:pPr>
      <w:r>
        <w:rPr>
          <w:sz w:val="22"/>
          <w:szCs w:val="22"/>
        </w:rPr>
        <w:t>(pevnú c</w:t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>
      <w:pPr>
        <w:pStyle w:val="style0"/>
        <w:spacing w:after="0" w:before="0"/>
        <w:ind w:firstLine="709" w:left="0" w:right="0"/>
        <w:contextualSpacing w:val="false"/>
        <w:jc w:val="both"/>
      </w:pPr>
      <w:r>
        <w:rPr>
          <w:b/>
          <w:sz w:val="22"/>
          <w:szCs w:val="22"/>
        </w:rPr>
        <w:t>Pri vyskladnení zásob sa používal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4" w:name="__Fieldmark__578_1973820818"/>
      <w:bookmarkStart w:id="215" w:name="__Fieldmark__578_1973820818"/>
      <w:bookmarkStart w:id="216" w:name="__Fieldmark__578_1973820818"/>
      <w:bookmarkEnd w:id="216"/>
      <w:r>
        <w:rPr/>
      </w:r>
      <w:r>
        <w:fldChar w:fldCharType="end"/>
      </w:r>
      <w:r>
        <w:rPr>
          <w:sz w:val="22"/>
          <w:szCs w:val="22"/>
        </w:rPr>
        <w:t>vážený aritmetický priemer z obstarávacích cien, aktualizovaný mesačne</w:t>
      </w:r>
    </w:p>
    <w:p>
      <w:pPr>
        <w:pStyle w:val="style0"/>
        <w:spacing w:after="0" w:before="0"/>
        <w:ind w:hanging="0" w:left="708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7" w:name="__Fieldmark__582_1973820818"/>
      <w:bookmarkStart w:id="218" w:name="__Fieldmark__582_1973820818"/>
      <w:bookmarkStart w:id="219" w:name="__Fieldmark__582_1973820818"/>
      <w:bookmarkEnd w:id="219"/>
      <w:r>
        <w:rPr/>
      </w:r>
      <w:r>
        <w:fldChar w:fldCharType="end"/>
      </w:r>
      <w:r>
        <w:rPr>
          <w:sz w:val="22"/>
          <w:szCs w:val="22"/>
        </w:rPr>
        <w:t xml:space="preserve"> metóda FIFO (prvá cena na ocenenie prírastku zásob sa použila ako prvá cena na ocenenie úbytku zásob)</w:t>
      </w:r>
    </w:p>
    <w:p>
      <w:pPr>
        <w:pStyle w:val="style0"/>
        <w:spacing w:after="0" w:before="0"/>
        <w:ind w:firstLine="708" w:left="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0" w:name="__Fieldmark__586_1973820818"/>
      <w:bookmarkStart w:id="221" w:name="__Fieldmark__586_1973820818"/>
      <w:bookmarkStart w:id="222" w:name="__Fieldmark__586_1973820818"/>
      <w:bookmarkEnd w:id="222"/>
      <w:r>
        <w:rPr/>
      </w:r>
      <w:r>
        <w:fldChar w:fldCharType="end"/>
      </w:r>
      <w:r>
        <w:rPr>
          <w:sz w:val="22"/>
          <w:szCs w:val="22"/>
        </w:rPr>
        <w:t xml:space="preserve"> iný spôsob:</w:t>
      </w:r>
    </w:p>
    <w:p>
      <w:pPr>
        <w:pStyle w:val="style277"/>
        <w:numPr>
          <w:ilvl w:val="0"/>
          <w:numId w:val="11"/>
        </w:numPr>
        <w:tabs>
          <w:tab w:leader="none" w:pos="7524" w:val="left"/>
          <w:tab w:leader="none" w:pos="9225" w:val="left"/>
        </w:tabs>
        <w:spacing w:after="0" w:before="0"/>
        <w:contextualSpacing/>
        <w:jc w:val="both"/>
      </w:pPr>
      <w:r>
        <w:rPr>
          <w:b/>
          <w:sz w:val="22"/>
          <w:szCs w:val="22"/>
        </w:rPr>
        <w:t>Podnik tvoril v bežnom roku zásoby vlastnou činnosťou</w:t>
      </w:r>
      <w:r>
        <w:rPr>
          <w:sz w:val="22"/>
          <w:szCs w:val="22"/>
        </w:rPr>
        <w:tab/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3" w:name="__Fieldmark__593_1973820818"/>
      <w:bookmarkStart w:id="224" w:name="__Fieldmark__593_1973820818"/>
      <w:bookmarkStart w:id="225" w:name="__Fieldmark__593_1973820818"/>
      <w:bookmarkEnd w:id="225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26" w:name="__Fieldmark__598_1973820818"/>
      <w:bookmarkStart w:id="227" w:name="__Fieldmark__598_1973820818"/>
      <w:bookmarkStart w:id="228" w:name="__Fieldmark__598_1973820818"/>
      <w:bookmarkEnd w:id="228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720" w:right="0"/>
        <w:contextualSpacing w:val="false"/>
        <w:jc w:val="both"/>
      </w:pPr>
      <w:r>
        <w:rPr>
          <w:sz w:val="22"/>
          <w:szCs w:val="22"/>
        </w:rPr>
        <w:t>Zásoby vytvorené vlastnou činnosťou podnik oceňoval vlastnými nákladmi</w:t>
      </w:r>
    </w:p>
    <w:p>
      <w:pPr>
        <w:pStyle w:val="style0"/>
        <w:spacing w:after="0" w:before="0"/>
        <w:ind w:firstLine="348" w:left="360" w:right="0"/>
        <w:contextualSpacing w:val="false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9" w:name="__Fieldmark__603_1973820818"/>
      <w:bookmarkStart w:id="230" w:name="__Fieldmark__603_1973820818"/>
      <w:bookmarkStart w:id="231" w:name="__Fieldmark__603_1973820818"/>
      <w:bookmarkEnd w:id="231"/>
      <w:r>
        <w:rPr/>
      </w:r>
      <w:r>
        <w:fldChar w:fldCharType="end"/>
      </w:r>
      <w:r>
        <w:rPr>
          <w:sz w:val="22"/>
          <w:szCs w:val="22"/>
        </w:rPr>
        <w:t xml:space="preserve"> podľa skutočnej výšky nákladov, v zložení</w:t>
      </w:r>
    </w:p>
    <w:p>
      <w:pPr>
        <w:pStyle w:val="style0"/>
        <w:numPr>
          <w:ilvl w:val="0"/>
          <w:numId w:val="3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priame náklady</w:t>
      </w:r>
    </w:p>
    <w:p>
      <w:pPr>
        <w:pStyle w:val="style0"/>
        <w:numPr>
          <w:ilvl w:val="0"/>
          <w:numId w:val="3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časť nepriamych nákladov, súvisiaca s ich vytváraním</w:t>
      </w:r>
    </w:p>
    <w:p>
      <w:pPr>
        <w:pStyle w:val="style277"/>
        <w:numPr>
          <w:ilvl w:val="0"/>
          <w:numId w:val="11"/>
        </w:numPr>
        <w:spacing w:after="0" w:before="0"/>
        <w:contextualSpacing/>
        <w:jc w:val="both"/>
      </w:pPr>
      <w:r>
        <w:rPr>
          <w:b/>
          <w:sz w:val="22"/>
          <w:szCs w:val="22"/>
        </w:rPr>
        <w:t>Podnik obstaral bežnom roku zásoby iným spôsobom</w:t>
        <w:tab/>
        <w:tab/>
      </w:r>
      <w:r>
        <w:rPr>
          <w:sz w:val="22"/>
          <w:szCs w:val="22"/>
        </w:rPr>
        <w:tab/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2" w:name="__Fieldmark__614_1973820818"/>
      <w:bookmarkStart w:id="233" w:name="__Fieldmark__614_1973820818"/>
      <w:bookmarkStart w:id="234" w:name="__Fieldmark__614_1973820818"/>
      <w:bookmarkEnd w:id="234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Áno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35" w:name="__Fieldmark__619_1973820818"/>
      <w:bookmarkStart w:id="236" w:name="__Fieldmark__619_1973820818"/>
      <w:bookmarkStart w:id="237" w:name="__Fieldmark__619_1973820818"/>
      <w:bookmarkEnd w:id="237"/>
      <w:r>
        <w:rPr>
          <w:sz w:val="22"/>
          <w:szCs w:val="22"/>
        </w:rPr>
      </w:r>
      <w:r>
        <w:fldChar w:fldCharType="end"/>
      </w:r>
      <w:r>
        <w:rPr>
          <w:sz w:val="22"/>
          <w:szCs w:val="22"/>
        </w:rPr>
        <w:t xml:space="preserve"> Nie</w:t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  <w:t>Zásoby obstarané iným spôsobom  podnik oceňoval :</w:t>
      </w:r>
    </w:p>
    <w:p>
      <w:pPr>
        <w:pStyle w:val="style0"/>
        <w:jc w:val="both"/>
      </w:pPr>
      <w:r>
        <w:rPr>
          <w:b/>
          <w:sz w:val="22"/>
          <w:szCs w:val="22"/>
        </w:rPr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zákazkovú výrobu a zákazkovú výstavbu nehnuteľnosti určenej na predaj,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pohľadávky,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krátkodobý finančný majetok,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časové rozlíšenie na strane aktív súvahy,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záväzky, vrátane rezerv, dlhopisov, pôžičiek a úverov,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časové rozlíšenie na strane pasív súvahy,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deriváty,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majetok a záväzky zabezpečené derivátmi,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 xml:space="preserve">prenajatý  majetok a majetok obstaraný na základe  zmluvy o kúpe prenajatej veci,  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  <w:t>majetok obstaraný v privatizácii,</w:t>
      </w:r>
    </w:p>
    <w:p>
      <w:pPr>
        <w:pStyle w:val="style0"/>
        <w:numPr>
          <w:ilvl w:val="0"/>
          <w:numId w:val="11"/>
        </w:numPr>
        <w:spacing w:after="0" w:before="0" w:line="100" w:lineRule="atLeast"/>
        <w:contextualSpacing w:val="false"/>
        <w:jc w:val="both"/>
      </w:pPr>
      <w:r>
        <w:rPr>
          <w:bCs/>
          <w:sz w:val="22"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pacing w:after="0" w:before="0"/>
        <w:contextualSpacing w:val="false"/>
        <w:jc w:val="both"/>
      </w:pPr>
      <w:r>
        <w:rPr>
          <w:b/>
          <w:sz w:val="22"/>
          <w:szCs w:val="22"/>
        </w:rPr>
        <w:t>E.d) Spôsob zostavenia odpisového plánu dlhodobého majetku</w:t>
      </w:r>
    </w:p>
    <w:p>
      <w:pPr>
        <w:pStyle w:val="style0"/>
        <w:jc w:val="both"/>
      </w:pPr>
      <w:r>
        <w:rPr>
          <w:sz w:val="22"/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jc w:val="left"/>
        <w:tblInd w:type="dxa" w:w="0"/>
        <w:tblBorders>
          <w:top w:color="00000A" w:space="0" w:sz="8" w:val="single"/>
          <w:left w:color="00000A" w:space="0" w:sz="8" w:val="single"/>
          <w:bottom w:color="00000A" w:space="0" w:sz="8" w:val="single"/>
          <w:insideH w:color="00000A" w:space="0" w:sz="8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0"/>
          <w:bottom w:type="dxa" w:w="0"/>
          <w:right w:type="dxa" w:w="70"/>
        </w:tblCellMar>
      </w:tblPr>
      <w:tblGrid>
        <w:gridCol w:w="2537"/>
        <w:gridCol w:w="2224"/>
        <w:gridCol w:w="2226"/>
        <w:gridCol w:w="2224"/>
      </w:tblGrid>
      <w:tr>
        <w:trPr>
          <w:trHeight w:hRule="atLeast" w:val="270"/>
          <w:cantSplit w:val="false"/>
        </w:trPr>
        <w:tc>
          <w:tcPr>
            <w:tcW w:type="dxa" w:w="2537"/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type="dxa" w:w="222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type="dxa" w:w="2226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type="dxa" w:w="222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2537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224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8" w:name="Začiarkov5"/>
      <w:bookmarkStart w:id="239" w:name="__Fieldmark__687_1973820818"/>
      <w:bookmarkStart w:id="240" w:name="__Fieldmark__687_1973820818"/>
      <w:bookmarkStart w:id="241" w:name="__Fieldmark__687_1973820818"/>
      <w:bookmarkEnd w:id="241"/>
      <w:r>
        <w:rPr/>
      </w:r>
      <w:r>
        <w:fldChar w:fldCharType="end"/>
      </w:r>
      <w:bookmarkEnd w:id="238"/>
      <w:r>
        <w:rPr>
          <w:sz w:val="22"/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2" w:name="__Fieldmark__694_1973820818"/>
      <w:bookmarkStart w:id="243" w:name="__Fieldmark__694_1973820818"/>
      <w:bookmarkStart w:id="244" w:name="__Fieldmark__694_1973820818"/>
      <w:bookmarkEnd w:id="244"/>
      <w:r>
        <w:rPr/>
      </w:r>
      <w:r>
        <w:fldChar w:fldCharType="end"/>
      </w:r>
      <w:r>
        <w:rPr>
          <w:sz w:val="22"/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>
      <w:pPr>
        <w:pStyle w:val="style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45" w:name="__Fieldmark__702_1973820818"/>
      <w:bookmarkStart w:id="246" w:name="__Fieldmark__702_1973820818"/>
      <w:bookmarkStart w:id="247" w:name="__Fieldmark__702_1973820818"/>
      <w:bookmarkEnd w:id="247"/>
      <w:r>
        <w:rPr/>
      </w:r>
      <w:r>
        <w:fldChar w:fldCharType="end"/>
      </w:r>
      <w:r>
        <w:rPr>
          <w:sz w:val="22"/>
          <w:szCs w:val="22"/>
        </w:rPr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>
      <w:pPr>
        <w:pStyle w:val="style0"/>
        <w:jc w:val="both"/>
      </w:pPr>
      <w:r>
        <w:rPr>
          <w:b/>
          <w:sz w:val="22"/>
          <w:szCs w:val="22"/>
        </w:rPr>
        <w:t>E.e) Dotácie poskytnuté na obstaranie majetku:</w:t>
      </w:r>
    </w:p>
    <w:p>
      <w:pPr>
        <w:pStyle w:val="style0"/>
        <w:jc w:val="both"/>
      </w:pPr>
      <w:r>
        <w:rPr>
          <w:b/>
          <w:sz w:val="22"/>
          <w:szCs w:val="22"/>
        </w:rPr>
        <w:t xml:space="preserve">E.f) Oprava chýb minulých účtovných období účtovaná v bežnom účtovnom období </w:t>
      </w:r>
      <w:r>
        <w:rPr>
          <w:sz w:val="22"/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0"/>
        <w:jc w:val="both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a) o dlhodobom nehmotnom majetku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861"/>
        <w:gridCol w:w="7266"/>
      </w:tblGrid>
      <w:tr>
        <w:trPr>
          <w:trHeight w:hRule="atLeast" w:val="334"/>
          <w:cantSplit w:val="false"/>
        </w:trPr>
        <w:tc>
          <w:tcPr>
            <w:tcW w:type="dxa" w:w="186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type="dxa" w:w="7266"/>
            <w:gridSpan w:val="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1124"/>
          <w:cantSplit w:val="false"/>
        </w:trPr>
        <w:tc>
          <w:tcPr>
            <w:tcW w:type="dxa" w:w="186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Obsta-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hRule="atLeast" w:val="80"/>
          <w:cantSplit w:val="false"/>
        </w:trPr>
        <w:tc>
          <w:tcPr>
            <w:tcW w:type="dxa" w:w="18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7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11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</w:tr>
      <w:tr>
        <w:trPr>
          <w:trHeight w:hRule="atLeast" w:val="266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650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</w:t>
            </w:r>
          </w:p>
        </w:tc>
      </w:tr>
      <w:tr>
        <w:trPr>
          <w:trHeight w:hRule="atLeast" w:val="170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861"/>
        <w:gridCol w:w="7266"/>
      </w:tblGrid>
      <w:tr>
        <w:trPr>
          <w:trHeight w:hRule="atLeast" w:val="334"/>
          <w:cantSplit w:val="false"/>
        </w:trPr>
        <w:tc>
          <w:tcPr>
            <w:tcW w:type="dxa" w:w="186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type="dxa" w:w="7266"/>
            <w:gridSpan w:val="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1124"/>
          <w:cantSplit w:val="false"/>
        </w:trPr>
        <w:tc>
          <w:tcPr>
            <w:tcW w:type="dxa" w:w="186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Oceni-teľné práva</w:t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Ostat-ný DNM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Obsta-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hRule="atLeast" w:val="80"/>
          <w:cantSplit w:val="false"/>
        </w:trPr>
        <w:tc>
          <w:tcPr>
            <w:tcW w:type="dxa" w:w="18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708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11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</w:tr>
      <w:tr>
        <w:trPr>
          <w:trHeight w:hRule="atLeast" w:val="266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650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127"/>
            <w:gridSpan w:val="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</w:t>
            </w:r>
          </w:p>
        </w:tc>
      </w:tr>
      <w:tr>
        <w:trPr>
          <w:trHeight w:hRule="atLeast" w:val="170"/>
          <w:cantSplit w:val="false"/>
        </w:trPr>
        <w:tc>
          <w:tcPr>
            <w:tcW w:type="dxa" w:w="186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type="dxa" w:w="100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8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27"/>
          <w:cantSplit w:val="false"/>
        </w:trPr>
        <w:tc>
          <w:tcPr>
            <w:tcW w:type="dxa" w:w="186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0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8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 prílohe č. 3 časti F. písm. c) o dlhodobom nehmotnom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448"/>
        <w:gridCol w:w="2763"/>
      </w:tblGrid>
      <w:tr>
        <w:trPr>
          <w:trHeight w:hRule="atLeast" w:val="340"/>
          <w:cantSplit w:val="false"/>
        </w:trPr>
        <w:tc>
          <w:tcPr>
            <w:tcW w:type="dxa" w:w="644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nehmotný majetok</w:t>
            </w:r>
          </w:p>
        </w:tc>
        <w:tc>
          <w:tcPr>
            <w:tcW w:type="dxa" w:w="276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44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type="dxa" w:w="27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a) o dlhodobom hmotnom majetku</w:t>
        <w:tab/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543"/>
        <w:gridCol w:w="7699"/>
      </w:tblGrid>
      <w:tr>
        <w:trPr>
          <w:tblHeader w:val="true"/>
          <w:trHeight w:hRule="atLeast" w:val="145"/>
          <w:cantSplit w:val="false"/>
        </w:trPr>
        <w:tc>
          <w:tcPr>
            <w:tcW w:type="dxa" w:w="154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type="dxa" w:w="7699"/>
            <w:gridSpan w:val="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hRule="atLeast" w:val="1537"/>
          <w:cantSplit w:val="false"/>
        </w:trPr>
        <w:tc>
          <w:tcPr>
            <w:tcW w:type="dxa" w:w="154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Samos-tatné hnuteľ-né veci 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type="dxa" w:w="99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type="dxa" w:w="709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Poskyt-nuté pred-davky na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blHeader w:val="true"/>
          <w:trHeight w:hRule="atLeast" w:val="155"/>
          <w:cantSplit w:val="false"/>
        </w:trPr>
        <w:tc>
          <w:tcPr>
            <w:tcW w:type="dxa" w:w="154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51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9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709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  <w:tc>
          <w:tcPr>
            <w:tcW w:type="dxa" w:w="7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49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 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90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5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543"/>
        <w:gridCol w:w="7699"/>
      </w:tblGrid>
      <w:tr>
        <w:trPr>
          <w:tblHeader w:val="true"/>
          <w:trHeight w:hRule="atLeast" w:val="145"/>
          <w:cantSplit w:val="false"/>
        </w:trPr>
        <w:tc>
          <w:tcPr>
            <w:tcW w:type="dxa" w:w="154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type="dxa" w:w="7699"/>
            <w:gridSpan w:val="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hRule="atLeast" w:val="1537"/>
          <w:cantSplit w:val="false"/>
        </w:trPr>
        <w:tc>
          <w:tcPr>
            <w:tcW w:type="dxa" w:w="154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Samos-tatné hnuteľ-né veci 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type="dxa" w:w="99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Poskyt-nuté pred-davky na 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blHeader w:val="true"/>
          <w:trHeight w:hRule="atLeast" w:val="155"/>
          <w:cantSplit w:val="false"/>
        </w:trPr>
        <w:tc>
          <w:tcPr>
            <w:tcW w:type="dxa" w:w="154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0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b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c</w:t>
            </w:r>
          </w:p>
        </w:tc>
        <w:tc>
          <w:tcPr>
            <w:tcW w:type="dxa" w:w="851"/>
            <w:gridSpan w:val="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d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e</w:t>
            </w:r>
          </w:p>
        </w:tc>
        <w:tc>
          <w:tcPr>
            <w:tcW w:type="dxa" w:w="9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f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g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h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i</w:t>
            </w:r>
          </w:p>
        </w:tc>
        <w:tc>
          <w:tcPr>
            <w:tcW w:type="dxa" w:w="7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2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5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2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1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4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397"/>
          <w:cantSplit w:val="false"/>
        </w:trPr>
        <w:tc>
          <w:tcPr>
            <w:tcW w:type="dxa" w:w="154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3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3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8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9242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Zostatková hodnota </w:t>
            </w:r>
          </w:p>
        </w:tc>
      </w:tr>
      <w:tr>
        <w:trPr>
          <w:tblHeader w:val="true"/>
          <w:trHeight w:hRule="atLeast" w:val="278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blHeader w:val="true"/>
          <w:trHeight w:hRule="atLeast" w:val="290"/>
          <w:cantSplit w:val="false"/>
        </w:trPr>
        <w:tc>
          <w:tcPr>
            <w:tcW w:type="dxa" w:w="156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type="dxa" w:w="10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2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6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7"/>
        <w:numPr>
          <w:ilvl w:val="0"/>
          <w:numId w:val="2"/>
        </w:numPr>
        <w:spacing w:after="0" w:before="0" w:line="100" w:lineRule="atLeast"/>
        <w:contextualSpacing/>
      </w:pPr>
      <w:r>
        <w:rPr>
          <w:b/>
          <w:sz w:val="22"/>
          <w:szCs w:val="22"/>
        </w:rPr>
        <w:t xml:space="preserve">Informácie k prílohe č. 3 časti F. písm. c) o dlhodobom hmotnom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165"/>
        <w:gridCol w:w="3046"/>
      </w:tblGrid>
      <w:tr>
        <w:trPr>
          <w:cantSplit w:val="false"/>
        </w:trPr>
        <w:tc>
          <w:tcPr>
            <w:tcW w:type="dxa" w:w="616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hmotný majetok</w:t>
            </w:r>
          </w:p>
        </w:tc>
        <w:tc>
          <w:tcPr>
            <w:tcW w:type="dxa" w:w="304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16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type="dxa" w:w="30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  <w:jc w:val="both"/>
      </w:pPr>
      <w:r>
        <w:rPr>
          <w:b/>
          <w:sz w:val="22"/>
          <w:szCs w:val="22"/>
        </w:rPr>
        <w:t>F.b) Spôsob a výška poistenia dlhodobého majetku</w:t>
      </w:r>
    </w:p>
    <w:tbl>
      <w:tblPr>
        <w:jc w:val="left"/>
        <w:tblInd w:type="dxa" w:w="0"/>
        <w:tblBorders>
          <w:top w:color="00000A" w:space="0" w:sz="8" w:val="single"/>
          <w:left w:color="00000A" w:space="0" w:sz="8" w:val="single"/>
          <w:bottom w:color="00000A" w:space="0" w:sz="8" w:val="single"/>
          <w:insideH w:color="00000A" w:space="0" w:sz="8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60"/>
          <w:bottom w:type="dxa" w:w="0"/>
          <w:right w:type="dxa" w:w="70"/>
        </w:tblCellMar>
      </w:tblPr>
      <w:tblGrid>
        <w:gridCol w:w="4799"/>
        <w:gridCol w:w="1934"/>
        <w:gridCol w:w="2479"/>
      </w:tblGrid>
      <w:tr>
        <w:trPr>
          <w:trHeight w:hRule="atLeast" w:val="270"/>
          <w:cantSplit w:val="false"/>
        </w:trPr>
        <w:tc>
          <w:tcPr>
            <w:tcW w:type="dxa" w:w="4799"/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type="dxa" w:w="1934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type="dxa" w:w="2479"/>
            <w:tcBorders>
              <w:top w:color="00000A" w:space="0" w:sz="8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4799"/>
            <w:tcBorders>
              <w:top w:val="none"/>
              <w:left w:color="00000A" w:space="0" w:sz="8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934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479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255"/>
          <w:cantSplit w:val="false"/>
        </w:trPr>
        <w:tc>
          <w:tcPr>
            <w:tcW w:type="dxa" w:w="4799"/>
            <w:tcBorders>
              <w:top w:val="none"/>
              <w:left w:color="00000A" w:space="0" w:sz="8" w:val="single"/>
              <w:bottom w:val="non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934"/>
            <w:tcBorders>
              <w:top w:val="none"/>
              <w:left w:val="none"/>
              <w:bottom w:val="non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479"/>
            <w:tcBorders>
              <w:top w:val="none"/>
              <w:left w:val="none"/>
              <w:bottom w:val="non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270"/>
          <w:cantSplit w:val="false"/>
        </w:trPr>
        <w:tc>
          <w:tcPr>
            <w:tcW w:type="dxa" w:w="4799"/>
            <w:tcBorders>
              <w:top w:color="00000A" w:space="0" w:sz="4" w:val="single"/>
              <w:left w:color="00000A" w:space="0" w:sz="8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60"/>
            </w:tcMar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934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479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8" w:val="singl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</w:tbl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F.c) prehľad o dlhodobom nehmotnom a dlhodobom hmotnom majetku, pri ktorom má účtovná jednotka obmedzené právo s ním nakladať </w:t>
      </w:r>
    </w:p>
    <w:p>
      <w:pPr>
        <w:pStyle w:val="style0"/>
        <w:spacing w:after="0" w:before="0" w:line="100" w:lineRule="atLeast"/>
        <w:ind w:hanging="0" w:left="0" w:right="-468"/>
        <w:contextualSpacing w:val="false"/>
        <w:jc w:val="both"/>
      </w:pPr>
      <w:r>
        <w:rPr>
          <w:b/>
          <w:sz w:val="22"/>
          <w:szCs w:val="22"/>
        </w:rPr>
        <w:t xml:space="preserve">F.d) prehľad o dlhodobom majetku, </w:t>
      </w:r>
      <w:r>
        <w:rPr>
          <w:bCs/>
          <w:sz w:val="22"/>
          <w:szCs w:val="22"/>
        </w:rPr>
        <w:t>pri ktorom  vlastnícke právo nadobudol veriteľ  zmluvou o zabezpečovacom prevode práva, ale ktorý užíva účtovná jednotka na základe zmluvy o výpožičke,</w:t>
      </w:r>
    </w:p>
    <w:p>
      <w:pPr>
        <w:pStyle w:val="style0"/>
      </w:pPr>
      <w:r>
        <w:rPr>
          <w:b/>
          <w:sz w:val="22"/>
          <w:szCs w:val="22"/>
        </w:rPr>
      </w:r>
    </w:p>
    <w:p>
      <w:pPr>
        <w:pStyle w:val="style0"/>
        <w:jc w:val="both"/>
      </w:pPr>
      <w:r>
        <w:rPr>
          <w:b/>
          <w:bCs/>
          <w:sz w:val="22"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>
      <w:pPr>
        <w:pStyle w:val="style0"/>
      </w:pPr>
      <w:r>
        <w:rPr>
          <w:b/>
          <w:bCs/>
          <w:sz w:val="22"/>
          <w:szCs w:val="22"/>
        </w:rPr>
        <w:t>F.f) Charakteristika Goodwilu</w:t>
      </w:r>
    </w:p>
    <w:p>
      <w:pPr>
        <w:pStyle w:val="style0"/>
      </w:pPr>
      <w:r>
        <w:rPr>
          <w:b/>
          <w:sz w:val="22"/>
          <w:szCs w:val="22"/>
        </w:rPr>
        <w:t xml:space="preserve">F.g) Prehľad o položkách účtovaných na účte 097 – opravná položka k nadobudnutému majetku </w:t>
      </w:r>
    </w:p>
    <w:p>
      <w:pPr>
        <w:pStyle w:val="style0"/>
      </w:pPr>
      <w:r>
        <w:rPr>
          <w:b/>
          <w:sz w:val="22"/>
          <w:szCs w:val="22"/>
        </w:rPr>
        <w:t>F.h) Prehľad o výskumnej a vývojovej činnosti v bežnom období</w:t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2322"/>
        <w:gridCol w:w="2322"/>
        <w:gridCol w:w="2322"/>
        <w:gridCol w:w="2322"/>
      </w:tblGrid>
      <w:tr>
        <w:trPr>
          <w:cantSplit w:val="false"/>
        </w:trPr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>
        <w:trPr>
          <w:cantSplit w:val="false"/>
        </w:trPr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ind w:firstLine="709" w:left="0" w:right="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3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sz w:val="22"/>
          <w:szCs w:val="22"/>
        </w:rPr>
      </w:r>
    </w:p>
    <w:p>
      <w:pPr>
        <w:pStyle w:val="style0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F. písm. j) o  dlhodobom finančnom majetku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305"/>
        <w:gridCol w:w="7937"/>
      </w:tblGrid>
      <w:tr>
        <w:trPr>
          <w:trHeight w:hRule="atLeast" w:val="277"/>
          <w:cantSplit w:val="false"/>
        </w:trPr>
        <w:tc>
          <w:tcPr>
            <w:tcW w:type="dxa" w:w="130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7937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hRule="atLeast" w:val="1393"/>
          <w:cantSplit w:val="false"/>
        </w:trPr>
        <w:tc>
          <w:tcPr>
            <w:tcW w:type="dxa" w:w="130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Podielové CP a podiely v DÚJ</w:t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Ostatné dlhodobé CP a podiely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Ostat-ný DFM</w:t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Pôžičky s  dobou splat-nosti najviac jeden rok</w:t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Poskyt-nuté pred-davky na </w:t>
            </w:r>
          </w:p>
          <w:p>
            <w:pPr>
              <w:pStyle w:val="style278"/>
            </w:pPr>
            <w:r>
              <w:rPr/>
              <w:t>DFM</w:t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Spolu</w:t>
            </w:r>
          </w:p>
        </w:tc>
      </w:tr>
      <w:tr>
        <w:trPr>
          <w:trHeight w:hRule="atLeast" w:val="195"/>
          <w:cantSplit w:val="false"/>
        </w:trPr>
        <w:tc>
          <w:tcPr>
            <w:tcW w:type="dxa" w:w="13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08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037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8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  <w:tc>
          <w:tcPr>
            <w:tcW w:type="dxa" w:w="6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h</w:t>
            </w:r>
          </w:p>
        </w:tc>
        <w:tc>
          <w:tcPr>
            <w:tcW w:type="dxa" w:w="8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i</w:t>
            </w:r>
          </w:p>
        </w:tc>
        <w:tc>
          <w:tcPr>
            <w:tcW w:type="dxa" w:w="7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278"/>
            </w:pPr>
            <w:r>
              <w:rPr>
                <w:b w:val="false"/>
              </w:rPr>
              <w:t>j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Účtovná hodnota 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9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30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5"/>
          <w:bottom w:type="dxa" w:w="0"/>
          <w:right w:type="dxa" w:w="30"/>
        </w:tblCellMar>
      </w:tblPr>
      <w:tblGrid>
        <w:gridCol w:w="1305"/>
        <w:gridCol w:w="7937"/>
      </w:tblGrid>
      <w:tr>
        <w:trPr>
          <w:trHeight w:hRule="atLeast" w:val="277"/>
          <w:cantSplit w:val="false"/>
        </w:trPr>
        <w:tc>
          <w:tcPr>
            <w:tcW w:type="dxa" w:w="130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7937"/>
            <w:gridSpan w:val="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hRule="atLeast" w:val="1393"/>
          <w:cantSplit w:val="false"/>
        </w:trPr>
        <w:tc>
          <w:tcPr>
            <w:tcW w:type="dxa" w:w="130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Podielové CP a podiely v DÚJ</w:t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Ostatné dlhodobé CP a podiely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Ostat-ný DFM</w:t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Pôžičky s  dobou splat-nosti najviac jeden rok</w:t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Poskyt-nuté pred-davky na </w:t>
            </w:r>
          </w:p>
          <w:p>
            <w:pPr>
              <w:pStyle w:val="style278"/>
            </w:pPr>
            <w:r>
              <w:rPr/>
              <w:t>DFM</w:t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/>
              <w:t>Spolu</w:t>
            </w:r>
          </w:p>
        </w:tc>
      </w:tr>
      <w:tr>
        <w:trPr>
          <w:trHeight w:hRule="atLeast" w:val="195"/>
          <w:cantSplit w:val="false"/>
        </w:trPr>
        <w:tc>
          <w:tcPr>
            <w:tcW w:type="dxa" w:w="13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08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037"/>
            <w:gridSpan w:val="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8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  <w:tc>
          <w:tcPr>
            <w:tcW w:type="dxa" w:w="6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h</w:t>
            </w:r>
          </w:p>
        </w:tc>
        <w:tc>
          <w:tcPr>
            <w:tcW w:type="dxa" w:w="8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i</w:t>
            </w:r>
          </w:p>
        </w:tc>
        <w:tc>
          <w:tcPr>
            <w:tcW w:type="dxa" w:w="7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</w:tcPr>
          <w:p>
            <w:pPr>
              <w:pStyle w:val="style278"/>
            </w:pPr>
            <w:r>
              <w:rPr>
                <w:b w:val="false"/>
              </w:rPr>
              <w:t>j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Prvotné ocenenie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8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37"/>
            <w:gridSpan w:val="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Opravné položky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1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9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9242"/>
            <w:gridSpan w:val="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Účtovná hodnota </w:t>
            </w:r>
          </w:p>
        </w:tc>
      </w:tr>
      <w:tr>
        <w:trPr>
          <w:trHeight w:hRule="atLeast" w:val="278"/>
          <w:cantSplit w:val="false"/>
        </w:trPr>
        <w:tc>
          <w:tcPr>
            <w:tcW w:type="dxa" w:w="130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290"/>
          <w:cantSplit w:val="false"/>
        </w:trPr>
        <w:tc>
          <w:tcPr>
            <w:tcW w:type="dxa" w:w="130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Stav na konci účtovného obdobia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5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8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5"/>
            <w:gridSpan w:val="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0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4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73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78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22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bCs w:val="false"/>
          <w:sz w:val="22"/>
          <w:szCs w:val="22"/>
        </w:rPr>
        <w:t>Informácie k </w:t>
      </w:r>
      <w:r>
        <w:rPr>
          <w:sz w:val="22"/>
          <w:szCs w:val="22"/>
        </w:rPr>
        <w:t>prílohe č. 3 </w:t>
      </w:r>
      <w:r>
        <w:rPr>
          <w:bCs w:val="false"/>
          <w:sz w:val="22"/>
          <w:szCs w:val="22"/>
        </w:rPr>
        <w:t xml:space="preserve">časti F. písm. m) o dlhodobom finančnom majetku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307"/>
        <w:gridCol w:w="2904"/>
      </w:tblGrid>
      <w:tr>
        <w:trPr>
          <w:trHeight w:hRule="atLeast" w:val="340"/>
          <w:cantSplit w:val="false"/>
        </w:trPr>
        <w:tc>
          <w:tcPr>
            <w:tcW w:type="dxa" w:w="63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Dlhodobý finančný majetok</w:t>
            </w:r>
          </w:p>
        </w:tc>
        <w:tc>
          <w:tcPr>
            <w:tcW w:type="dxa" w:w="290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30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type="dxa" w:w="290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F. písm. i) o štruktúre dlhodobého finančného majetku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1923"/>
        <w:gridCol w:w="7287"/>
      </w:tblGrid>
      <w:tr>
        <w:trPr>
          <w:cantSplit w:val="false"/>
        </w:trPr>
        <w:tc>
          <w:tcPr>
            <w:tcW w:type="dxa" w:w="192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Obchodné meno a sídlo spoločnosti, v ktorej má ÚJ umiestnený DFM</w:t>
            </w:r>
          </w:p>
        </w:tc>
        <w:tc>
          <w:tcPr>
            <w:tcW w:type="dxa" w:w="7287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Bežné účtovné obdobie </w:t>
            </w:r>
          </w:p>
        </w:tc>
      </w:tr>
      <w:tr>
        <w:trPr>
          <w:trHeight w:hRule="atLeast" w:val="1394"/>
          <w:cantSplit w:val="false"/>
        </w:trPr>
        <w:tc>
          <w:tcPr>
            <w:tcW w:type="dxa" w:w="192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Podiel ÚJ na ZI</w:t>
            </w:r>
          </w:p>
          <w:p>
            <w:pPr>
              <w:pStyle w:val="style278"/>
            </w:pPr>
            <w:r>
              <w:rPr/>
              <w:t>v  %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Podiel ÚJ na hlasovacích právach </w:t>
            </w:r>
          </w:p>
          <w:p>
            <w:pPr>
              <w:pStyle w:val="style278"/>
            </w:pPr>
            <w:r>
              <w:rPr/>
              <w:t>v %</w:t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 vlastného imania ÚJ, v ktorej má ÚJ umiestnený DFM</w:t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19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1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66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34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Dcérske účtovné jednotky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9210"/>
            <w:gridSpan w:val="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2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5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45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192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type="dxa" w:w="112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5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66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345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57" w:right="0"/>
        <w:contextualSpacing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ind w:hanging="357" w:left="357" w:right="0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j) a l) o dlhových CP držaných do splatnosti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461"/>
        <w:gridCol w:w="727"/>
        <w:gridCol w:w="1276"/>
        <w:gridCol w:w="1134"/>
        <w:gridCol w:w="1134"/>
        <w:gridCol w:w="1416"/>
        <w:gridCol w:w="1062"/>
      </w:tblGrid>
      <w:tr>
        <w:trPr>
          <w:trHeight w:hRule="atLeast" w:val="644"/>
          <w:cantSplit w:val="false"/>
        </w:trPr>
        <w:tc>
          <w:tcPr>
            <w:tcW w:type="dxa" w:w="24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type="dxa" w:w="7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Druh CP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na začiatku účtovného obdobia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Zvýšenie hodnoty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Zníženie hodnoty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Vyradenie dlhového CP z účtovníctva </w:t>
            </w:r>
          </w:p>
          <w:p>
            <w:pPr>
              <w:pStyle w:val="style278"/>
            </w:pPr>
            <w:r>
              <w:rPr/>
              <w:t>v účtovnom období</w:t>
            </w:r>
          </w:p>
        </w:tc>
        <w:tc>
          <w:tcPr>
            <w:tcW w:type="dxa" w:w="10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24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7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  <w:tc>
          <w:tcPr>
            <w:tcW w:type="dxa" w:w="10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g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46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viac ako päť rokov</w:t>
            </w:r>
          </w:p>
        </w:tc>
        <w:tc>
          <w:tcPr>
            <w:tcW w:type="dxa" w:w="72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 od troch rokov do piatich rokov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od jedného roka do troch rokov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do jedného roka vrátane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46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type="dxa" w:w="72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6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6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j) a l) o poskytnutých dlhodobých pôžičkách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778"/>
        <w:gridCol w:w="1457"/>
        <w:gridCol w:w="1141"/>
        <w:gridCol w:w="1110"/>
        <w:gridCol w:w="1522"/>
        <w:gridCol w:w="1203"/>
      </w:tblGrid>
      <w:tr>
        <w:trPr>
          <w:trHeight w:hRule="atLeast" w:val="996"/>
          <w:cantSplit w:val="false"/>
        </w:trPr>
        <w:tc>
          <w:tcPr>
            <w:tcW w:type="dxa" w:w="27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Dlhodobé pôžičky</w:t>
            </w:r>
          </w:p>
        </w:tc>
        <w:tc>
          <w:tcPr>
            <w:tcW w:type="dxa" w:w="14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type="dxa" w:w="114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Zvýšenie hodnoty</w:t>
            </w:r>
          </w:p>
        </w:tc>
        <w:tc>
          <w:tcPr>
            <w:tcW w:type="dxa" w:w="11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Zníženie hodnoty</w:t>
            </w:r>
          </w:p>
        </w:tc>
        <w:tc>
          <w:tcPr>
            <w:tcW w:type="dxa" w:w="152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Vyradenie pôžičky z účtovníctva v účtovnom období</w:t>
            </w:r>
          </w:p>
        </w:tc>
        <w:tc>
          <w:tcPr>
            <w:tcW w:type="dxa" w:w="120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277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5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14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1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52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20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77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viac ako päť rokov</w:t>
            </w:r>
          </w:p>
        </w:tc>
        <w:tc>
          <w:tcPr>
            <w:tcW w:type="dxa" w:w="145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Do splatnosti do jedného roka vrátane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77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pôžičky spolu</w:t>
            </w:r>
          </w:p>
        </w:tc>
        <w:tc>
          <w:tcPr>
            <w:tcW w:type="dxa" w:w="145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4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0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 časti F. písm. o) o opravných položkách k zásobám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349"/>
        <w:gridCol w:w="6862"/>
      </w:tblGrid>
      <w:tr>
        <w:trPr>
          <w:cantSplit w:val="false"/>
        </w:trPr>
        <w:tc>
          <w:tcPr>
            <w:tcW w:type="dxa" w:w="2349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Zásoby</w:t>
            </w:r>
          </w:p>
        </w:tc>
        <w:tc>
          <w:tcPr>
            <w:tcW w:type="dxa" w:w="6862"/>
            <w:gridSpan w:val="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349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 OP na začiatku účtovného obdobia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 </w:t>
            </w:r>
          </w:p>
          <w:p>
            <w:pPr>
              <w:pStyle w:val="style278"/>
            </w:pPr>
            <w:r>
              <w:rPr/>
              <w:t>OP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zániku opodstatnenosti</w:t>
            </w:r>
          </w:p>
        </w:tc>
        <w:tc>
          <w:tcPr>
            <w:tcW w:type="dxa" w:w="156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type="dxa" w:w="119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konci účtovného obdobia</w:t>
            </w:r>
          </w:p>
        </w:tc>
      </w:tr>
      <w:tr>
        <w:trPr>
          <w:trHeight w:hRule="exact" w:val="277"/>
          <w:cantSplit w:val="false"/>
        </w:trPr>
        <w:tc>
          <w:tcPr>
            <w:tcW w:type="dxa" w:w="234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56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19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type="dxa" w:w="140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Nedokončená výroba a polotovary vlastnej výroby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Zvieratá 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type="dxa" w:w="140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Nehnuteľnosť na predaj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Poskytnuté preddavky  na zásoby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34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type="dxa" w:w="140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69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9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7015"/>
        <w:gridCol w:w="2196"/>
      </w:tblGrid>
      <w:tr>
        <w:trPr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Nehnuteľnosť na predaj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701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type="dxa" w:w="219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7015"/>
        <w:gridCol w:w="2196"/>
      </w:tblGrid>
      <w:tr>
        <w:trPr>
          <w:trHeight w:hRule="atLeast" w:val="593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Zásoby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 za bežné účtovné obdobie</w:t>
            </w:r>
          </w:p>
        </w:tc>
      </w:tr>
      <w:tr>
        <w:trPr>
          <w:trHeight w:hRule="atLeast" w:val="537"/>
          <w:cantSplit w:val="false"/>
        </w:trPr>
        <w:tc>
          <w:tcPr>
            <w:tcW w:type="dxa" w:w="701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type="dxa" w:w="219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3226"/>
        <w:gridCol w:w="1701"/>
        <w:gridCol w:w="2160"/>
        <w:gridCol w:w="2200"/>
      </w:tblGrid>
      <w:tr>
        <w:trPr>
          <w:cantSplit w:val="false"/>
        </w:trPr>
        <w:tc>
          <w:tcPr>
            <w:tcW w:type="dxa" w:w="32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16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type="dxa" w:w="22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type="dxa" w:w="32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16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2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zo zákazkovej výroby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zákazkovú výrobu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22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Hrubý zisk / hrubá strata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6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4076"/>
        <w:gridCol w:w="2410"/>
        <w:gridCol w:w="2802"/>
      </w:tblGrid>
      <w:tr>
        <w:trPr>
          <w:cantSplit w:val="false"/>
        </w:trPr>
        <w:tc>
          <w:tcPr>
            <w:tcW w:type="dxa" w:w="40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Hodnota zákazkovej výroby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24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8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Suma prijatých preddavkov 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zadržanej platby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3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2802"/>
        <w:gridCol w:w="1984"/>
        <w:gridCol w:w="1842"/>
        <w:gridCol w:w="2659"/>
      </w:tblGrid>
      <w:tr>
        <w:trPr>
          <w:cantSplit w:val="false"/>
        </w:trPr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184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type="dxa" w:w="265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hRule="atLeast" w:val="98"/>
          <w:cantSplit w:val="false"/>
        </w:trPr>
        <w:tc>
          <w:tcPr>
            <w:tcW w:type="dxa" w:w="28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8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65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cantSplit w:val="false"/>
        </w:trPr>
        <w:tc>
          <w:tcPr>
            <w:tcW w:type="dxa" w:w="28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type="dxa" w:w="1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Hrubý zisk / hrubá strata</w:t>
            </w:r>
          </w:p>
        </w:tc>
        <w:tc>
          <w:tcPr>
            <w:tcW w:type="dxa" w:w="1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65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4</w:t>
      </w:r>
    </w:p>
    <w:tbl>
      <w:tblPr>
        <w:jc w:val="center"/>
        <w:tblInd w:type="dxa" w:w="113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8"/>
          <w:bottom w:type="dxa" w:w="0"/>
          <w:right w:type="dxa" w:w="108"/>
        </w:tblCellMar>
      </w:tblPr>
      <w:tblGrid>
        <w:gridCol w:w="4360"/>
        <w:gridCol w:w="2410"/>
        <w:gridCol w:w="2518"/>
      </w:tblGrid>
      <w:tr>
        <w:trPr>
          <w:cantSplit w:val="false"/>
        </w:trPr>
        <w:tc>
          <w:tcPr>
            <w:tcW w:type="dxa" w:w="436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Za bežné účtovné obdobie</w:t>
            </w:r>
          </w:p>
        </w:tc>
        <w:tc>
          <w:tcPr>
            <w:tcW w:type="dxa" w:w="25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241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5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prijatých preddavkov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36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zadržanej platby</w:t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51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r) o vývoji opravnej položky k pohľadávkam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055"/>
        <w:gridCol w:w="7156"/>
      </w:tblGrid>
      <w:tr>
        <w:trPr>
          <w:cantSplit w:val="false"/>
        </w:trPr>
        <w:tc>
          <w:tcPr>
            <w:tcW w:type="dxa" w:w="2055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Pohľadávky</w:t>
            </w:r>
          </w:p>
        </w:tc>
        <w:tc>
          <w:tcPr>
            <w:tcW w:type="dxa" w:w="7156"/>
            <w:gridSpan w:val="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055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začiatku účtovného obdobia</w:t>
            </w:r>
          </w:p>
        </w:tc>
        <w:tc>
          <w:tcPr>
            <w:tcW w:type="dxa" w:w="12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  <w:p>
            <w:pPr>
              <w:pStyle w:val="style278"/>
            </w:pPr>
            <w:r>
              <w:rPr/>
              <w:t>OP</w:t>
            </w:r>
          </w:p>
        </w:tc>
        <w:tc>
          <w:tcPr>
            <w:tcW w:type="dxa" w:w="169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type="dxa" w:w="166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type="dxa" w:w="13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 na konci účtovného obdobia</w:t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2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69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6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3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05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DÚJ a MÚJ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kons. celku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05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27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05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9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6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30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 prílohe č. 3 časti F. písm. s) o vekovej štruktúre pohľadávok 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3509"/>
        <w:gridCol w:w="1985"/>
        <w:gridCol w:w="1843"/>
        <w:gridCol w:w="1950"/>
      </w:tblGrid>
      <w:tr>
        <w:trPr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 lehote splatnosti</w:t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Po lehote splatnosti</w:t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Pohľadávky spolu</w:t>
            </w:r>
          </w:p>
        </w:tc>
      </w:tr>
      <w:tr>
        <w:trPr>
          <w:trHeight w:hRule="exact" w:val="227"/>
          <w:cantSplit w:val="false"/>
        </w:trPr>
        <w:tc>
          <w:tcPr>
            <w:tcW w:type="dxa" w:w="35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98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84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9287"/>
            <w:gridSpan w:val="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pohľadávky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98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9287"/>
            <w:gridSpan w:val="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Krátkodobé pohľadávky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type="dxa" w:w="19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Sociálne poistenie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type="dxa" w:w="198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350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type="dxa" w:w="19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84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4748"/>
        <w:gridCol w:w="4465"/>
      </w:tblGrid>
      <w:tr>
        <w:trPr>
          <w:cantSplit w:val="false"/>
        </w:trPr>
        <w:tc>
          <w:tcPr>
            <w:tcW w:type="dxa" w:w="4748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Opis predmetu záložného práva</w:t>
            </w:r>
          </w:p>
        </w:tc>
        <w:tc>
          <w:tcPr>
            <w:tcW w:type="dxa" w:w="4465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4748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 predmetu záložného práva</w:t>
            </w:r>
          </w:p>
        </w:tc>
        <w:tc>
          <w:tcPr>
            <w:tcW w:type="dxa" w:w="219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hRule="atLeast" w:val="510"/>
          <w:cantSplit w:val="false"/>
        </w:trPr>
        <w:tc>
          <w:tcPr>
            <w:tcW w:type="dxa" w:w="474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197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74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219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4748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type="dxa" w:w="2268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2197"/>
            <w:tcBorders>
              <w:top w:color="00000A" w:space="0" w:sz="6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 xml:space="preserve">Informácie k prílohe č. 3 časti F. písm. w) o krátkodobom finančnom majetku </w:t>
      </w:r>
    </w:p>
    <w:p>
      <w:pPr>
        <w:pStyle w:val="style271"/>
        <w:keepNext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 xml:space="preserve">Tabuľka č. 1 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4239"/>
        <w:gridCol w:w="2644"/>
        <w:gridCol w:w="2405"/>
      </w:tblGrid>
      <w:tr>
        <w:trPr>
          <w:cantSplit w:val="false"/>
        </w:trPr>
        <w:tc>
          <w:tcPr>
            <w:tcW w:type="dxa" w:w="423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4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40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Pokladnica, ceniny</w:t>
            </w:r>
          </w:p>
        </w:tc>
        <w:tc>
          <w:tcPr>
            <w:tcW w:type="dxa" w:w="264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4790</w:t>
            </w:r>
          </w:p>
        </w:tc>
        <w:tc>
          <w:tcPr>
            <w:tcW w:type="dxa" w:w="240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4830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0,07</w:t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37</w:t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</w:r>
          </w:p>
        </w:tc>
      </w:tr>
      <w:tr>
        <w:trPr>
          <w:trHeight w:hRule="exact" w:val="397"/>
          <w:cantSplit w:val="false"/>
        </w:trPr>
        <w:tc>
          <w:tcPr>
            <w:tcW w:type="dxa" w:w="423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64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4790,07</w:t>
            </w:r>
          </w:p>
        </w:tc>
        <w:tc>
          <w:tcPr>
            <w:tcW w:type="dxa" w:w="240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4867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</w:r>
    </w:p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b w:val="false"/>
          <w:sz w:val="22"/>
          <w:szCs w:val="22"/>
        </w:rPr>
        <w:t>Tabuľka č. 2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828"/>
        <w:gridCol w:w="6383"/>
      </w:tblGrid>
      <w:tr>
        <w:trPr>
          <w:cantSplit w:val="false"/>
        </w:trPr>
        <w:tc>
          <w:tcPr>
            <w:tcW w:type="dxa" w:w="2828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Krátkodobý finančný majetok</w:t>
            </w:r>
          </w:p>
        </w:tc>
        <w:tc>
          <w:tcPr>
            <w:tcW w:type="dxa" w:w="6383"/>
            <w:gridSpan w:val="5"/>
            <w:tcBorders>
              <w:top w:color="00000A" w:space="0" w:sz="12" w:val="single"/>
              <w:left w:color="00000A" w:space="0" w:sz="4" w:val="single"/>
              <w:bottom w:val="none"/>
              <w:right w:color="00000A" w:space="0" w:sz="12" w:val="single"/>
            </w:tcBorders>
            <w:shd w:fill="auto" w:val="clear"/>
            <w:tcMar>
              <w:left w:type="dxa" w:w="79"/>
            </w:tcMar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828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6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type="dxa" w:w="116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Prírastky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9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Úbytky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21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6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na konci účtovného obdobia</w:t>
            </w:r>
          </w:p>
        </w:tc>
      </w:tr>
      <w:tr>
        <w:trPr>
          <w:trHeight w:hRule="atLeast" w:val="74"/>
          <w:cantSplit w:val="false"/>
        </w:trPr>
        <w:tc>
          <w:tcPr>
            <w:tcW w:type="dxa" w:w="28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6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16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9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21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6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2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type="dxa" w:w="146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na obchodovanie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kvóty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282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46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2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46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6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37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1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  <w:lang w:eastAsia="sk-SK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  <w:lang w:eastAsia="sk-SK"/>
        </w:rPr>
        <w:t xml:space="preserve">Informácie k </w:t>
      </w:r>
      <w:r>
        <w:rPr>
          <w:sz w:val="22"/>
          <w:szCs w:val="22"/>
        </w:rPr>
        <w:t>prílohe č. 3 </w:t>
      </w:r>
      <w:r>
        <w:rPr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>
          <w:cantSplit w:val="false"/>
        </w:trPr>
        <w:tc>
          <w:tcPr>
            <w:tcW w:type="dxa" w:w="274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Krátkodobý finančný majetok</w:t>
            </w:r>
          </w:p>
        </w:tc>
        <w:tc>
          <w:tcPr>
            <w:tcW w:type="dxa" w:w="14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OP</w:t>
            </w:r>
          </w:p>
          <w:p>
            <w:pPr>
              <w:pStyle w:val="style278"/>
            </w:pPr>
            <w:r>
              <w:rPr/>
              <w:t>na začiatku účtovného obdobia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Tvorba OP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zániku opodstatne-nosti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Zúčtovanie OP z dôvodu vyradenia majetku z účtovníctva</w:t>
            </w:r>
          </w:p>
          <w:p>
            <w:pPr>
              <w:pStyle w:val="style278"/>
            </w:pPr>
            <w:r>
              <w:rPr/>
            </w:r>
          </w:p>
        </w:tc>
        <w:tc>
          <w:tcPr>
            <w:tcW w:type="dxa" w:w="120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Stav  OP na konci účtovného obdobia</w:t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20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744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4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12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type="dxa" w:w="143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type="dxa" w:w="274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43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20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7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60" w:right="0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jc w:val="center"/>
        <w:tblInd w:type="dxa" w:w="84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69"/>
          <w:bottom w:type="dxa" w:w="0"/>
          <w:right w:type="dxa" w:w="70"/>
        </w:tblCellMar>
      </w:tblPr>
      <w:tblGrid>
        <w:gridCol w:w="6873"/>
        <w:gridCol w:w="2338"/>
      </w:tblGrid>
      <w:tr>
        <w:trPr>
          <w:trHeight w:hRule="atLeast" w:val="397"/>
          <w:cantSplit w:val="false"/>
        </w:trPr>
        <w:tc>
          <w:tcPr>
            <w:tcW w:type="dxa" w:w="687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33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278"/>
            </w:pPr>
            <w:r>
              <w:rPr/>
              <w:t>Hodnota za bežné účtovné obdobie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87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type="dxa" w:w="233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687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type="dxa" w:w="233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69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3400"/>
        <w:gridCol w:w="1811"/>
        <w:gridCol w:w="2268"/>
        <w:gridCol w:w="1808"/>
      </w:tblGrid>
      <w:tr>
        <w:trPr>
          <w:cantSplit w:val="false"/>
        </w:trPr>
        <w:tc>
          <w:tcPr>
            <w:tcW w:type="dxa" w:w="340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Krátkodobý finančný  majetok</w:t>
            </w:r>
          </w:p>
        </w:tc>
        <w:tc>
          <w:tcPr>
            <w:tcW w:type="dxa" w:w="18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Zvýšenie/ zníženie hodnoty</w:t>
            </w:r>
          </w:p>
          <w:p>
            <w:pPr>
              <w:pStyle w:val="style278"/>
            </w:pPr>
            <w:r>
              <w:rPr/>
              <w:t>(+/-)</w:t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Vplyv </w:t>
            </w:r>
          </w:p>
          <w:p>
            <w:pPr>
              <w:pStyle w:val="style278"/>
            </w:pPr>
            <w:r>
              <w:rPr/>
              <w:t>ocenenia</w:t>
              <w:br/>
              <w:t>na vlastné imanie</w:t>
            </w:r>
          </w:p>
        </w:tc>
      </w:tr>
      <w:tr>
        <w:trPr>
          <w:cantSplit w:val="false"/>
        </w:trPr>
        <w:tc>
          <w:tcPr>
            <w:tcW w:type="dxa" w:w="34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81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226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80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Majetkové CP na obchodovanie</w:t>
            </w:r>
          </w:p>
        </w:tc>
        <w:tc>
          <w:tcPr>
            <w:tcW w:type="dxa" w:w="181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Dlhové CP na obchodovanie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kvóty (komodity)</w:t>
            </w:r>
          </w:p>
        </w:tc>
        <w:tc>
          <w:tcPr>
            <w:tcW w:type="dxa" w:w="18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realizovateľné CP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34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type="dxa" w:w="18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26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F. písm. zc) o majetku prenajatom formou finančného prenájmu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534"/>
        <w:gridCol w:w="4060"/>
        <w:gridCol w:w="3692"/>
      </w:tblGrid>
      <w:tr>
        <w:trPr>
          <w:trHeight w:hRule="atLeast" w:val="660"/>
          <w:cantSplit w:val="false"/>
        </w:trPr>
        <w:tc>
          <w:tcPr>
            <w:tcW w:type="dxa" w:w="1534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</w:t>
              <w:br/>
              <w:t>položky</w:t>
            </w:r>
          </w:p>
        </w:tc>
        <w:tc>
          <w:tcPr>
            <w:tcW w:type="dxa" w:w="406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692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3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4060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  <w:tc>
          <w:tcPr>
            <w:tcW w:type="dxa" w:w="3692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3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8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7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07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  <w:tc>
          <w:tcPr>
            <w:tcW w:type="dxa" w:w="120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56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9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</w:tr>
      <w:tr>
        <w:trPr>
          <w:trHeight w:hRule="atLeast" w:val="74"/>
          <w:cantSplit w:val="false"/>
        </w:trPr>
        <w:tc>
          <w:tcPr>
            <w:tcW w:type="dxa" w:w="153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28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7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07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6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9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Istina</w:t>
            </w:r>
          </w:p>
        </w:tc>
        <w:tc>
          <w:tcPr>
            <w:tcW w:type="dxa" w:w="128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Finančný výnos</w:t>
            </w:r>
          </w:p>
        </w:tc>
        <w:tc>
          <w:tcPr>
            <w:tcW w:type="dxa" w:w="128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15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28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9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70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0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67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91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G. Informácie k údajom vykázaným na strane pasív súvahy</w:t>
      </w:r>
    </w:p>
    <w:p>
      <w:pPr>
        <w:pStyle w:val="style0"/>
      </w:pPr>
      <w:r>
        <w:rPr>
          <w:b/>
          <w:sz w:val="22"/>
          <w:szCs w:val="22"/>
        </w:rPr>
        <w:t>G.a.1,2,)Údaje o vlastnom imaní</w:t>
      </w:r>
    </w:p>
    <w:p>
      <w:pPr>
        <w:pStyle w:val="style0"/>
      </w:pPr>
      <w:r>
        <w:rPr>
          <w:sz w:val="22"/>
          <w:szCs w:val="22"/>
        </w:rPr>
        <w:t>Popis základného imania, výška upísaného imania nezapisovaného v OR</w:t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4463"/>
        <w:gridCol w:w="4825"/>
      </w:tblGrid>
      <w:tr>
        <w:trPr>
          <w:cantSplit w:val="false"/>
        </w:trPr>
        <w:tc>
          <w:tcPr>
            <w:tcW w:type="dxa" w:w="4463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Text</w:t>
            </w:r>
          </w:p>
        </w:tc>
        <w:tc>
          <w:tcPr>
            <w:tcW w:type="dxa" w:w="4825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type="dxa" w:w="4463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BO</w:t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center"/>
            </w:pPr>
            <w:r>
              <w:rPr>
                <w:b/>
                <w:sz w:val="20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Počet akcií (a.s.)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  <w:tr>
        <w:trPr>
          <w:cantSplit w:val="false"/>
        </w:trPr>
        <w:tc>
          <w:tcPr>
            <w:tcW w:type="dxa" w:w="446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</w:pPr>
            <w:r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type="dxa" w:w="217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64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jc w:val="right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770"/>
        <w:gridCol w:w="2517"/>
      </w:tblGrid>
      <w:tr>
        <w:trPr>
          <w:trHeight w:hRule="atLeast" w:val="76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type="dxa" w:w="251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6770"/>
        <w:gridCol w:w="2517"/>
      </w:tblGrid>
      <w:tr>
        <w:trPr>
          <w:trHeight w:hRule="atLeast" w:val="330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type="dxa" w:w="251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11,29</w:t>
            </w:r>
          </w:p>
        </w:tc>
      </w:tr>
      <w:tr>
        <w:trPr>
          <w:trHeight w:hRule="atLeast" w:val="425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type="dxa" w:w="251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11,29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type="dxa" w:w="251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677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type="dxa" w:w="251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11,29</w:t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b) o rezervách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20"/>
        <w:gridCol w:w="6769"/>
      </w:tblGrid>
      <w:tr>
        <w:trPr>
          <w:trHeight w:hRule="atLeast" w:val="330"/>
          <w:cantSplit w:val="false"/>
        </w:trPr>
        <w:tc>
          <w:tcPr>
            <w:tcW w:type="dxa" w:w="252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6769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52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 na začiatku účtovného obdobia</w:t>
            </w:r>
          </w:p>
        </w:tc>
        <w:tc>
          <w:tcPr>
            <w:tcW w:type="dxa" w:w="10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</w:tc>
        <w:tc>
          <w:tcPr>
            <w:tcW w:type="dxa" w:w="113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Použitie</w:t>
            </w:r>
          </w:p>
        </w:tc>
        <w:tc>
          <w:tcPr>
            <w:tcW w:type="dxa" w:w="113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Zrušenie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0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3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8" w:val="single"/>
              <w:left w:val="none"/>
              <w:bottom w:color="00000A" w:space="0" w:sz="12" w:val="single"/>
              <w:right w:val="non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8" w:val="single"/>
              <w:left w:color="00000A" w:space="0" w:sz="8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0"/>
        <w:spacing w:after="0" w:before="12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20"/>
        <w:gridCol w:w="6769"/>
      </w:tblGrid>
      <w:tr>
        <w:trPr>
          <w:trHeight w:hRule="atLeast" w:val="330"/>
          <w:cantSplit w:val="false"/>
        </w:trPr>
        <w:tc>
          <w:tcPr>
            <w:tcW w:type="dxa" w:w="252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6769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52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 na začiatku účtovného obdobia</w:t>
            </w:r>
          </w:p>
        </w:tc>
        <w:tc>
          <w:tcPr>
            <w:tcW w:type="dxa" w:w="10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Tvorba</w:t>
            </w:r>
          </w:p>
        </w:tc>
        <w:tc>
          <w:tcPr>
            <w:tcW w:type="dxa" w:w="113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Použitie</w:t>
            </w:r>
          </w:p>
        </w:tc>
        <w:tc>
          <w:tcPr>
            <w:tcW w:type="dxa" w:w="113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Zrušenie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0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3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284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val="non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8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023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2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25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95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023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13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G. písm. c) a d) o záväzkoch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756"/>
        <w:gridCol w:w="2922"/>
        <w:gridCol w:w="2610"/>
      </w:tblGrid>
      <w:tr>
        <w:trPr>
          <w:trHeight w:hRule="atLeast" w:val="920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1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type="dxa" w:w="2922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3756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type="dxa" w:w="2922"/>
            <w:tcBorders>
              <w:top w:color="00000A" w:space="0" w:sz="12" w:val="single"/>
              <w:left w:color="00000A" w:space="0" w:sz="12" w:val="single"/>
              <w:bottom w:color="00000A" w:space="0" w:sz="8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12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756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type="dxa" w:w="2922"/>
            <w:tcBorders>
              <w:top w:color="00000A" w:space="0" w:sz="8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type="dxa" w:w="2610"/>
            <w:tcBorders>
              <w:top w:color="00000A" w:space="0" w:sz="8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jc w:val="left"/>
        <w:tblInd w:type="dxa" w:w="0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984"/>
        <w:gridCol w:w="2212"/>
        <w:gridCol w:w="2092"/>
      </w:tblGrid>
      <w:tr>
        <w:trPr>
          <w:trHeight w:hRule="atLeast" w:val="990"/>
          <w:cantSplit w:val="false"/>
        </w:trPr>
        <w:tc>
          <w:tcPr>
            <w:tcW w:type="dxa" w:w="498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21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09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624"/>
          <w:cantSplit w:val="false"/>
        </w:trPr>
        <w:tc>
          <w:tcPr>
            <w:tcW w:type="dxa" w:w="4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type="dxa" w:w="221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odpočítateľné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zdaniteľné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3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odpočítateľné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zdaniteľné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type="dxa" w:w="221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Zaúčtovaná ako náklad 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Zaúčtovaná do vlastného imania</w:t>
            </w:r>
          </w:p>
        </w:tc>
        <w:tc>
          <w:tcPr>
            <w:tcW w:type="dxa" w:w="221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92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4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221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092"/>
            <w:tcBorders>
              <w:top w:color="00000A" w:space="0" w:sz="4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G. písm. g) o záväzkoch zo sociálneho fondu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57"/>
        <w:gridCol w:w="2645"/>
        <w:gridCol w:w="2685"/>
      </w:tblGrid>
      <w:tr>
        <w:trPr>
          <w:trHeight w:hRule="atLeast" w:val="825"/>
          <w:cantSplit w:val="false"/>
        </w:trPr>
        <w:tc>
          <w:tcPr>
            <w:tcW w:type="dxa" w:w="395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type="dxa" w:w="264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Ostatná tvorba sociálneho fondu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type="dxa" w:w="26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5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type="dxa" w:w="26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685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h) o vydaných dlhopisoch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hRule="atLeast" w:val="345"/>
          <w:cantSplit w:val="false"/>
        </w:trPr>
        <w:tc>
          <w:tcPr>
            <w:tcW w:type="dxa" w:w="219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vydaného dlhopisu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Menovitá hodnota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Počet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Emisný kurz</w:t>
            </w:r>
          </w:p>
        </w:tc>
        <w:tc>
          <w:tcPr>
            <w:tcW w:type="dxa" w:w="141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Úrok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9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9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 prílohe č. 3 časti G. písm. i) o bankových úveroch, pôžičkách a krátkodobých finančných výpomociach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>
        <w:trPr>
          <w:trHeight w:hRule="atLeast" w:val="990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Mena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style278"/>
            </w:pPr>
            <w:r>
              <w:rPr/>
              <w:t>v %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Dátum splatnosti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278"/>
            </w:pPr>
            <w:r>
              <w:rPr/>
              <w:t>Suma istiny v eurách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2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85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85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26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44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1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52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7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bankové úvery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7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bankové úvery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5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5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6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4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22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107"/>
          <w:bottom w:type="dxa" w:w="0"/>
          <w:right w:type="dxa" w:w="108"/>
        </w:tblCellMar>
      </w:tblPr>
      <w:tblGrid>
        <w:gridCol w:w="2234"/>
        <w:gridCol w:w="877"/>
        <w:gridCol w:w="823"/>
        <w:gridCol w:w="1276"/>
        <w:gridCol w:w="1418"/>
        <w:gridCol w:w="1134"/>
        <w:gridCol w:w="1524"/>
      </w:tblGrid>
      <w:tr>
        <w:trPr>
          <w:trHeight w:hRule="atLeast" w:val="990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Mena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style278"/>
            </w:pPr>
            <w:r>
              <w:rPr/>
              <w:t>v %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Dátum splatnosti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</w:tcPr>
          <w:p>
            <w:pPr>
              <w:pStyle w:val="style278"/>
            </w:pPr>
            <w:r>
              <w:rPr/>
              <w:t>Suma istiny v eurách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278"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2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Cs/>
                <w:sz w:val="22"/>
                <w:szCs w:val="22"/>
              </w:rPr>
              <w:t>a</w:t>
            </w:r>
          </w:p>
        </w:tc>
        <w:tc>
          <w:tcPr>
            <w:tcW w:type="dxa" w:w="87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82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27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4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52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6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Dlhodobé pôžičky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9286"/>
            <w:gridSpan w:val="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pôžičky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9286"/>
            <w:gridSpan w:val="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2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87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0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82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276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117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2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17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63"/>
        <w:gridCol w:w="3121"/>
        <w:gridCol w:w="2203"/>
      </w:tblGrid>
      <w:tr>
        <w:trPr>
          <w:trHeight w:hRule="atLeast" w:val="278"/>
          <w:cantSplit w:val="false"/>
        </w:trPr>
        <w:tc>
          <w:tcPr>
            <w:tcW w:type="dxa" w:w="396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3121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Účtovná hodnota</w:t>
            </w:r>
          </w:p>
        </w:tc>
        <w:tc>
          <w:tcPr>
            <w:tcW w:type="dxa" w:w="220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Dohodnutá cena podkladového nástroja</w:t>
            </w:r>
          </w:p>
        </w:tc>
      </w:tr>
      <w:tr>
        <w:trPr>
          <w:trHeight w:hRule="atLeast" w:val="284"/>
          <w:cantSplit w:val="false"/>
        </w:trPr>
        <w:tc>
          <w:tcPr>
            <w:tcW w:type="dxa" w:w="396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type="dxa" w:w="163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b/>
                <w:sz w:val="22"/>
                <w:szCs w:val="22"/>
              </w:rPr>
              <w:t>záväzku</w:t>
            </w:r>
          </w:p>
        </w:tc>
        <w:tc>
          <w:tcPr>
            <w:tcW w:type="dxa" w:w="220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hRule="atLeast" w:val="106"/>
          <w:cantSplit w:val="false"/>
        </w:trPr>
        <w:tc>
          <w:tcPr>
            <w:tcW w:type="dxa" w:w="39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49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63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220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type="dxa" w:w="149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90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type="dxa" w:w="1490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31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3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39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505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17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220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3954"/>
        <w:gridCol w:w="2674"/>
        <w:gridCol w:w="2660"/>
      </w:tblGrid>
      <w:tr>
        <w:trPr>
          <w:trHeight w:hRule="atLeast" w:val="622"/>
          <w:cantSplit w:val="false"/>
        </w:trPr>
        <w:tc>
          <w:tcPr>
            <w:tcW w:type="dxa" w:w="3954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267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6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395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2674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type="dxa" w:w="266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Zmena reálnej hodnoty (+/-) s vplyvom na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3954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výsledok hospodárenia</w:t>
            </w:r>
          </w:p>
        </w:tc>
        <w:tc>
          <w:tcPr>
            <w:tcW w:type="dxa" w:w="99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vlastné imanie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výsledok hospodárenia</w:t>
            </w:r>
          </w:p>
        </w:tc>
        <w:tc>
          <w:tcPr>
            <w:tcW w:type="dxa" w:w="959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vlastné imanie</w:t>
            </w:r>
          </w:p>
        </w:tc>
      </w:tr>
      <w:tr>
        <w:trPr>
          <w:trHeight w:hRule="atLeast" w:val="149"/>
          <w:cantSplit w:val="false"/>
        </w:trPr>
        <w:tc>
          <w:tcPr>
            <w:tcW w:type="dxa" w:w="395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68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99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959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68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395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type="dxa" w:w="168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92"/>
            <w:tcBorders>
              <w:top w:val="non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701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959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271"/>
        <w:keepNext/>
        <w:widowControl w:val="false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G. písm. l) o položkách zabezpečených derivátmi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300"/>
        <w:gridCol w:w="3989"/>
      </w:tblGrid>
      <w:tr>
        <w:trPr>
          <w:trHeight w:hRule="atLeast" w:val="352"/>
          <w:cantSplit w:val="false"/>
        </w:trPr>
        <w:tc>
          <w:tcPr>
            <w:tcW w:type="dxa" w:w="5300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Zabezpečovaná položka</w:t>
            </w:r>
          </w:p>
        </w:tc>
        <w:tc>
          <w:tcPr>
            <w:tcW w:type="dxa" w:w="3989"/>
            <w:gridSpan w:val="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Reálna hodnota</w:t>
            </w:r>
          </w:p>
        </w:tc>
      </w:tr>
      <w:tr>
        <w:trPr>
          <w:trHeight w:hRule="atLeast" w:val="808"/>
          <w:cantSplit w:val="false"/>
        </w:trPr>
        <w:tc>
          <w:tcPr>
            <w:tcW w:type="dxa" w:w="5300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00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167"/>
          <w:cantSplit w:val="false"/>
        </w:trPr>
        <w:tc>
          <w:tcPr>
            <w:tcW w:type="dxa" w:w="53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200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Majetok vykázaný v súvahe</w:t>
            </w:r>
          </w:p>
        </w:tc>
        <w:tc>
          <w:tcPr>
            <w:tcW w:type="dxa" w:w="1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Záväzok vykázaný v súvahe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type="dxa" w:w="198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color="00000A" w:space="0" w:sz="6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30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2005"/>
            <w:tcBorders>
              <w:top w:val="non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keepNext/>
        <w:widowControl w:val="false"/>
        <w:spacing w:after="0" w:before="28"/>
        <w:ind w:hanging="0" w:left="360" w:right="0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 prílohe č. 3 časti G. písm. m) o majetku prenajatom formou finančného prenájmu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601"/>
        <w:gridCol w:w="3799"/>
        <w:gridCol w:w="3887"/>
      </w:tblGrid>
      <w:tr>
        <w:trPr>
          <w:trHeight w:hRule="atLeast" w:val="571"/>
          <w:cantSplit w:val="false"/>
        </w:trPr>
        <w:tc>
          <w:tcPr>
            <w:tcW w:type="dxa" w:w="160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</w:t>
              <w:br/>
              <w:t>položky</w:t>
            </w:r>
          </w:p>
        </w:tc>
        <w:tc>
          <w:tcPr>
            <w:tcW w:type="dxa" w:w="3799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887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6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3799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  <w:tc>
          <w:tcPr>
            <w:tcW w:type="dxa" w:w="3887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Splatnosť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6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2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47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11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  <w:tc>
          <w:tcPr>
            <w:tcW w:type="dxa" w:w="123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do jedného roka vrátane</w:t>
            </w:r>
          </w:p>
        </w:tc>
        <w:tc>
          <w:tcPr>
            <w:tcW w:type="dxa" w:w="15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od jedného roka do piatich rokov vrátane</w:t>
            </w:r>
          </w:p>
        </w:tc>
        <w:tc>
          <w:tcPr>
            <w:tcW w:type="dxa" w:w="113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viac ako päť rokov</w:t>
            </w:r>
          </w:p>
        </w:tc>
      </w:tr>
      <w:tr>
        <w:trPr>
          <w:trHeight w:hRule="atLeast" w:val="151"/>
          <w:cantSplit w:val="false"/>
        </w:trPr>
        <w:tc>
          <w:tcPr>
            <w:tcW w:type="dxa" w:w="16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21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47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11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5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113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Istina</w:t>
            </w:r>
          </w:p>
        </w:tc>
        <w:tc>
          <w:tcPr>
            <w:tcW w:type="dxa" w:w="121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Finančný náklad</w:t>
            </w:r>
          </w:p>
        </w:tc>
        <w:tc>
          <w:tcPr>
            <w:tcW w:type="dxa" w:w="121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val="none"/>
              <w:left w:val="none"/>
              <w:bottom w:color="00000A" w:space="0" w:sz="4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160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type="dxa" w:w="121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7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11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3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518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3"/>
            <w:tcBorders>
              <w:top w:val="none"/>
              <w:left w:val="none"/>
              <w:bottom w:color="00000A" w:space="0" w:sz="12" w:val="single"/>
              <w:right w:color="00000A" w:space="0" w:sz="8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spacing w:after="6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  <w:t>G.j) Významné položky časového rozlíšenia na strane pasív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4383"/>
        <w:gridCol w:w="2563"/>
        <w:gridCol w:w="2342"/>
      </w:tblGrid>
      <w:tr>
        <w:trPr>
          <w:trHeight w:hRule="atLeast" w:val="772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234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6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43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56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8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2342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H. Informácie k údajom vykázaným vo výnosoch</w:t>
      </w:r>
    </w:p>
    <w:p>
      <w:pPr>
        <w:pStyle w:val="style271"/>
        <w:keepNext/>
        <w:widowControl w:val="false"/>
        <w:spacing w:after="60" w:before="28"/>
        <w:contextualSpacing w:val="false"/>
        <w:jc w:val="left"/>
      </w:pPr>
      <w:r>
        <w:rPr>
          <w:rFonts w:ascii="Times New Roman" w:hAnsi="Times New Roman"/>
          <w:sz w:val="22"/>
          <w:szCs w:val="22"/>
        </w:rPr>
        <w:t>H.a) Informácie o tržbách</w:t>
      </w:r>
    </w:p>
    <w:tbl>
      <w:tblPr>
        <w:jc w:val="left"/>
        <w:tblInd w:type="dxa" w:w="0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1596"/>
        <w:gridCol w:w="2691"/>
        <w:gridCol w:w="2690"/>
        <w:gridCol w:w="2689"/>
      </w:tblGrid>
      <w:tr>
        <w:trPr>
          <w:trHeight w:hRule="atLeast" w:val="330"/>
          <w:cantSplit w:val="false"/>
        </w:trPr>
        <w:tc>
          <w:tcPr>
            <w:tcW w:type="dxa" w:w="1596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type="dxa" w:w="2691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type="dxa" w:w="2690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type="dxa" w:w="2689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>
        <w:trPr>
          <w:trHeight w:hRule="atLeast" w:val="1005"/>
          <w:cantSplit w:val="false"/>
        </w:trPr>
        <w:tc>
          <w:tcPr>
            <w:tcW w:type="dxa" w:w="1596"/>
            <w:vMerge w:val="continue"/>
            <w:tcBorders>
              <w:top w:color="000001" w:space="0" w:sz="8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70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116"/>
          <w:cantSplit w:val="false"/>
        </w:trPr>
        <w:tc>
          <w:tcPr>
            <w:tcW w:type="dxa" w:w="159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type="dxa" w:w="98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type="dxa" w:w="170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type="dxa" w:w="98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type="dxa" w:w="170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type="dxa" w:w="98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type="dxa" w:w="170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sz w:val="20"/>
                <w:szCs w:val="20"/>
              </w:rPr>
              <w:t>g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159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98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0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98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70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both"/>
      </w:pPr>
      <w:r>
        <w:rPr>
          <w:sz w:val="22"/>
          <w:szCs w:val="22"/>
        </w:rPr>
        <w:t>Informácie k prílohe č. 3 časti H. písm. b) o zmene stavu vnútroorganizačných zásob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531"/>
        <w:gridCol w:w="1140"/>
        <w:gridCol w:w="2673"/>
        <w:gridCol w:w="3048"/>
      </w:tblGrid>
      <w:tr>
        <w:trPr>
          <w:trHeight w:hRule="atLeast" w:val="990"/>
          <w:cantSplit w:val="false"/>
        </w:trPr>
        <w:tc>
          <w:tcPr>
            <w:tcW w:type="dxa" w:w="253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2673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  <w:tc>
          <w:tcPr>
            <w:tcW w:type="dxa" w:w="3048"/>
            <w:gridSpan w:val="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Zmena stavu vnútroorganizačných </w:t>
            </w:r>
          </w:p>
          <w:p>
            <w:pPr>
              <w:pStyle w:val="style278"/>
            </w:pPr>
            <w:r>
              <w:rPr/>
              <w:t xml:space="preserve">zásob </w:t>
            </w:r>
          </w:p>
        </w:tc>
      </w:tr>
      <w:tr>
        <w:trPr>
          <w:trHeight w:hRule="atLeast" w:val="930"/>
          <w:cantSplit w:val="false"/>
        </w:trPr>
        <w:tc>
          <w:tcPr>
            <w:tcW w:type="dxa" w:w="253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Konečný zostatok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Konečný zostatok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Začiatočný stav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144"/>
          <w:cantSplit w:val="false"/>
        </w:trPr>
        <w:tc>
          <w:tcPr>
            <w:tcW w:type="dxa" w:w="253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14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125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141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13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191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253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6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Výrobky</w:t>
            </w:r>
          </w:p>
        </w:tc>
        <w:tc>
          <w:tcPr>
            <w:tcW w:type="dxa" w:w="114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6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type="dxa" w:w="1140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257"/>
            <w:tcBorders>
              <w:top w:color="00000A" w:space="0" w:sz="4" w:val="single"/>
              <w:left w:color="00000A" w:space="0" w:sz="6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1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Manká a škody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Reprezentačné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Dary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9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53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114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705"/>
          <w:cantSplit w:val="false"/>
        </w:trPr>
        <w:tc>
          <w:tcPr>
            <w:tcW w:type="dxa" w:w="253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type="dxa" w:w="114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257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416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100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13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1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spacing w:after="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</w:r>
    </w:p>
    <w:p>
      <w:pPr>
        <w:pStyle w:val="style271"/>
        <w:spacing w:after="60" w:before="28"/>
        <w:contextualSpacing w:val="false"/>
        <w:jc w:val="both"/>
      </w:pPr>
      <w:r>
        <w:rPr>
          <w:rFonts w:ascii="Times New Roman" w:hAnsi="Times New Roman"/>
          <w:sz w:val="22"/>
          <w:szCs w:val="22"/>
        </w:rPr>
        <w:t>H. c) až f) Výnosy pri aktivácii nákladov a o výnosoch z hospodárskej činnosti, finančnej činnosti a mimoriadnej činnosti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999"/>
        <w:gridCol w:w="1642"/>
        <w:gridCol w:w="1646"/>
      </w:tblGrid>
      <w:tr>
        <w:trPr>
          <w:trHeight w:hRule="atLeast" w:val="884"/>
          <w:cantSplit w:val="false"/>
        </w:trPr>
        <w:tc>
          <w:tcPr>
            <w:tcW w:type="dxa" w:w="599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164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6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99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64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4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H. písm. g) o čistom obrate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85"/>
        <w:gridCol w:w="1700"/>
        <w:gridCol w:w="1702"/>
      </w:tblGrid>
      <w:tr>
        <w:trPr>
          <w:trHeight w:hRule="atLeast" w:val="1005"/>
          <w:cantSplit w:val="false"/>
        </w:trPr>
        <w:tc>
          <w:tcPr>
            <w:tcW w:type="dxa" w:w="58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70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type="dxa" w:w="170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 predaja služieb</w:t>
            </w:r>
          </w:p>
        </w:tc>
        <w:tc>
          <w:tcPr>
            <w:tcW w:type="dxa" w:w="17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Tržby za tovar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zo zákazky</w:t>
            </w:r>
          </w:p>
        </w:tc>
        <w:tc>
          <w:tcPr>
            <w:tcW w:type="dxa" w:w="170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88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type="dxa" w:w="1700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70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0"/>
      </w:pPr>
      <w:r>
        <w:rPr/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I. Informácie k údajom vykázaným v nákladoch</w:t>
      </w:r>
    </w:p>
    <w:p>
      <w:pPr>
        <w:pStyle w:val="style271"/>
        <w:spacing w:after="60" w:before="28"/>
        <w:contextualSpacing w:val="false"/>
        <w:jc w:val="left"/>
      </w:pPr>
      <w:r>
        <w:rPr>
          <w:rFonts w:ascii="Times New Roman" w:hAnsi="Times New Roman"/>
          <w:sz w:val="22"/>
          <w:szCs w:val="22"/>
        </w:rPr>
        <w:t>I. Informácie o nákladoch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889"/>
        <w:gridCol w:w="1711"/>
        <w:gridCol w:w="1688"/>
      </w:tblGrid>
      <w:tr>
        <w:trPr>
          <w:trHeight w:hRule="atLeast" w:val="1005"/>
          <w:cantSplit w:val="false"/>
        </w:trPr>
        <w:tc>
          <w:tcPr>
            <w:tcW w:type="dxa" w:w="5889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type="dxa" w:w="171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type="dxa" w:w="168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hRule="atLeast" w:val="377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 </w:t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29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type="dxa" w:w="171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77,10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83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úrok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  <w:t>0,05</w:t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5889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type="dxa" w:w="1711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89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5889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type="dxa" w:w="1711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  <w:tc>
          <w:tcPr>
            <w:tcW w:type="dxa" w:w="168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style0"/>
      </w:pPr>
      <w:r>
        <w:rPr/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I. o nákladoch voči audítorovi, audítorskej spoločnosti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493"/>
        <w:gridCol w:w="1845"/>
        <w:gridCol w:w="1950"/>
      </w:tblGrid>
      <w:tr>
        <w:trPr>
          <w:trHeight w:hRule="atLeast" w:val="1005"/>
          <w:cantSplit w:val="false"/>
        </w:trPr>
        <w:tc>
          <w:tcPr>
            <w:tcW w:type="dxa" w:w="549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84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95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 uisťovacie audítorské služby</w:t>
            </w:r>
          </w:p>
        </w:tc>
        <w:tc>
          <w:tcPr>
            <w:tcW w:type="dxa" w:w="1845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type="dxa" w:w="1845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69"/>
          <w:cantSplit w:val="false"/>
        </w:trPr>
        <w:tc>
          <w:tcPr>
            <w:tcW w:type="dxa" w:w="549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type="dxa" w:w="1845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95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J. písm. a) až e) o daniach z príjmov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color="00000A" w:space="0" w:sz="12" w:val="single"/>
          <w:insideH w:color="00000A" w:space="0" w:sz="12" w:val="singl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5778"/>
        <w:gridCol w:w="1664"/>
        <w:gridCol w:w="1846"/>
      </w:tblGrid>
      <w:tr>
        <w:trPr>
          <w:trHeight w:hRule="atLeast" w:val="840"/>
          <w:cantSplit w:val="false"/>
        </w:trPr>
        <w:tc>
          <w:tcPr>
            <w:tcW w:type="dxa" w:w="577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166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184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type="dxa" w:w="166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type="dxa" w:w="1664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type="dxa" w:w="1664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type="dxa" w:w="1664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type="dxa" w:w="166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567"/>
          <w:cantSplit w:val="false"/>
        </w:trPr>
        <w:tc>
          <w:tcPr>
            <w:tcW w:type="dxa" w:w="5778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type="dxa" w:w="166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84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271"/>
        <w:spacing w:after="0" w:before="28"/>
        <w:contextualSpacing w:val="false"/>
        <w:jc w:val="left"/>
      </w:pPr>
      <w:r>
        <w:rPr>
          <w:sz w:val="22"/>
          <w:szCs w:val="22"/>
        </w:rPr>
      </w:r>
    </w:p>
    <w:p>
      <w:pPr>
        <w:pStyle w:val="style271"/>
        <w:keepNext/>
        <w:widowControl w:val="false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 časti J.  písm. f) a g) o daniach z príjmov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801"/>
        <w:gridCol w:w="3161"/>
        <w:gridCol w:w="3324"/>
      </w:tblGrid>
      <w:tr>
        <w:trPr>
          <w:trHeight w:hRule="atLeast" w:val="642"/>
          <w:cantSplit w:val="false"/>
        </w:trPr>
        <w:tc>
          <w:tcPr>
            <w:tcW w:type="dxa" w:w="2801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Názov položky</w:t>
            </w:r>
          </w:p>
        </w:tc>
        <w:tc>
          <w:tcPr>
            <w:tcW w:type="dxa" w:w="3161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  <w:tc>
          <w:tcPr>
            <w:tcW w:type="dxa" w:w="3324"/>
            <w:gridSpan w:val="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</w:t>
            </w:r>
          </w:p>
          <w:p>
            <w:pPr>
              <w:pStyle w:val="style278"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801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Základ dane</w:t>
            </w:r>
          </w:p>
        </w:tc>
        <w:tc>
          <w:tcPr>
            <w:tcW w:type="dxa" w:w="79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</w:t>
            </w:r>
          </w:p>
        </w:tc>
        <w:tc>
          <w:tcPr>
            <w:tcW w:type="dxa" w:w="665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 v %</w:t>
            </w:r>
          </w:p>
        </w:tc>
        <w:tc>
          <w:tcPr>
            <w:tcW w:type="dxa" w:w="1942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Základ dane</w:t>
            </w:r>
          </w:p>
        </w:tc>
        <w:tc>
          <w:tcPr>
            <w:tcW w:type="dxa" w:w="71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</w:t>
            </w:r>
          </w:p>
        </w:tc>
        <w:tc>
          <w:tcPr>
            <w:tcW w:type="dxa" w:w="664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Daň v %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type="dxa" w:w="79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type="dxa" w:w="665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type="dxa" w:w="71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f</w:t>
            </w:r>
          </w:p>
        </w:tc>
        <w:tc>
          <w:tcPr>
            <w:tcW w:type="dxa" w:w="664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g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type="dxa" w:w="1701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-77,15</w:t>
            </w:r>
          </w:p>
        </w:tc>
        <w:tc>
          <w:tcPr>
            <w:tcW w:type="dxa" w:w="79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665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19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-11,24</w:t>
            </w:r>
          </w:p>
        </w:tc>
        <w:tc>
          <w:tcPr>
            <w:tcW w:type="dxa" w:w="71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664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Daňovo neuznané náklady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0,05</w:t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Vplyv nezúčtovanej odloženej daňovej pohľadávky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Umorenie daňovej straty</w:t>
            </w:r>
          </w:p>
        </w:tc>
        <w:tc>
          <w:tcPr>
            <w:tcW w:type="dxa" w:w="1701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 sadzby dane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-77,15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-11,29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19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Splatná daň z príjmov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Odložená daň z príjmov</w:t>
            </w:r>
          </w:p>
        </w:tc>
        <w:tc>
          <w:tcPr>
            <w:tcW w:type="dxa" w:w="1701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8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type="dxa" w:w="1701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95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5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94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type="dxa" w:w="718"/>
            <w:tcBorders>
              <w:top w:val="non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664"/>
            <w:tcBorders>
              <w:top w:val="non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>K.  údaje na podsúvahových účtoch</w:t>
      </w:r>
    </w:p>
    <w:p>
      <w:pPr>
        <w:pStyle w:val="style0"/>
        <w:ind w:hanging="0" w:left="0" w:right="-468"/>
        <w:jc w:val="both"/>
      </w:pPr>
      <w:r>
        <w:rPr>
          <w:bCs/>
          <w:sz w:val="22"/>
          <w:szCs w:val="22"/>
        </w:rPr>
        <w:t>Informácie o významných položkách prenajatého majetku,  majetku prijatého do úschovy, o pohľadávkach a záväzkoch  z opcií, o odpísaných pohľadávkach  a  pohľadávkach a záväzkoch z lízingu.</w:t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L.  údaje  o iných aktívach a iných  pasívach </w:t>
      </w:r>
    </w:p>
    <w:p>
      <w:pPr>
        <w:pStyle w:val="style0"/>
        <w:spacing w:after="0" w:before="0"/>
        <w:ind w:hanging="0" w:left="0" w:right="-471"/>
        <w:contextualSpacing w:val="false"/>
      </w:pPr>
      <w:r>
        <w:rPr>
          <w:sz w:val="22"/>
          <w:szCs w:val="22"/>
        </w:rPr>
        <w:t>a)opis a hodnota  podmienených záväzkov vyplývajúcich zo súdnych rozhodnutí, z poskytnutých záruk</w:t>
      </w:r>
    </w:p>
    <w:p>
      <w:pPr>
        <w:pStyle w:val="style0"/>
        <w:spacing w:after="0" w:before="0"/>
        <w:ind w:hanging="0" w:left="0" w:right="-471"/>
        <w:contextualSpacing w:val="false"/>
      </w:pPr>
      <w:r>
        <w:rPr>
          <w:sz w:val="22"/>
          <w:szCs w:val="22"/>
        </w:rPr>
        <w:t>b)opis a hodnota podmienených záväzkov podľa písmena a) voči spriazneným osobám</w:t>
      </w:r>
    </w:p>
    <w:p>
      <w:pPr>
        <w:pStyle w:val="style0"/>
        <w:ind w:hanging="0" w:left="0" w:right="-468"/>
      </w:pPr>
      <w:r>
        <w:rPr>
          <w:bCs/>
          <w:sz w:val="22"/>
          <w:szCs w:val="22"/>
        </w:rPr>
        <w:t>c) opis a hodnota podmieneného majetku, ktorým sa rozumie možný majetok, ktorý vznikol v dôsledku minulých udalostí</w:t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 xml:space="preserve">výška priznaných odmien za účtovné obdobie pre členov štatutárnych orgánov, dozorných orgánov a iných orgánov účtovnej jednotky z dôvodu výkonu ich funkcie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výška jednotlivých druhov záruk alebo iných zabezpečení poskytnutých,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 xml:space="preserve">pôžičky poskytnuté členom štatutárnych orgánov, dozorných orgánov a iných orgánov účtovnej jednotky, 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podmienky, na základe ktorých im boli záruky alebo iné zabezpečenia  a pôžičky poskytnuté; pri pôžičkách sa uvádzajú aj úrokové sadzby,</w:t>
      </w:r>
    </w:p>
    <w:p>
      <w:pPr>
        <w:pStyle w:val="style277"/>
        <w:numPr>
          <w:ilvl w:val="0"/>
          <w:numId w:val="6"/>
        </w:numPr>
        <w:spacing w:after="0" w:before="0" w:line="100" w:lineRule="atLeast"/>
        <w:contextualSpacing/>
        <w:jc w:val="both"/>
      </w:pPr>
      <w:r>
        <w:rPr>
          <w:sz w:val="22"/>
          <w:szCs w:val="22"/>
        </w:rPr>
        <w:t>celková suma použitých finančných prostriedkov alebo iného plnenia na súkromné účely členmi štatutárnych orgánov, dozorných orgánov alebo iných orgánov účtovnej jednotky, ktoré  sa vyúčtovávajú.</w:t>
      </w:r>
    </w:p>
    <w:p>
      <w:pPr>
        <w:pStyle w:val="style0"/>
        <w:ind w:hanging="0" w:left="0" w:right="-468"/>
      </w:pPr>
      <w:r>
        <w:rPr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N. Ekonomické vzťahy medzi účtovnou jednotkou a spriaznenými osobami </w:t>
      </w:r>
    </w:p>
    <w:p>
      <w:pPr>
        <w:pStyle w:val="style0"/>
        <w:numPr>
          <w:ilvl w:val="0"/>
          <w:numId w:val="8"/>
        </w:numPr>
        <w:spacing w:after="0" w:before="0" w:line="100" w:lineRule="atLeast"/>
        <w:ind w:hanging="284" w:left="964" w:right="-468"/>
        <w:contextualSpacing w:val="false"/>
        <w:jc w:val="both"/>
      </w:pPr>
      <w:r>
        <w:rPr>
          <w:bCs/>
          <w:sz w:val="22"/>
          <w:szCs w:val="22"/>
        </w:rPr>
        <w:t xml:space="preserve">zoznam  obchodov neuzavretých na základe obvyklých obchodných podmienok, ktoré sa uskutočnili medzi účtovnou jednotkou a spriaznenými osobami uvedenými v časti L. písm. b), a to </w:t>
      </w:r>
    </w:p>
    <w:p>
      <w:pPr>
        <w:pStyle w:val="style0"/>
        <w:numPr>
          <w:ilvl w:val="0"/>
          <w:numId w:val="7"/>
        </w:numPr>
        <w:spacing w:after="0" w:before="0" w:line="100" w:lineRule="atLeast"/>
        <w:ind w:hanging="357" w:left="1797" w:right="-468"/>
        <w:contextualSpacing w:val="false"/>
        <w:jc w:val="both"/>
      </w:pPr>
      <w:r>
        <w:rPr>
          <w:bCs/>
          <w:sz w:val="22"/>
          <w:szCs w:val="22"/>
        </w:rPr>
        <w:t>druh obchodu, napríklad kúpa alebo  predaj, poskytnutie služby, obchodné zastúpenie, licencie, transfery, know-how, úver, pôžička, výpomoc, záruka,</w:t>
      </w:r>
    </w:p>
    <w:p>
      <w:pPr>
        <w:pStyle w:val="style0"/>
        <w:numPr>
          <w:ilvl w:val="0"/>
          <w:numId w:val="7"/>
        </w:numPr>
        <w:spacing w:after="0" w:before="0" w:line="100" w:lineRule="atLeast"/>
        <w:ind w:hanging="357" w:left="1797" w:right="-468"/>
        <w:contextualSpacing w:val="false"/>
        <w:jc w:val="both"/>
      </w:pPr>
      <w:r>
        <w:rPr>
          <w:bCs/>
          <w:sz w:val="22"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>
      <w:pPr>
        <w:pStyle w:val="style0"/>
        <w:numPr>
          <w:ilvl w:val="0"/>
          <w:numId w:val="8"/>
        </w:numPr>
        <w:spacing w:after="0" w:before="0" w:line="100" w:lineRule="atLeast"/>
        <w:ind w:hanging="284" w:left="964" w:right="-468"/>
        <w:contextualSpacing w:val="false"/>
        <w:jc w:val="both"/>
      </w:pPr>
      <w:r>
        <w:rPr>
          <w:bCs/>
          <w:sz w:val="22"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>
      <w:pPr>
        <w:pStyle w:val="style0"/>
        <w:ind w:hanging="0" w:left="0" w:right="-468"/>
      </w:pPr>
      <w:r>
        <w:rPr>
          <w:b/>
          <w:bCs/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>
        <w:rPr>
          <w:rFonts w:cs="Arial"/>
          <w:sz w:val="22"/>
          <w:szCs w:val="22"/>
        </w:rPr>
        <w:t>a ktoré sa týkajú ich stavu ku dňu, ku ktorému sa zostavuje účtovná závierka</w:t>
      </w:r>
      <w:r>
        <w:rPr>
          <w:bCs/>
          <w:sz w:val="22"/>
          <w:szCs w:val="22"/>
        </w:rPr>
        <w:t xml:space="preserve">,  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zmene spoločníkov účtovnej jednotky,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prijatí rozhodnutia o  predaji účtovnej jednotky alebo jej časti,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zmenách  významných položiek dlhodobého finančného majetku,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začatí  alebo ukončení činnosti  časti  účtovnej jednotky, napríklad odštepného závodu,  organizačnej zložky, prevádzkarne,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vydaných  dlhopisoch a iných cenných papierov,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zlúčení, splynutí, rozdelení a zmene právnej formy  účtovnej jednotky,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>mimoriadnych  udalostiach, ak majú vplyv na hospodárenie účtovnej jednotky, napríklad o živelnej               pohrome,</w:t>
      </w:r>
    </w:p>
    <w:p>
      <w:pPr>
        <w:pStyle w:val="style0"/>
        <w:numPr>
          <w:ilvl w:val="0"/>
          <w:numId w:val="9"/>
        </w:numPr>
        <w:spacing w:after="0" w:before="0" w:line="100" w:lineRule="atLeast"/>
        <w:ind w:hanging="284" w:left="1004" w:right="-468"/>
        <w:contextualSpacing w:val="false"/>
        <w:jc w:val="both"/>
      </w:pPr>
      <w:r>
        <w:rPr>
          <w:bCs/>
          <w:sz w:val="22"/>
          <w:szCs w:val="22"/>
        </w:rPr>
        <w:t xml:space="preserve">získaní alebo odobratí licencií alebo iných povolení významných pre činnosť   účtovnej jednotky. </w:t>
      </w:r>
    </w:p>
    <w:p>
      <w:pPr>
        <w:pStyle w:val="style0"/>
        <w:spacing w:after="0" w:before="0" w:line="100" w:lineRule="atLeast"/>
        <w:ind w:hanging="0" w:left="1004" w:right="-468"/>
        <w:contextualSpacing w:val="false"/>
        <w:jc w:val="both"/>
      </w:pPr>
      <w:r>
        <w:rPr>
          <w:bCs/>
          <w:sz w:val="22"/>
          <w:szCs w:val="22"/>
        </w:rPr>
      </w:r>
    </w:p>
    <w:p>
      <w:pPr>
        <w:pStyle w:val="style0"/>
        <w:shd w:fill="E6E6E6" w:val="clear"/>
        <w:ind w:hanging="0" w:left="360" w:right="0"/>
        <w:jc w:val="center"/>
      </w:pPr>
      <w:r>
        <w:rPr>
          <w:b/>
          <w:i/>
          <w:sz w:val="26"/>
          <w:szCs w:val="26"/>
        </w:rPr>
        <w:t xml:space="preserve">P. Prehľad  zmien vlastného imania  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271"/>
        <w:numPr>
          <w:ilvl w:val="0"/>
          <w:numId w:val="2"/>
        </w:numPr>
        <w:spacing w:after="0" w:before="28"/>
        <w:contextualSpacing w:val="false"/>
        <w:jc w:val="left"/>
      </w:pPr>
      <w:r>
        <w:rPr>
          <w:sz w:val="22"/>
          <w:szCs w:val="22"/>
        </w:rPr>
        <w:t>Informácie k prílohe č. 3 časti P. o zmenách vlastného imania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Tabuľka č. 1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53"/>
        <w:gridCol w:w="7133"/>
      </w:tblGrid>
      <w:tr>
        <w:trPr>
          <w:trHeight w:hRule="atLeast" w:val="318"/>
          <w:cantSplit w:val="false"/>
        </w:trPr>
        <w:tc>
          <w:tcPr>
            <w:tcW w:type="dxa" w:w="2153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Položka vlastného imania</w:t>
            </w:r>
          </w:p>
        </w:tc>
        <w:tc>
          <w:tcPr>
            <w:tcW w:type="dxa" w:w="7133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Bežné účtovné obdobie</w:t>
            </w:r>
          </w:p>
        </w:tc>
      </w:tr>
      <w:tr>
        <w:trPr>
          <w:cantSplit w:val="false"/>
        </w:trPr>
        <w:tc>
          <w:tcPr>
            <w:tcW w:type="dxa" w:w="2153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Stav na začiatku účtovného obdobia  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Prírastky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Úbytky 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</w:tc>
        <w:tc>
          <w:tcPr>
            <w:tcW w:type="dxa" w:w="142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15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5000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 základného imania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ážio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kapitálové fondy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Nedeliteľný fond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121,54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11,29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132,83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6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type="dxa" w:w="1426"/>
            <w:tcBorders>
              <w:top w:color="00000A" w:space="0" w:sz="6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3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type="dxa" w:w="1426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53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type="dxa" w:w="142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pStyle w:val="style0"/>
        <w:tabs>
          <w:tab w:leader="none" w:pos="1276" w:val="left"/>
        </w:tabs>
        <w:spacing w:after="0" w:before="0" w:line="100" w:lineRule="atLeast"/>
        <w:contextualSpacing w:val="false"/>
      </w:pPr>
      <w:r>
        <w:rPr>
          <w:sz w:val="22"/>
          <w:szCs w:val="22"/>
        </w:rPr>
      </w:r>
    </w:p>
    <w:p>
      <w:pPr>
        <w:pStyle w:val="style0"/>
        <w:tabs>
          <w:tab w:leader="none" w:pos="1276" w:val="left"/>
        </w:tabs>
        <w:spacing w:after="0" w:before="0" w:line="100" w:lineRule="atLeast"/>
        <w:contextualSpacing w:val="false"/>
      </w:pPr>
      <w:r>
        <w:rPr>
          <w:sz w:val="22"/>
          <w:szCs w:val="22"/>
        </w:rPr>
        <w:t>Tabuľka č. 2</w:t>
      </w:r>
    </w:p>
    <w:tbl>
      <w:tblPr>
        <w:jc w:val="center"/>
        <w:tblInd w:type="dxa" w:w="108"/>
        <w:tblBorders>
          <w:top w:color="00000A" w:space="0" w:sz="12" w:val="single"/>
          <w:left w:color="00000A" w:space="0" w:sz="12" w:val="single"/>
          <w:bottom w:val="none"/>
          <w:insideH w:val="none"/>
          <w:right w:color="00000A" w:space="0" w:sz="12" w:val="single"/>
          <w:insideV w:color="00000A" w:space="0" w:sz="12" w:val="single"/>
        </w:tblBorders>
        <w:tblCellMar>
          <w:top w:type="dxa" w:w="0"/>
          <w:left w:type="dxa" w:w="93"/>
          <w:bottom w:type="dxa" w:w="0"/>
          <w:right w:type="dxa" w:w="108"/>
        </w:tblCellMar>
      </w:tblPr>
      <w:tblGrid>
        <w:gridCol w:w="2152"/>
        <w:gridCol w:w="7135"/>
      </w:tblGrid>
      <w:tr>
        <w:trPr>
          <w:trHeight w:hRule="atLeast" w:val="396"/>
          <w:cantSplit w:val="false"/>
        </w:trPr>
        <w:tc>
          <w:tcPr>
            <w:tcW w:type="dxa" w:w="2152"/>
            <w:vMerge w:val="restart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Položka vlastného imania</w:t>
            </w:r>
          </w:p>
        </w:tc>
        <w:tc>
          <w:tcPr>
            <w:tcW w:type="dxa" w:w="7135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2152"/>
            <w:vMerge w:val="continue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Stav na začiatku účtovného obdobia 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Prírastky</w:t>
            </w:r>
          </w:p>
        </w:tc>
        <w:tc>
          <w:tcPr>
            <w:tcW w:type="dxa" w:w="1426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 xml:space="preserve">Úbytky 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Presuny</w:t>
            </w:r>
          </w:p>
        </w:tc>
        <w:tc>
          <w:tcPr>
            <w:tcW w:type="dxa" w:w="1428"/>
            <w:tcBorders>
              <w:top w:color="00000A" w:space="0" w:sz="12" w:val="singl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/>
              <w:t>Stav na konci účtovného obdobia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a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b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c</w:t>
            </w:r>
          </w:p>
        </w:tc>
        <w:tc>
          <w:tcPr>
            <w:tcW w:type="dxa" w:w="1426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d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e</w:t>
            </w:r>
          </w:p>
        </w:tc>
        <w:tc>
          <w:tcPr>
            <w:tcW w:type="dxa" w:w="1428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278"/>
            </w:pPr>
            <w:r>
              <w:rPr>
                <w:b w:val="false"/>
              </w:rPr>
              <w:t>f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type="dxa" w:w="1427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5000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12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Zmena základného imania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97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Emisné ážio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kapitálové fondy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type="dxa" w:w="142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val="non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val="non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val="non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val="non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type="dxa" w:w="1427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val="non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val="non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66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Zákonný rezervný fond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Nedeliteľný fond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type="dxa" w:w="142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6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type="dxa" w:w="1427"/>
            <w:tcBorders>
              <w:top w:color="00000A" w:space="0" w:sz="6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121,54</w:t>
            </w:r>
          </w:p>
        </w:tc>
        <w:tc>
          <w:tcPr>
            <w:tcW w:type="dxa" w:w="1426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6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121,54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8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Výsledok hospodá-renia bežného účtovného obdobia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8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-121,54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-121,54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8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</w:p>
        </w:tc>
      </w:tr>
      <w:tr>
        <w:trPr>
          <w:trHeight w:hRule="atLeast" w:val="330"/>
          <w:cantSplit w:val="false"/>
        </w:trPr>
        <w:tc>
          <w:tcPr>
            <w:tcW w:type="dxa" w:w="2152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type="dxa" w:w="1427"/>
            <w:tcBorders>
              <w:top w:color="00000A" w:space="0" w:sz="8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8" w:val="single"/>
              <w:left w:val="none"/>
              <w:bottom w:color="00000A" w:space="0" w:sz="4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  <w:tr>
        <w:trPr>
          <w:trHeight w:hRule="atLeast" w:val="345"/>
          <w:cantSplit w:val="false"/>
        </w:trPr>
        <w:tc>
          <w:tcPr>
            <w:tcW w:type="dxa" w:w="2152"/>
            <w:tcBorders>
              <w:top w:val="non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type="dxa" w:w="1427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auto" w:val="clear"/>
            <w:tcMar>
              <w:left w:type="dxa" w:w="93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6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7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4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type="dxa" w:w="1428"/>
            <w:tcBorders>
              <w:top w:color="00000A" w:space="0" w:sz="4" w:val="single"/>
              <w:left w:val="none"/>
              <w:bottom w:color="00000A" w:space="0" w:sz="12" w:val="single"/>
              <w:right w:color="00000A" w:space="0" w:sz="12" w:val="single"/>
            </w:tcBorders>
            <w:shd w:fill="auto" w:val="clear"/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sz w:val="22"/>
                <w:szCs w:val="22"/>
              </w:rPr>
              <w:t> </w:t>
            </w:r>
          </w:p>
        </w:tc>
      </w:tr>
    </w:tbl>
    <w:p>
      <w:pPr>
        <w:sectPr>
          <w:headerReference r:id="rId2" w:type="default"/>
          <w:footerReference r:id="rId3" w:type="default"/>
          <w:type w:val="nextPage"/>
          <w:pgSz w:h="16838" w:w="11906"/>
          <w:pgMar w:bottom="1417" w:footer="709" w:gutter="0" w:header="709" w:left="1417" w:right="1417" w:top="1417"/>
          <w:pgNumType w:fmt="decimal"/>
          <w:formProt w:val="false"/>
          <w:textDirection w:val="lrTb"/>
          <w:docGrid w:charSpace="-24577" w:linePitch="360" w:type="default"/>
        </w:sectPr>
        <w:pStyle w:val="style269"/>
      </w:pPr>
      <w:r>
        <w:rPr>
          <w:b/>
          <w:sz w:val="22"/>
          <w:szCs w:val="22"/>
        </w:rPr>
        <w:tab/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  <w:t>Vysvetlivky k poznámkam:</w:t>
      </w:r>
    </w:p>
    <w:p>
      <w:pPr>
        <w:pStyle w:val="style277"/>
        <w:numPr>
          <w:ilvl w:val="0"/>
          <w:numId w:val="1"/>
        </w:numPr>
        <w:spacing w:after="0" w:before="0" w:line="100" w:lineRule="atLeast"/>
        <w:ind w:hanging="308" w:left="308" w:right="0"/>
        <w:contextualSpacing/>
        <w:jc w:val="both"/>
      </w:pPr>
      <w:r>
        <w:rPr>
          <w:sz w:val="22"/>
          <w:szCs w:val="22"/>
        </w:rPr>
        <w:t>Daňové identifikačné číslo sa vyplňuje, ak ho má účtovná jednotka pridelené.</w:t>
      </w:r>
    </w:p>
    <w:p>
      <w:pPr>
        <w:pStyle w:val="style277"/>
        <w:numPr>
          <w:ilvl w:val="0"/>
          <w:numId w:val="1"/>
        </w:numPr>
        <w:spacing w:after="0" w:before="0" w:line="100" w:lineRule="atLeast"/>
        <w:ind w:hanging="308" w:left="308" w:right="0"/>
        <w:contextualSpacing/>
        <w:jc w:val="both"/>
      </w:pPr>
      <w:r>
        <w:rPr>
          <w:sz w:val="22"/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style277"/>
        <w:numPr>
          <w:ilvl w:val="0"/>
          <w:numId w:val="1"/>
        </w:numPr>
        <w:tabs>
          <w:tab w:leader="none" w:pos="588" w:val="left"/>
        </w:tabs>
        <w:spacing w:after="0" w:before="0" w:line="100" w:lineRule="atLeast"/>
        <w:ind w:hanging="308" w:left="294" w:right="0"/>
        <w:contextualSpacing/>
        <w:jc w:val="both"/>
      </w:pPr>
      <w:r>
        <w:rPr>
          <w:sz w:val="22"/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</w:r>
    </w:p>
    <w:p>
      <w:pPr>
        <w:pStyle w:val="style0"/>
        <w:spacing w:after="0" w:before="0" w:line="100" w:lineRule="atLeast"/>
        <w:contextualSpacing w:val="false"/>
      </w:pPr>
      <w:r>
        <w:rPr>
          <w:b/>
          <w:sz w:val="22"/>
          <w:szCs w:val="22"/>
        </w:rPr>
        <w:t>Použité  skratky: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CP  - cenný papier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DFM – dlhodobý finančný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DHM – dlhodobý hmotný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DIČ – daňové identifikačné číslo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DNM – dlhodobý nehmotný majetok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DÚJ – dcérska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IČO – identifikačné číslo organizácie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kons. – konsolidovaný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MÚJ – materská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OP – opravná položka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p. a. – per annum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ÚJ – účtovná jednotka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VI – vlastné imanie</w:t>
      </w:r>
    </w:p>
    <w:p>
      <w:pPr>
        <w:pStyle w:val="style0"/>
        <w:spacing w:after="0" w:before="0" w:line="100" w:lineRule="atLeast"/>
        <w:contextualSpacing w:val="false"/>
      </w:pPr>
      <w:r>
        <w:rPr>
          <w:sz w:val="22"/>
          <w:szCs w:val="22"/>
        </w:rPr>
        <w:t>ZI – základné imanie</w:t>
      </w:r>
    </w:p>
    <w:sectPr>
      <w:headerReference r:id="rId4" w:type="default"/>
      <w:footerReference r:id="rId5" w:type="default"/>
      <w:type w:val="nextPage"/>
      <w:pgSz w:h="16838" w:w="11906"/>
      <w:pgMar w:bottom="1417" w:footer="709" w:gutter="0" w:header="709" w:left="1417" w:right="1417" w:top="1417"/>
      <w:pgNumType w:fmt="decimal"/>
      <w:formProt w:val="false"/>
      <w:textDirection w:val="lrTb"/>
      <w:docGrid w:charSpace="-24577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80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9"/>
      <w:jc w:val="right"/>
    </w:pPr>
    <w:r>
      <w:rPr>
        <w:sz w:val="22"/>
        <w:szCs w:val="22"/>
      </w:rPr>
      <w:t xml:space="preserve">Strana </w:t>
    </w:r>
    <w:r>
      <w:rPr>
        <w:sz w:val="22"/>
        <w:szCs w:val="22"/>
      </w:rPr>
      <w:fldChar w:fldCharType="begin"/>
    </w:r>
    <w:r>
      <w:instrText> PAGE </w:instrText>
    </w:r>
    <w:r>
      <w:fldChar w:fldCharType="separate"/>
    </w:r>
    <w:r>
      <w:t>34</w:t>
    </w:r>
    <w:r>
      <w:fldChar w:fldCharType="end"/>
    </w:r>
  </w:p>
  <w:p>
    <w:pPr>
      <w:pStyle w:val="style269"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9"/>
      <w:jc w:val="right"/>
    </w:pPr>
    <w:r>
      <w:rPr>
        <w:sz w:val="22"/>
        <w:szCs w:val="22"/>
      </w:rPr>
      <w:t xml:space="preserve">Strana </w:t>
    </w:r>
    <w:r>
      <w:rPr>
        <w:sz w:val="22"/>
        <w:szCs w:val="22"/>
      </w:rPr>
      <w:fldChar w:fldCharType="begin"/>
    </w:r>
    <w:r>
      <w:instrText> PAGE </w:instrText>
    </w:r>
    <w:r>
      <w:fldChar w:fldCharType="separate"/>
    </w:r>
    <w:r>
      <w:t>36</w:t>
    </w:r>
    <w:r>
      <w:fldChar w:fldCharType="end"/>
    </w:r>
  </w:p>
  <w:p>
    <w:pPr>
      <w:pStyle w:val="style269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type="dxa" w:w="55"/>
      <w:tblBorders>
        <w:top w:color="00000A" w:space="0" w:sz="4" w:val="single"/>
        <w:left w:color="00000A" w:space="0" w:sz="4" w:val="single"/>
        <w:bottom w:color="00000A" w:space="0" w:sz="4" w:val="single"/>
        <w:insideH w:color="00000A" w:space="0" w:sz="4" w:val="single"/>
        <w:right w:color="000001" w:space="0" w:sz="4" w:val="single"/>
        <w:insideV w:color="000001" w:space="0" w:sz="4" w:val="single"/>
      </w:tblBorders>
      <w:tblCellMar>
        <w:top w:type="dxa" w:w="0"/>
        <w:left w:type="dxa" w:w="65"/>
        <w:bottom w:type="dxa" w:w="0"/>
        <w:right w:type="dxa" w:w="70"/>
      </w:tblCellMar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48"/>
    </w:tblGrid>
    <w:tr>
      <w:trPr>
        <w:trHeight w:hRule="atLeast" w:val="330"/>
        <w:cantSplit w:val="false"/>
      </w:trPr>
      <w:tc>
        <w:tcPr>
          <w:tcW w:type="dxa" w:w="2780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1" w:space="0" w:sz="4" w:val="single"/>
          </w:tcBorders>
          <w:shd w:fill="auto" w:val="clear"/>
          <w:tcMar>
            <w:left w:type="dxa" w:w="65"/>
          </w:tcMar>
          <w:vAlign w:val="bottom"/>
        </w:tcPr>
        <w:p>
          <w:pPr>
            <w:pStyle w:val="style0"/>
            <w:spacing w:after="0" w:before="0" w:line="100" w:lineRule="atLeast"/>
            <w:contextualSpacing w:val="false"/>
          </w:pPr>
          <w:r>
            <w:rPr>
              <w:color w:val="000000"/>
              <w:sz w:val="22"/>
              <w:szCs w:val="22"/>
              <w:lang w:eastAsia="sk-SK"/>
            </w:rPr>
            <w:t>Poznámky Úč POD 3 - 04</w:t>
          </w:r>
        </w:p>
      </w:tc>
      <w:tc>
        <w:tcPr>
          <w:tcW w:type="dxa" w:w="2260"/>
          <w:tcBorders>
            <w:top w:val="none"/>
            <w:left w:val="none"/>
            <w:bottom w:val="none"/>
            <w:right w:val="none"/>
          </w:tcBorders>
          <w:shd w:fill="auto" w:val="clear"/>
          <w:vAlign w:val="bottom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color w:val="000000"/>
              <w:sz w:val="22"/>
              <w:szCs w:val="22"/>
              <w:lang w:eastAsia="sk-SK"/>
            </w:rPr>
          </w:r>
        </w:p>
      </w:tc>
      <w:tc>
        <w:tcPr>
          <w:tcW w:type="dxa" w:w="451"/>
          <w:tcBorders>
            <w:top w:val="none"/>
            <w:left w:val="none"/>
            <w:bottom w:val="none"/>
            <w:right w:val="none"/>
          </w:tcBorders>
          <w:shd w:fill="auto" w:val="clear"/>
          <w:vAlign w:val="bottom"/>
        </w:tcPr>
        <w:p>
          <w:pPr>
            <w:pStyle w:val="style0"/>
            <w:spacing w:after="0" w:before="0" w:line="100" w:lineRule="atLeast"/>
            <w:contextualSpacing w:val="false"/>
          </w:pPr>
          <w:r>
            <w:rPr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type="dxa" w:w="280"/>
          <w:tcBorders>
            <w:top w:color="00000A" w:space="0" w:sz="4" w:val="single"/>
            <w:left w:color="00000A" w:space="0" w:sz="4" w:val="single"/>
            <w:bottom w:color="00000A" w:space="0" w:sz="4" w:val="single"/>
            <w:right w:color="00000A" w:space="0" w:sz="4" w:val="single"/>
          </w:tcBorders>
          <w:shd w:fill="auto" w:val="clear"/>
          <w:tcMar>
            <w:left w:type="dxa" w:w="65"/>
          </w:tcMar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2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0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2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3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0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2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80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1</w:t>
          </w:r>
          <w:r>
            <w:rPr>
              <w:sz w:val="22"/>
              <w:szCs w:val="22"/>
              <w:lang w:eastAsia="sk-SK"/>
            </w:rPr>
            <w:t> </w:t>
          </w:r>
        </w:p>
      </w:tc>
      <w:tc>
        <w:tcPr>
          <w:tcW w:type="dxa" w:w="248"/>
          <w:tcBorders>
            <w:top w:color="00000A" w:space="0" w:sz="4" w:val="single"/>
            <w:left w:val="none"/>
            <w:bottom w:color="00000A" w:space="0" w:sz="4" w:val="single"/>
            <w:right w:color="00000A" w:space="0" w:sz="4" w:val="single"/>
          </w:tcBorders>
          <w:shd w:fill="auto" w:val="clear"/>
          <w:vAlign w:val="center"/>
        </w:tcPr>
        <w:p>
          <w:pPr>
            <w:pStyle w:val="style0"/>
            <w:spacing w:after="0" w:before="0" w:line="100" w:lineRule="atLeast"/>
            <w:contextualSpacing w:val="false"/>
            <w:jc w:val="center"/>
          </w:pPr>
          <w:r>
            <w:rPr>
              <w:sz w:val="22"/>
              <w:szCs w:val="22"/>
              <w:lang w:eastAsia="sk-SK"/>
            </w:rPr>
            <w:t>0</w:t>
          </w:r>
          <w:r>
            <w:rPr>
              <w:sz w:val="22"/>
              <w:szCs w:val="22"/>
              <w:lang w:eastAsia="sk-SK"/>
            </w:rPr>
            <w:t> </w:t>
          </w:r>
        </w:p>
      </w:tc>
    </w:tr>
  </w:tbl>
  <w:p>
    <w:pPr>
      <w:pStyle w:val="style268"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68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  <w:lvlJc w:val="left"/>
      <w:pPr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080"/>
      </w:pPr>
      <w:rPr/>
    </w:lvl>
    <w:lvl w:ilvl="2">
      <w:start w:val="1"/>
      <w:numFmt w:val="lowerRoman"/>
      <w:lvlText w:val="%3."/>
      <w:lvlJc w:val="right"/>
      <w:pPr>
        <w:ind w:hanging="180" w:left="1800"/>
      </w:pPr>
      <w:rPr/>
    </w:lvl>
    <w:lvl w:ilvl="3">
      <w:start w:val="1"/>
      <w:numFmt w:val="decimal"/>
      <w:lvlText w:val="%4."/>
      <w:lvlJc w:val="left"/>
      <w:pPr>
        <w:ind w:hanging="360" w:left="2520"/>
      </w:pPr>
      <w:rPr/>
    </w:lvl>
    <w:lvl w:ilvl="4">
      <w:start w:val="1"/>
      <w:numFmt w:val="lowerLetter"/>
      <w:lvlText w:val="%5."/>
      <w:lvlJc w:val="left"/>
      <w:pPr>
        <w:ind w:hanging="360" w:left="3240"/>
      </w:pPr>
      <w:rPr/>
    </w:lvl>
    <w:lvl w:ilvl="5">
      <w:start w:val="1"/>
      <w:numFmt w:val="lowerRoman"/>
      <w:lvlText w:val="%6."/>
      <w:lvlJc w:val="right"/>
      <w:pPr>
        <w:ind w:hanging="180" w:left="3960"/>
      </w:pPr>
      <w:rPr/>
    </w:lvl>
    <w:lvl w:ilvl="6">
      <w:start w:val="1"/>
      <w:numFmt w:val="decimal"/>
      <w:lvlText w:val="%7."/>
      <w:lvlJc w:val="left"/>
      <w:pPr>
        <w:ind w:hanging="360" w:left="4680"/>
      </w:pPr>
      <w:rPr/>
    </w:lvl>
    <w:lvl w:ilvl="7">
      <w:start w:val="1"/>
      <w:numFmt w:val="lowerLetter"/>
      <w:lvlText w:val="%8."/>
      <w:lvlJc w:val="left"/>
      <w:pPr>
        <w:ind w:hanging="360" w:left="5400"/>
      </w:pPr>
      <w:rPr/>
    </w:lvl>
    <w:lvl w:ilvl="8">
      <w:start w:val="1"/>
      <w:numFmt w:val="lowerRoman"/>
      <w:lvlText w:val="%9."/>
      <w:lvlJc w:val="right"/>
      <w:pPr>
        <w:ind w:hanging="180" w:left="612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080"/>
      </w:pPr>
      <w:rPr/>
    </w:lvl>
    <w:lvl w:ilvl="2">
      <w:start w:val="1"/>
      <w:numFmt w:val="lowerRoman"/>
      <w:lvlText w:val="%3."/>
      <w:lvlJc w:val="right"/>
      <w:pPr>
        <w:ind w:hanging="180" w:left="1800"/>
      </w:pPr>
      <w:rPr/>
    </w:lvl>
    <w:lvl w:ilvl="3">
      <w:start w:val="1"/>
      <w:numFmt w:val="decimal"/>
      <w:lvlText w:val="%4."/>
      <w:lvlJc w:val="left"/>
      <w:pPr>
        <w:ind w:hanging="360" w:left="2520"/>
      </w:pPr>
      <w:rPr/>
    </w:lvl>
    <w:lvl w:ilvl="4">
      <w:start w:val="1"/>
      <w:numFmt w:val="lowerLetter"/>
      <w:lvlText w:val="%5."/>
      <w:lvlJc w:val="left"/>
      <w:pPr>
        <w:ind w:hanging="360" w:left="3240"/>
      </w:pPr>
      <w:rPr/>
    </w:lvl>
    <w:lvl w:ilvl="5">
      <w:start w:val="1"/>
      <w:numFmt w:val="lowerRoman"/>
      <w:lvlText w:val="%6."/>
      <w:lvlJc w:val="right"/>
      <w:pPr>
        <w:ind w:hanging="180" w:left="3960"/>
      </w:pPr>
      <w:rPr/>
    </w:lvl>
    <w:lvl w:ilvl="6">
      <w:start w:val="1"/>
      <w:numFmt w:val="decimal"/>
      <w:lvlText w:val="%7."/>
      <w:lvlJc w:val="left"/>
      <w:pPr>
        <w:ind w:hanging="360" w:left="4680"/>
      </w:pPr>
      <w:rPr/>
    </w:lvl>
    <w:lvl w:ilvl="7">
      <w:start w:val="1"/>
      <w:numFmt w:val="lowerLetter"/>
      <w:lvlText w:val="%8."/>
      <w:lvlJc w:val="left"/>
      <w:pPr>
        <w:ind w:hanging="360" w:left="5400"/>
      </w:pPr>
      <w:rPr/>
    </w:lvl>
    <w:lvl w:ilvl="8">
      <w:start w:val="1"/>
      <w:numFmt w:val="lowerRoman"/>
      <w:lvlText w:val="%9."/>
      <w:lvlJc w:val="right"/>
      <w:pPr>
        <w:ind w:hanging="180" w:left="6120"/>
      </w:pPr>
      <w:rPr/>
    </w:lvl>
  </w:abstractNum>
  <w:abstractNum w:abstractNumId="3">
    <w:lvl w:ilvl="0">
      <w:start w:val="1"/>
      <w:numFmt w:val="bullet"/>
      <w:lvlText w:val=""/>
      <w:lvlJc w:val="left"/>
      <w:pPr>
        <w:tabs>
          <w:tab w:pos="1080" w:val="num"/>
        </w:tabs>
        <w:ind w:hanging="360" w:left="1080"/>
      </w:pPr>
      <w:rPr>
        <w:rFonts w:ascii="Wingdings" w:cs="Wingdings" w:hAnsi="Wingdings" w:hint="default"/>
      </w:rPr>
    </w:lvl>
    <w:lvl w:ilvl="1">
      <w:start w:val="1"/>
      <w:numFmt w:val="bullet"/>
      <w:lvlText w:val="o"/>
      <w:lvlJc w:val="left"/>
      <w:pPr>
        <w:tabs>
          <w:tab w:pos="1800" w:val="num"/>
        </w:tabs>
        <w:ind w:hanging="360" w:left="180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tabs>
          <w:tab w:pos="2520" w:val="num"/>
        </w:tabs>
        <w:ind w:hanging="360" w:left="252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tabs>
          <w:tab w:pos="3240" w:val="num"/>
        </w:tabs>
        <w:ind w:hanging="360" w:left="324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tabs>
          <w:tab w:pos="3960" w:val="num"/>
        </w:tabs>
        <w:ind w:hanging="360" w:left="396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tabs>
          <w:tab w:pos="4680" w:val="num"/>
        </w:tabs>
        <w:ind w:hanging="360" w:left="468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tabs>
          <w:tab w:pos="5400" w:val="num"/>
        </w:tabs>
        <w:ind w:hanging="360" w:left="540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tabs>
          <w:tab w:pos="6120" w:val="num"/>
        </w:tabs>
        <w:ind w:hanging="360" w:left="612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tabs>
          <w:tab w:pos="6840" w:val="num"/>
        </w:tabs>
        <w:ind w:hanging="360" w:left="6840"/>
      </w:pPr>
      <w:rPr>
        <w:rFonts w:ascii="Wingdings" w:cs="Wingdings" w:hAnsi="Wingdings" w:hint="default"/>
      </w:rPr>
    </w:lvl>
  </w:abstractNum>
  <w:abstractNum w:abstractNumId="4">
    <w:lvl w:ilvl="0">
      <w:start w:val="1"/>
      <w:numFmt w:val="upperLetter"/>
      <w:lvlText w:val="%1."/>
      <w:lvlJc w:val="left"/>
      <w:pPr>
        <w:tabs>
          <w:tab w:pos="360" w:val="num"/>
        </w:tabs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pos="360" w:val="num"/>
        </w:tabs>
        <w:ind w:hanging="360" w:left="360"/>
      </w:pPr>
      <w:rPr>
        <w:b w:val="false"/>
      </w:rPr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ind w:hanging="360" w:left="72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pos="1797" w:val="num"/>
        </w:tabs>
        <w:ind w:hanging="357" w:left="1797"/>
      </w:pPr>
      <w:rPr/>
    </w:lvl>
    <w:lvl w:ilvl="1">
      <w:start w:val="1"/>
      <w:numFmt w:val="lowerLetter"/>
      <w:lvlText w:val="%2."/>
      <w:lvlJc w:val="left"/>
      <w:pPr>
        <w:tabs>
          <w:tab w:pos="2044" w:val="num"/>
        </w:tabs>
        <w:ind w:hanging="360" w:left="2044"/>
      </w:pPr>
      <w:rPr/>
    </w:lvl>
    <w:lvl w:ilvl="2">
      <w:start w:val="1"/>
      <w:numFmt w:val="lowerRoman"/>
      <w:lvlText w:val="%3."/>
      <w:lvlJc w:val="right"/>
      <w:pPr>
        <w:tabs>
          <w:tab w:pos="2764" w:val="num"/>
        </w:tabs>
        <w:ind w:hanging="180" w:left="2764"/>
      </w:pPr>
      <w:rPr/>
    </w:lvl>
    <w:lvl w:ilvl="3">
      <w:start w:val="1"/>
      <w:numFmt w:val="decimal"/>
      <w:lvlText w:val="%4."/>
      <w:lvlJc w:val="left"/>
      <w:pPr>
        <w:tabs>
          <w:tab w:pos="3484" w:val="num"/>
        </w:tabs>
        <w:ind w:hanging="360" w:left="3484"/>
      </w:pPr>
      <w:rPr/>
    </w:lvl>
    <w:lvl w:ilvl="4">
      <w:start w:val="1"/>
      <w:numFmt w:val="lowerLetter"/>
      <w:lvlText w:val="%5."/>
      <w:lvlJc w:val="left"/>
      <w:pPr>
        <w:tabs>
          <w:tab w:pos="4204" w:val="num"/>
        </w:tabs>
        <w:ind w:hanging="360" w:left="4204"/>
      </w:pPr>
      <w:rPr/>
    </w:lvl>
    <w:lvl w:ilvl="5">
      <w:start w:val="1"/>
      <w:numFmt w:val="lowerRoman"/>
      <w:lvlText w:val="%6."/>
      <w:lvlJc w:val="right"/>
      <w:pPr>
        <w:tabs>
          <w:tab w:pos="4924" w:val="num"/>
        </w:tabs>
        <w:ind w:hanging="180" w:left="4924"/>
      </w:pPr>
      <w:rPr/>
    </w:lvl>
    <w:lvl w:ilvl="6">
      <w:start w:val="1"/>
      <w:numFmt w:val="decimal"/>
      <w:lvlText w:val="%7."/>
      <w:lvlJc w:val="left"/>
      <w:pPr>
        <w:tabs>
          <w:tab w:pos="5644" w:val="num"/>
        </w:tabs>
        <w:ind w:hanging="360" w:left="5644"/>
      </w:pPr>
      <w:rPr/>
    </w:lvl>
    <w:lvl w:ilvl="7">
      <w:start w:val="1"/>
      <w:numFmt w:val="lowerLetter"/>
      <w:lvlText w:val="%8."/>
      <w:lvlJc w:val="left"/>
      <w:pPr>
        <w:tabs>
          <w:tab w:pos="6364" w:val="num"/>
        </w:tabs>
        <w:ind w:hanging="360" w:left="6364"/>
      </w:pPr>
      <w:rPr/>
    </w:lvl>
    <w:lvl w:ilvl="8">
      <w:start w:val="1"/>
      <w:numFmt w:val="lowerRoman"/>
      <w:lvlText w:val="%9."/>
      <w:lvlJc w:val="right"/>
      <w:pPr>
        <w:tabs>
          <w:tab w:pos="7084" w:val="num"/>
        </w:tabs>
        <w:ind w:hanging="180" w:left="7084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pos="680" w:val="num"/>
        </w:tabs>
        <w:ind w:hanging="284" w:left="964"/>
      </w:pPr>
      <w:rPr/>
    </w:lvl>
    <w:lvl w:ilvl="1">
      <w:start w:val="1"/>
      <w:numFmt w:val="decimal"/>
      <w:lvlText w:val="%2."/>
      <w:lvlJc w:val="left"/>
      <w:pPr>
        <w:tabs>
          <w:tab w:pos="680" w:val="num"/>
        </w:tabs>
        <w:ind w:hanging="284" w:left="1531"/>
      </w:pPr>
      <w:rPr/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  <w:rPr/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  <w:rPr/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  <w:rPr/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  <w:rPr/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  <w:rPr/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  <w:rPr/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pos="153" w:val="num"/>
        </w:tabs>
        <w:ind w:hanging="284" w:left="1004"/>
      </w:pPr>
      <w:rPr/>
    </w:lvl>
    <w:lvl w:ilvl="1">
      <w:start w:val="1"/>
      <w:numFmt w:val="lowerLetter"/>
      <w:lvlText w:val="%2."/>
      <w:lvlJc w:val="left"/>
      <w:pPr>
        <w:tabs>
          <w:tab w:pos="1440" w:val="num"/>
        </w:tabs>
        <w:ind w:hanging="360" w:left="1440"/>
      </w:pPr>
      <w:rPr/>
    </w:lvl>
    <w:lvl w:ilvl="2">
      <w:start w:val="1"/>
      <w:numFmt w:val="lowerRoman"/>
      <w:lvlText w:val="%3."/>
      <w:lvlJc w:val="right"/>
      <w:pPr>
        <w:tabs>
          <w:tab w:pos="2160" w:val="num"/>
        </w:tabs>
        <w:ind w:hanging="180" w:left="2160"/>
      </w:pPr>
      <w:rPr/>
    </w:lvl>
    <w:lvl w:ilvl="3">
      <w:start w:val="1"/>
      <w:numFmt w:val="decimal"/>
      <w:lvlText w:val="%4."/>
      <w:lvlJc w:val="left"/>
      <w:pPr>
        <w:tabs>
          <w:tab w:pos="2880" w:val="num"/>
        </w:tabs>
        <w:ind w:hanging="360" w:left="2880"/>
      </w:pPr>
      <w:rPr/>
    </w:lvl>
    <w:lvl w:ilvl="4">
      <w:start w:val="1"/>
      <w:numFmt w:val="lowerLetter"/>
      <w:lvlText w:val="%5."/>
      <w:lvlJc w:val="left"/>
      <w:pPr>
        <w:tabs>
          <w:tab w:pos="3600" w:val="num"/>
        </w:tabs>
        <w:ind w:hanging="360" w:left="3600"/>
      </w:pPr>
      <w:rPr/>
    </w:lvl>
    <w:lvl w:ilvl="5">
      <w:start w:val="1"/>
      <w:numFmt w:val="lowerRoman"/>
      <w:lvlText w:val="%6."/>
      <w:lvlJc w:val="right"/>
      <w:pPr>
        <w:tabs>
          <w:tab w:pos="4320" w:val="num"/>
        </w:tabs>
        <w:ind w:hanging="180" w:left="4320"/>
      </w:pPr>
      <w:rPr/>
    </w:lvl>
    <w:lvl w:ilvl="6">
      <w:start w:val="1"/>
      <w:numFmt w:val="decimal"/>
      <w:lvlText w:val="%7."/>
      <w:lvlJc w:val="left"/>
      <w:pPr>
        <w:tabs>
          <w:tab w:pos="5040" w:val="num"/>
        </w:tabs>
        <w:ind w:hanging="360" w:left="5040"/>
      </w:pPr>
      <w:rPr/>
    </w:lvl>
    <w:lvl w:ilvl="7">
      <w:start w:val="1"/>
      <w:numFmt w:val="lowerLetter"/>
      <w:lvlText w:val="%8."/>
      <w:lvlJc w:val="left"/>
      <w:pPr>
        <w:tabs>
          <w:tab w:pos="5760" w:val="num"/>
        </w:tabs>
        <w:ind w:hanging="360" w:left="5760"/>
      </w:pPr>
      <w:rPr/>
    </w:lvl>
    <w:lvl w:ilvl="8">
      <w:start w:val="1"/>
      <w:numFmt w:val="lowerRoman"/>
      <w:lvlText w:val="%9."/>
      <w:lvlJc w:val="right"/>
      <w:pPr>
        <w:tabs>
          <w:tab w:pos="6480" w:val="num"/>
        </w:tabs>
        <w:ind w:hanging="180" w:left="6480"/>
      </w:pPr>
      <w:rPr/>
    </w:lvl>
  </w:abstractNum>
  <w:abstractNum w:abstractNumId="10">
    <w:lvl w:ilvl="0">
      <w:start w:val="3"/>
      <w:numFmt w:val="upperLetter"/>
      <w:lvlText w:val="%1."/>
      <w:lvlJc w:val="left"/>
      <w:pPr>
        <w:tabs>
          <w:tab w:pos="360" w:val="num"/>
        </w:tabs>
        <w:ind w:hanging="360" w:left="36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11">
    <w:lvl w:ilvl="0">
      <w:start w:val="1"/>
      <w:numFmt w:val="decimal"/>
      <w:lvlText w:val="%1)"/>
      <w:lvlJc w:val="left"/>
      <w:pPr>
        <w:ind w:hanging="360" w:left="720"/>
      </w:pPr>
      <w:rPr/>
    </w:lvl>
    <w:lvl w:ilvl="1">
      <w:start w:val="1"/>
      <w:numFmt w:val="lowerLetter"/>
      <w:lvlText w:val="%2."/>
      <w:lvlJc w:val="left"/>
      <w:pPr>
        <w:ind w:hanging="360" w:left="1440"/>
      </w:pPr>
      <w:rPr/>
    </w:lvl>
    <w:lvl w:ilvl="2">
      <w:start w:val="1"/>
      <w:numFmt w:val="lowerRoman"/>
      <w:lvlText w:val="%3."/>
      <w:lvlJc w:val="right"/>
      <w:pPr>
        <w:ind w:hanging="180" w:left="2160"/>
      </w:pPr>
      <w:rPr/>
    </w:lvl>
    <w:lvl w:ilvl="3">
      <w:start w:val="1"/>
      <w:numFmt w:val="decimal"/>
      <w:lvlText w:val="%4."/>
      <w:lvlJc w:val="left"/>
      <w:pPr>
        <w:ind w:hanging="360" w:left="2880"/>
      </w:pPr>
      <w:rPr/>
    </w:lvl>
    <w:lvl w:ilvl="4">
      <w:start w:val="1"/>
      <w:numFmt w:val="lowerLetter"/>
      <w:lvlText w:val="%5."/>
      <w:lvlJc w:val="left"/>
      <w:pPr>
        <w:ind w:hanging="360" w:left="3600"/>
      </w:pPr>
      <w:rPr/>
    </w:lvl>
    <w:lvl w:ilvl="5">
      <w:start w:val="1"/>
      <w:numFmt w:val="lowerRoman"/>
      <w:lvlText w:val="%6."/>
      <w:lvlJc w:val="right"/>
      <w:pPr>
        <w:ind w:hanging="180" w:left="4320"/>
      </w:pPr>
      <w:rPr/>
    </w:lvl>
    <w:lvl w:ilvl="6">
      <w:start w:val="1"/>
      <w:numFmt w:val="decimal"/>
      <w:lvlText w:val="%7."/>
      <w:lvlJc w:val="left"/>
      <w:pPr>
        <w:ind w:hanging="360" w:left="5040"/>
      </w:pPr>
      <w:rPr/>
    </w:lvl>
    <w:lvl w:ilvl="7">
      <w:start w:val="1"/>
      <w:numFmt w:val="lowerLetter"/>
      <w:lvlText w:val="%8."/>
      <w:lvlJc w:val="left"/>
      <w:pPr>
        <w:ind w:hanging="360" w:left="5760"/>
      </w:pPr>
      <w:rPr/>
    </w:lvl>
    <w:lvl w:ilvl="8">
      <w:start w:val="1"/>
      <w:numFmt w:val="lowerRoman"/>
      <w:lvlText w:val="%9."/>
      <w:lvlJc w:val="right"/>
      <w:pPr>
        <w:ind w:hanging="180" w:left="64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defaultTabStop w:val="708"/>
</w:settings>
</file>

<file path=word/styles.xml><?xml version="1.0" encoding="utf-8"?>
<w:styles xmlns:w="http://schemas.openxmlformats.org/wordprocessingml/2006/main">
  <w:style w:styleId="style0" w:type="paragraph">
    <w:name w:val="Východzí štý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Arial Narrow" w:cs="Times New Roman" w:eastAsia="Times New Roman" w:hAnsi="Arial Narrow"/>
      <w:color w:val="auto"/>
      <w:sz w:val="36"/>
      <w:szCs w:val="36"/>
      <w:lang w:bidi="ar-SA" w:eastAsia="en-US" w:val="sk-SK"/>
    </w:rPr>
  </w:style>
  <w:style w:styleId="style1" w:type="paragraph">
    <w:name w:val="Nadpis 1"/>
    <w:basedOn w:val="style0"/>
    <w:next w:val="style1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32"/>
      <w:szCs w:val="32"/>
    </w:rPr>
  </w:style>
  <w:style w:styleId="style2" w:type="paragraph">
    <w:name w:val="Nadpis 2"/>
    <w:basedOn w:val="style0"/>
    <w:next w:val="style2"/>
    <w:pPr>
      <w:keepNext/>
      <w:spacing w:after="60" w:before="240" w:line="100" w:lineRule="atLeast"/>
      <w:contextualSpacing w:val="false"/>
    </w:pPr>
    <w:rPr>
      <w:rFonts w:ascii="Cambria" w:hAnsi="Cambria"/>
      <w:b/>
      <w:bCs/>
      <w:i/>
      <w:iCs/>
      <w:sz w:val="28"/>
      <w:szCs w:val="28"/>
    </w:rPr>
  </w:style>
  <w:style w:styleId="style3" w:type="paragraph">
    <w:name w:val="Nadpis 3"/>
    <w:basedOn w:val="style0"/>
    <w:next w:val="style3"/>
    <w:pPr>
      <w:keepNext/>
      <w:spacing w:after="60" w:before="240" w:line="100" w:lineRule="atLeast"/>
      <w:contextualSpacing w:val="false"/>
    </w:pPr>
    <w:rPr>
      <w:rFonts w:ascii="Cambria" w:hAnsi="Cambria"/>
      <w:b/>
      <w:bCs/>
      <w:sz w:val="26"/>
      <w:szCs w:val="26"/>
    </w:rPr>
  </w:style>
  <w:style w:styleId="style4" w:type="paragraph">
    <w:name w:val="Nadpis 4"/>
    <w:basedOn w:val="style0"/>
    <w:next w:val="style4"/>
    <w:pPr>
      <w:keepNext/>
      <w:spacing w:after="60" w:before="240" w:line="100" w:lineRule="atLeast"/>
      <w:contextualSpacing w:val="false"/>
    </w:pPr>
    <w:rPr>
      <w:b/>
      <w:bCs/>
      <w:sz w:val="28"/>
      <w:szCs w:val="28"/>
    </w:rPr>
  </w:style>
  <w:style w:styleId="style5" w:type="paragraph">
    <w:name w:val="Nadpis 5"/>
    <w:basedOn w:val="style0"/>
    <w:next w:val="style5"/>
    <w:pPr>
      <w:spacing w:after="60" w:before="240" w:line="100" w:lineRule="atLeast"/>
      <w:contextualSpacing w:val="false"/>
    </w:pPr>
    <w:rPr>
      <w:b/>
      <w:bCs/>
      <w:i/>
      <w:iCs/>
      <w:sz w:val="26"/>
      <w:szCs w:val="26"/>
    </w:rPr>
  </w:style>
  <w:style w:styleId="style6" w:type="paragraph">
    <w:name w:val="Nadpis 6"/>
    <w:basedOn w:val="style0"/>
    <w:next w:val="style6"/>
    <w:pPr>
      <w:spacing w:after="60" w:before="240" w:line="100" w:lineRule="atLeast"/>
      <w:contextualSpacing w:val="false"/>
    </w:pPr>
    <w:rPr>
      <w:b/>
      <w:bCs/>
      <w:sz w:val="22"/>
      <w:szCs w:val="22"/>
    </w:rPr>
  </w:style>
  <w:style w:styleId="style7" w:type="paragraph">
    <w:name w:val="Nadpis 7"/>
    <w:basedOn w:val="style0"/>
    <w:next w:val="style7"/>
    <w:pPr>
      <w:spacing w:after="60" w:before="240" w:line="100" w:lineRule="atLeast"/>
      <w:contextualSpacing w:val="false"/>
    </w:pPr>
    <w:rPr>
      <w:sz w:val="24"/>
      <w:szCs w:val="24"/>
    </w:rPr>
  </w:style>
  <w:style w:styleId="style8" w:type="paragraph">
    <w:name w:val="Nadpis 8"/>
    <w:basedOn w:val="style0"/>
    <w:next w:val="style8"/>
    <w:pPr>
      <w:spacing w:after="60" w:before="240" w:line="100" w:lineRule="atLeast"/>
      <w:contextualSpacing w:val="false"/>
    </w:pPr>
    <w:rPr>
      <w:i/>
      <w:iCs/>
      <w:sz w:val="24"/>
      <w:szCs w:val="24"/>
    </w:rPr>
  </w:style>
  <w:style w:styleId="style9" w:type="paragraph">
    <w:name w:val="Nadpis 9"/>
    <w:basedOn w:val="style0"/>
    <w:next w:val="style9"/>
    <w:pPr>
      <w:spacing w:after="60" w:before="240" w:line="100" w:lineRule="atLeast"/>
      <w:contextualSpacing w:val="false"/>
    </w:pPr>
    <w:rPr>
      <w:rFonts w:ascii="Cambria" w:hAnsi="Cambria"/>
      <w:sz w:val="22"/>
      <w:szCs w:val="22"/>
    </w:rPr>
  </w:style>
  <w:style w:styleId="style15" w:type="character">
    <w:name w:val="Default Paragraph Font"/>
    <w:next w:val="style15"/>
    <w:rPr/>
  </w:style>
  <w:style w:styleId="style16" w:type="character">
    <w:name w:val="Nadpis 1 Char"/>
    <w:basedOn w:val="style15"/>
    <w:next w:val="style16"/>
    <w:rPr>
      <w:rFonts w:ascii="Cambria" w:cs="Times New Roman" w:hAnsi="Cambria"/>
      <w:b/>
      <w:bCs/>
      <w:sz w:val="32"/>
      <w:szCs w:val="32"/>
    </w:rPr>
  </w:style>
  <w:style w:styleId="style17" w:type="character">
    <w:name w:val="Nadpis 2 Char"/>
    <w:basedOn w:val="style15"/>
    <w:next w:val="style17"/>
    <w:rPr>
      <w:rFonts w:ascii="Cambria" w:cs="Times New Roman" w:hAnsi="Cambria"/>
      <w:b/>
      <w:bCs/>
      <w:i/>
      <w:iCs/>
      <w:sz w:val="28"/>
      <w:szCs w:val="28"/>
    </w:rPr>
  </w:style>
  <w:style w:styleId="style18" w:type="character">
    <w:name w:val="Nadpis 3 Char"/>
    <w:basedOn w:val="style15"/>
    <w:next w:val="style18"/>
    <w:rPr>
      <w:rFonts w:ascii="Cambria" w:cs="Times New Roman" w:hAnsi="Cambria"/>
      <w:b/>
      <w:bCs/>
      <w:sz w:val="26"/>
      <w:szCs w:val="26"/>
    </w:rPr>
  </w:style>
  <w:style w:styleId="style19" w:type="character">
    <w:name w:val="Nadpis 4 Char"/>
    <w:basedOn w:val="style15"/>
    <w:next w:val="style19"/>
    <w:rPr>
      <w:rFonts w:cs="Times New Roman" w:eastAsia="Times New Roman"/>
      <w:b/>
      <w:bCs/>
      <w:sz w:val="28"/>
      <w:szCs w:val="28"/>
    </w:rPr>
  </w:style>
  <w:style w:styleId="style20" w:type="character">
    <w:name w:val="Nadpis 5 Char"/>
    <w:basedOn w:val="style15"/>
    <w:next w:val="style20"/>
    <w:rPr>
      <w:rFonts w:cs="Times New Roman" w:eastAsia="Times New Roman"/>
      <w:b/>
      <w:bCs/>
      <w:i/>
      <w:iCs/>
      <w:sz w:val="26"/>
      <w:szCs w:val="26"/>
    </w:rPr>
  </w:style>
  <w:style w:styleId="style21" w:type="character">
    <w:name w:val="Nadpis 6 Char"/>
    <w:basedOn w:val="style15"/>
    <w:next w:val="style21"/>
    <w:rPr>
      <w:rFonts w:cs="Times New Roman" w:eastAsia="Times New Roman"/>
      <w:b/>
      <w:bCs/>
      <w:sz w:val="22"/>
      <w:szCs w:val="22"/>
    </w:rPr>
  </w:style>
  <w:style w:styleId="style22" w:type="character">
    <w:name w:val="Nadpis 7 Char"/>
    <w:basedOn w:val="style15"/>
    <w:next w:val="style22"/>
    <w:rPr>
      <w:rFonts w:cs="Times New Roman" w:eastAsia="Times New Roman"/>
      <w:sz w:val="24"/>
      <w:szCs w:val="24"/>
    </w:rPr>
  </w:style>
  <w:style w:styleId="style23" w:type="character">
    <w:name w:val="Nadpis 8 Char"/>
    <w:basedOn w:val="style15"/>
    <w:next w:val="style23"/>
    <w:rPr>
      <w:rFonts w:cs="Times New Roman" w:eastAsia="Times New Roman"/>
      <w:i/>
      <w:iCs/>
      <w:sz w:val="24"/>
      <w:szCs w:val="24"/>
    </w:rPr>
  </w:style>
  <w:style w:styleId="style24" w:type="character">
    <w:name w:val="Nadpis 9 Char"/>
    <w:basedOn w:val="style15"/>
    <w:next w:val="style24"/>
    <w:rPr>
      <w:rFonts w:ascii="Cambria" w:cs="Times New Roman" w:hAnsi="Cambria"/>
      <w:sz w:val="22"/>
      <w:szCs w:val="22"/>
    </w:rPr>
  </w:style>
  <w:style w:styleId="style25" w:type="character">
    <w:name w:val="Hlavička Char"/>
    <w:basedOn w:val="style15"/>
    <w:next w:val="style25"/>
    <w:rPr>
      <w:rFonts w:cs="Times New Roman"/>
    </w:rPr>
  </w:style>
  <w:style w:styleId="style26" w:type="character">
    <w:name w:val="Päta Char"/>
    <w:basedOn w:val="style15"/>
    <w:next w:val="style26"/>
    <w:rPr>
      <w:rFonts w:cs="Times New Roman"/>
    </w:rPr>
  </w:style>
  <w:style w:styleId="style27" w:type="character">
    <w:name w:val="Text poznámky pod čiarou Char128"/>
    <w:basedOn w:val="style15"/>
    <w:next w:val="style27"/>
    <w:rPr>
      <w:rFonts w:cs="Times New Roman"/>
      <w:sz w:val="20"/>
      <w:szCs w:val="20"/>
    </w:rPr>
  </w:style>
  <w:style w:styleId="style28" w:type="character">
    <w:name w:val="Text poznámky pod čiarou Char"/>
    <w:basedOn w:val="style15"/>
    <w:next w:val="style28"/>
    <w:rPr>
      <w:rFonts w:cs="Times New Roman"/>
      <w:sz w:val="20"/>
      <w:szCs w:val="20"/>
    </w:rPr>
  </w:style>
  <w:style w:styleId="style29" w:type="character">
    <w:name w:val="Text poznámky pod čiarou Char127"/>
    <w:basedOn w:val="style15"/>
    <w:next w:val="style29"/>
    <w:rPr>
      <w:rFonts w:cs="Times New Roman"/>
      <w:sz w:val="20"/>
      <w:szCs w:val="20"/>
    </w:rPr>
  </w:style>
  <w:style w:styleId="style30" w:type="character">
    <w:name w:val="Text poznámky pod čiarou Char126"/>
    <w:basedOn w:val="style15"/>
    <w:next w:val="style30"/>
    <w:rPr>
      <w:rFonts w:cs="Times New Roman"/>
      <w:sz w:val="20"/>
      <w:szCs w:val="20"/>
    </w:rPr>
  </w:style>
  <w:style w:styleId="style31" w:type="character">
    <w:name w:val="Text poznámky pod čiarou Char125"/>
    <w:basedOn w:val="style15"/>
    <w:next w:val="style31"/>
    <w:rPr>
      <w:rFonts w:cs="Times New Roman"/>
      <w:sz w:val="20"/>
      <w:szCs w:val="20"/>
    </w:rPr>
  </w:style>
  <w:style w:styleId="style32" w:type="character">
    <w:name w:val="Text poznámky pod čiarou Char124"/>
    <w:basedOn w:val="style15"/>
    <w:next w:val="style32"/>
    <w:rPr>
      <w:rFonts w:cs="Times New Roman"/>
      <w:sz w:val="20"/>
      <w:szCs w:val="20"/>
    </w:rPr>
  </w:style>
  <w:style w:styleId="style33" w:type="character">
    <w:name w:val="Text poznámky pod čiarou Char123"/>
    <w:basedOn w:val="style15"/>
    <w:next w:val="style33"/>
    <w:rPr>
      <w:rFonts w:cs="Times New Roman"/>
      <w:sz w:val="20"/>
      <w:szCs w:val="20"/>
    </w:rPr>
  </w:style>
  <w:style w:styleId="style34" w:type="character">
    <w:name w:val="Text poznámky pod čiarou Char122"/>
    <w:basedOn w:val="style15"/>
    <w:next w:val="style34"/>
    <w:rPr>
      <w:rFonts w:cs="Times New Roman"/>
      <w:sz w:val="20"/>
      <w:szCs w:val="20"/>
    </w:rPr>
  </w:style>
  <w:style w:styleId="style35" w:type="character">
    <w:name w:val="Text poznámky pod čiarou Char121"/>
    <w:basedOn w:val="style15"/>
    <w:next w:val="style35"/>
    <w:rPr>
      <w:rFonts w:cs="Times New Roman"/>
      <w:sz w:val="20"/>
      <w:szCs w:val="20"/>
    </w:rPr>
  </w:style>
  <w:style w:styleId="style36" w:type="character">
    <w:name w:val="Text poznámky pod čiarou Char120"/>
    <w:basedOn w:val="style15"/>
    <w:next w:val="style36"/>
    <w:rPr>
      <w:rFonts w:cs="Times New Roman"/>
      <w:sz w:val="20"/>
      <w:szCs w:val="20"/>
    </w:rPr>
  </w:style>
  <w:style w:styleId="style37" w:type="character">
    <w:name w:val="Text poznámky pod čiarou Char119"/>
    <w:basedOn w:val="style15"/>
    <w:next w:val="style37"/>
    <w:rPr>
      <w:rFonts w:cs="Times New Roman"/>
      <w:sz w:val="20"/>
      <w:szCs w:val="20"/>
    </w:rPr>
  </w:style>
  <w:style w:styleId="style38" w:type="character">
    <w:name w:val="Text poznámky pod čiarou Char118"/>
    <w:basedOn w:val="style15"/>
    <w:next w:val="style38"/>
    <w:rPr>
      <w:rFonts w:cs="Times New Roman"/>
      <w:sz w:val="20"/>
      <w:szCs w:val="20"/>
    </w:rPr>
  </w:style>
  <w:style w:styleId="style39" w:type="character">
    <w:name w:val="Text poznámky pod čiarou Char117"/>
    <w:basedOn w:val="style15"/>
    <w:next w:val="style39"/>
    <w:rPr>
      <w:rFonts w:cs="Times New Roman"/>
      <w:sz w:val="20"/>
      <w:szCs w:val="20"/>
    </w:rPr>
  </w:style>
  <w:style w:styleId="style40" w:type="character">
    <w:name w:val="Text poznámky pod čiarou Char116"/>
    <w:basedOn w:val="style15"/>
    <w:next w:val="style40"/>
    <w:rPr>
      <w:rFonts w:cs="Times New Roman"/>
      <w:sz w:val="20"/>
      <w:szCs w:val="20"/>
    </w:rPr>
  </w:style>
  <w:style w:styleId="style41" w:type="character">
    <w:name w:val="Text poznámky pod čiarou Char115"/>
    <w:basedOn w:val="style15"/>
    <w:next w:val="style41"/>
    <w:rPr>
      <w:rFonts w:cs="Times New Roman"/>
      <w:sz w:val="20"/>
      <w:szCs w:val="20"/>
    </w:rPr>
  </w:style>
  <w:style w:styleId="style42" w:type="character">
    <w:name w:val="Text poznámky pod čiarou Char114"/>
    <w:basedOn w:val="style15"/>
    <w:next w:val="style42"/>
    <w:rPr>
      <w:rFonts w:cs="Times New Roman"/>
      <w:sz w:val="20"/>
      <w:szCs w:val="20"/>
    </w:rPr>
  </w:style>
  <w:style w:styleId="style43" w:type="character">
    <w:name w:val="Text poznámky pod čiarou Char113"/>
    <w:basedOn w:val="style15"/>
    <w:next w:val="style43"/>
    <w:rPr>
      <w:rFonts w:cs="Times New Roman"/>
      <w:sz w:val="20"/>
      <w:szCs w:val="20"/>
    </w:rPr>
  </w:style>
  <w:style w:styleId="style44" w:type="character">
    <w:name w:val="Text poznámky pod čiarou Char112"/>
    <w:basedOn w:val="style15"/>
    <w:next w:val="style44"/>
    <w:rPr>
      <w:rFonts w:cs="Times New Roman"/>
      <w:sz w:val="20"/>
      <w:szCs w:val="20"/>
    </w:rPr>
  </w:style>
  <w:style w:styleId="style45" w:type="character">
    <w:name w:val="Text poznámky pod čiarou Char111"/>
    <w:basedOn w:val="style15"/>
    <w:next w:val="style45"/>
    <w:rPr>
      <w:rFonts w:cs="Times New Roman"/>
      <w:sz w:val="20"/>
      <w:szCs w:val="20"/>
    </w:rPr>
  </w:style>
  <w:style w:styleId="style46" w:type="character">
    <w:name w:val="Text poznámky pod čiarou Char110"/>
    <w:basedOn w:val="style15"/>
    <w:next w:val="style46"/>
    <w:rPr>
      <w:rFonts w:cs="Times New Roman"/>
      <w:sz w:val="20"/>
      <w:szCs w:val="20"/>
    </w:rPr>
  </w:style>
  <w:style w:styleId="style47" w:type="character">
    <w:name w:val="Text poznámky pod čiarou Char19"/>
    <w:basedOn w:val="style15"/>
    <w:next w:val="style47"/>
    <w:rPr>
      <w:rFonts w:cs="Times New Roman"/>
      <w:sz w:val="20"/>
      <w:szCs w:val="20"/>
    </w:rPr>
  </w:style>
  <w:style w:styleId="style48" w:type="character">
    <w:name w:val="Text poznámky pod čiarou Char18"/>
    <w:basedOn w:val="style15"/>
    <w:next w:val="style48"/>
    <w:rPr>
      <w:rFonts w:cs="Times New Roman"/>
      <w:sz w:val="20"/>
      <w:szCs w:val="20"/>
    </w:rPr>
  </w:style>
  <w:style w:styleId="style49" w:type="character">
    <w:name w:val="Text poznámky pod čiarou Char17"/>
    <w:basedOn w:val="style15"/>
    <w:next w:val="style49"/>
    <w:rPr>
      <w:rFonts w:cs="Times New Roman"/>
      <w:sz w:val="20"/>
      <w:szCs w:val="20"/>
    </w:rPr>
  </w:style>
  <w:style w:styleId="style50" w:type="character">
    <w:name w:val="Text poznámky pod čiarou Char16"/>
    <w:basedOn w:val="style15"/>
    <w:next w:val="style50"/>
    <w:rPr>
      <w:rFonts w:cs="Times New Roman"/>
      <w:sz w:val="20"/>
      <w:szCs w:val="20"/>
    </w:rPr>
  </w:style>
  <w:style w:styleId="style51" w:type="character">
    <w:name w:val="Text poznámky pod čiarou Char15"/>
    <w:basedOn w:val="style15"/>
    <w:next w:val="style51"/>
    <w:rPr>
      <w:rFonts w:cs="Times New Roman"/>
      <w:sz w:val="20"/>
      <w:szCs w:val="20"/>
    </w:rPr>
  </w:style>
  <w:style w:styleId="style52" w:type="character">
    <w:name w:val="Text poznámky pod čiarou Char14"/>
    <w:basedOn w:val="style15"/>
    <w:next w:val="style52"/>
    <w:rPr>
      <w:rFonts w:cs="Times New Roman"/>
      <w:sz w:val="20"/>
      <w:szCs w:val="20"/>
    </w:rPr>
  </w:style>
  <w:style w:styleId="style53" w:type="character">
    <w:name w:val="Text poznámky pod čiarou Char13"/>
    <w:basedOn w:val="style15"/>
    <w:next w:val="style53"/>
    <w:rPr>
      <w:rFonts w:cs="Times New Roman"/>
      <w:sz w:val="20"/>
      <w:szCs w:val="20"/>
    </w:rPr>
  </w:style>
  <w:style w:styleId="style54" w:type="character">
    <w:name w:val="Text poznámky pod čiarou Char12"/>
    <w:basedOn w:val="style15"/>
    <w:next w:val="style54"/>
    <w:rPr>
      <w:rFonts w:cs="Times New Roman"/>
      <w:sz w:val="20"/>
      <w:szCs w:val="20"/>
    </w:rPr>
  </w:style>
  <w:style w:styleId="style55" w:type="character">
    <w:name w:val="Text poznámky pod čiarou Char11"/>
    <w:basedOn w:val="style15"/>
    <w:next w:val="style55"/>
    <w:rPr>
      <w:rFonts w:cs="Times New Roman"/>
      <w:sz w:val="20"/>
      <w:szCs w:val="20"/>
    </w:rPr>
  </w:style>
  <w:style w:styleId="style56" w:type="character">
    <w:name w:val="Názov Char128"/>
    <w:basedOn w:val="style15"/>
    <w:next w:val="style56"/>
    <w:rPr>
      <w:rFonts w:ascii="Cambria" w:cs="" w:hAnsi="Cambria"/>
      <w:b/>
      <w:bCs/>
      <w:sz w:val="32"/>
      <w:szCs w:val="32"/>
    </w:rPr>
  </w:style>
  <w:style w:styleId="style57" w:type="character">
    <w:name w:val="Názov Char"/>
    <w:basedOn w:val="style15"/>
    <w:next w:val="style57"/>
    <w:rPr>
      <w:rFonts w:ascii="Cambria" w:cs="" w:hAnsi="Cambria"/>
      <w:b/>
      <w:bCs/>
      <w:sz w:val="32"/>
      <w:szCs w:val="32"/>
    </w:rPr>
  </w:style>
  <w:style w:styleId="style58" w:type="character">
    <w:name w:val="Názov Char127"/>
    <w:basedOn w:val="style15"/>
    <w:next w:val="style58"/>
    <w:rPr>
      <w:rFonts w:ascii="Cambria" w:cs="" w:hAnsi="Cambria"/>
      <w:b/>
      <w:bCs/>
      <w:sz w:val="32"/>
      <w:szCs w:val="32"/>
    </w:rPr>
  </w:style>
  <w:style w:styleId="style59" w:type="character">
    <w:name w:val="Názov Char126"/>
    <w:basedOn w:val="style15"/>
    <w:next w:val="style59"/>
    <w:rPr>
      <w:rFonts w:ascii="Cambria" w:cs="" w:hAnsi="Cambria"/>
      <w:b/>
      <w:bCs/>
      <w:sz w:val="32"/>
      <w:szCs w:val="32"/>
    </w:rPr>
  </w:style>
  <w:style w:styleId="style60" w:type="character">
    <w:name w:val="Názov Char125"/>
    <w:basedOn w:val="style15"/>
    <w:next w:val="style60"/>
    <w:rPr>
      <w:rFonts w:ascii="Cambria" w:cs="" w:hAnsi="Cambria"/>
      <w:b/>
      <w:bCs/>
      <w:sz w:val="32"/>
      <w:szCs w:val="32"/>
    </w:rPr>
  </w:style>
  <w:style w:styleId="style61" w:type="character">
    <w:name w:val="Názov Char124"/>
    <w:basedOn w:val="style15"/>
    <w:next w:val="style61"/>
    <w:rPr>
      <w:rFonts w:ascii="Cambria" w:cs="" w:hAnsi="Cambria"/>
      <w:b/>
      <w:bCs/>
      <w:sz w:val="32"/>
      <w:szCs w:val="32"/>
    </w:rPr>
  </w:style>
  <w:style w:styleId="style62" w:type="character">
    <w:name w:val="Názov Char123"/>
    <w:basedOn w:val="style15"/>
    <w:next w:val="style62"/>
    <w:rPr>
      <w:rFonts w:ascii="Cambria" w:cs="" w:hAnsi="Cambria"/>
      <w:b/>
      <w:bCs/>
      <w:sz w:val="32"/>
      <w:szCs w:val="32"/>
    </w:rPr>
  </w:style>
  <w:style w:styleId="style63" w:type="character">
    <w:name w:val="Názov Char122"/>
    <w:basedOn w:val="style15"/>
    <w:next w:val="style63"/>
    <w:rPr>
      <w:rFonts w:ascii="Cambria" w:cs="" w:hAnsi="Cambria"/>
      <w:b/>
      <w:bCs/>
      <w:sz w:val="32"/>
      <w:szCs w:val="32"/>
    </w:rPr>
  </w:style>
  <w:style w:styleId="style64" w:type="character">
    <w:name w:val="Názov Char121"/>
    <w:basedOn w:val="style15"/>
    <w:next w:val="style64"/>
    <w:rPr>
      <w:rFonts w:ascii="Cambria" w:cs="" w:hAnsi="Cambria"/>
      <w:b/>
      <w:bCs/>
      <w:sz w:val="32"/>
      <w:szCs w:val="32"/>
    </w:rPr>
  </w:style>
  <w:style w:styleId="style65" w:type="character">
    <w:name w:val="Názov Char120"/>
    <w:basedOn w:val="style15"/>
    <w:next w:val="style65"/>
    <w:rPr>
      <w:rFonts w:ascii="Cambria" w:cs="" w:hAnsi="Cambria"/>
      <w:b/>
      <w:bCs/>
      <w:sz w:val="32"/>
      <w:szCs w:val="32"/>
    </w:rPr>
  </w:style>
  <w:style w:styleId="style66" w:type="character">
    <w:name w:val="Názov Char119"/>
    <w:basedOn w:val="style15"/>
    <w:next w:val="style66"/>
    <w:rPr>
      <w:rFonts w:ascii="Cambria" w:cs="" w:hAnsi="Cambria"/>
      <w:b/>
      <w:bCs/>
      <w:sz w:val="32"/>
      <w:szCs w:val="32"/>
    </w:rPr>
  </w:style>
  <w:style w:styleId="style67" w:type="character">
    <w:name w:val="Názov Char118"/>
    <w:basedOn w:val="style15"/>
    <w:next w:val="style67"/>
    <w:rPr>
      <w:rFonts w:ascii="Cambria" w:cs="" w:hAnsi="Cambria"/>
      <w:b/>
      <w:bCs/>
      <w:sz w:val="32"/>
      <w:szCs w:val="32"/>
    </w:rPr>
  </w:style>
  <w:style w:styleId="style68" w:type="character">
    <w:name w:val="Názov Char117"/>
    <w:basedOn w:val="style15"/>
    <w:next w:val="style68"/>
    <w:rPr>
      <w:rFonts w:ascii="Cambria" w:cs="" w:hAnsi="Cambria"/>
      <w:b/>
      <w:bCs/>
      <w:sz w:val="32"/>
      <w:szCs w:val="32"/>
    </w:rPr>
  </w:style>
  <w:style w:styleId="style69" w:type="character">
    <w:name w:val="Názov Char116"/>
    <w:basedOn w:val="style15"/>
    <w:next w:val="style69"/>
    <w:rPr>
      <w:rFonts w:ascii="Cambria" w:cs="" w:hAnsi="Cambria"/>
      <w:b/>
      <w:bCs/>
      <w:sz w:val="32"/>
      <w:szCs w:val="32"/>
    </w:rPr>
  </w:style>
  <w:style w:styleId="style70" w:type="character">
    <w:name w:val="Názov Char115"/>
    <w:basedOn w:val="style15"/>
    <w:next w:val="style70"/>
    <w:rPr>
      <w:rFonts w:ascii="Cambria" w:cs="" w:hAnsi="Cambria"/>
      <w:b/>
      <w:bCs/>
      <w:sz w:val="32"/>
      <w:szCs w:val="32"/>
    </w:rPr>
  </w:style>
  <w:style w:styleId="style71" w:type="character">
    <w:name w:val="Názov Char114"/>
    <w:basedOn w:val="style15"/>
    <w:next w:val="style71"/>
    <w:rPr>
      <w:rFonts w:ascii="Cambria" w:cs="" w:hAnsi="Cambria"/>
      <w:b/>
      <w:bCs/>
      <w:sz w:val="32"/>
      <w:szCs w:val="32"/>
    </w:rPr>
  </w:style>
  <w:style w:styleId="style72" w:type="character">
    <w:name w:val="Názov Char113"/>
    <w:basedOn w:val="style15"/>
    <w:next w:val="style72"/>
    <w:rPr>
      <w:rFonts w:ascii="Cambria" w:cs="" w:hAnsi="Cambria"/>
      <w:b/>
      <w:bCs/>
      <w:sz w:val="32"/>
      <w:szCs w:val="32"/>
    </w:rPr>
  </w:style>
  <w:style w:styleId="style73" w:type="character">
    <w:name w:val="Názov Char112"/>
    <w:basedOn w:val="style15"/>
    <w:next w:val="style73"/>
    <w:rPr>
      <w:rFonts w:ascii="Cambria" w:cs="" w:hAnsi="Cambria"/>
      <w:b/>
      <w:bCs/>
      <w:sz w:val="32"/>
      <w:szCs w:val="32"/>
    </w:rPr>
  </w:style>
  <w:style w:styleId="style74" w:type="character">
    <w:name w:val="Názov Char111"/>
    <w:basedOn w:val="style15"/>
    <w:next w:val="style74"/>
    <w:rPr>
      <w:rFonts w:ascii="Cambria" w:cs="" w:hAnsi="Cambria"/>
      <w:b/>
      <w:bCs/>
      <w:sz w:val="32"/>
      <w:szCs w:val="32"/>
    </w:rPr>
  </w:style>
  <w:style w:styleId="style75" w:type="character">
    <w:name w:val="Názov Char110"/>
    <w:basedOn w:val="style15"/>
    <w:next w:val="style75"/>
    <w:rPr>
      <w:rFonts w:ascii="Cambria" w:cs="" w:hAnsi="Cambria"/>
      <w:b/>
      <w:bCs/>
      <w:sz w:val="32"/>
      <w:szCs w:val="32"/>
    </w:rPr>
  </w:style>
  <w:style w:styleId="style76" w:type="character">
    <w:name w:val="Názov Char19"/>
    <w:basedOn w:val="style15"/>
    <w:next w:val="style76"/>
    <w:rPr>
      <w:rFonts w:ascii="Cambria" w:cs="" w:hAnsi="Cambria"/>
      <w:b/>
      <w:bCs/>
      <w:sz w:val="32"/>
      <w:szCs w:val="32"/>
    </w:rPr>
  </w:style>
  <w:style w:styleId="style77" w:type="character">
    <w:name w:val="Názov Char18"/>
    <w:basedOn w:val="style15"/>
    <w:next w:val="style77"/>
    <w:rPr>
      <w:rFonts w:ascii="Cambria" w:cs="" w:hAnsi="Cambria"/>
      <w:b/>
      <w:bCs/>
      <w:sz w:val="32"/>
      <w:szCs w:val="32"/>
    </w:rPr>
  </w:style>
  <w:style w:styleId="style78" w:type="character">
    <w:name w:val="Názov Char17"/>
    <w:basedOn w:val="style15"/>
    <w:next w:val="style78"/>
    <w:rPr>
      <w:rFonts w:ascii="Cambria" w:cs="" w:hAnsi="Cambria"/>
      <w:b/>
      <w:bCs/>
      <w:sz w:val="32"/>
      <w:szCs w:val="32"/>
    </w:rPr>
  </w:style>
  <w:style w:styleId="style79" w:type="character">
    <w:name w:val="Názov Char16"/>
    <w:basedOn w:val="style15"/>
    <w:next w:val="style79"/>
    <w:rPr>
      <w:rFonts w:ascii="Cambria" w:cs="" w:hAnsi="Cambria"/>
      <w:b/>
      <w:bCs/>
      <w:sz w:val="32"/>
      <w:szCs w:val="32"/>
    </w:rPr>
  </w:style>
  <w:style w:styleId="style80" w:type="character">
    <w:name w:val="Názov Char15"/>
    <w:basedOn w:val="style15"/>
    <w:next w:val="style80"/>
    <w:rPr>
      <w:rFonts w:ascii="Cambria" w:cs="" w:hAnsi="Cambria"/>
      <w:b/>
      <w:bCs/>
      <w:sz w:val="32"/>
      <w:szCs w:val="32"/>
    </w:rPr>
  </w:style>
  <w:style w:styleId="style81" w:type="character">
    <w:name w:val="Názov Char14"/>
    <w:basedOn w:val="style15"/>
    <w:next w:val="style81"/>
    <w:rPr>
      <w:rFonts w:ascii="Cambria" w:cs="" w:hAnsi="Cambria"/>
      <w:b/>
      <w:bCs/>
      <w:sz w:val="32"/>
      <w:szCs w:val="32"/>
    </w:rPr>
  </w:style>
  <w:style w:styleId="style82" w:type="character">
    <w:name w:val="Názov Char13"/>
    <w:basedOn w:val="style15"/>
    <w:next w:val="style82"/>
    <w:rPr>
      <w:rFonts w:ascii="Cambria" w:cs="" w:hAnsi="Cambria"/>
      <w:b/>
      <w:bCs/>
      <w:sz w:val="32"/>
      <w:szCs w:val="32"/>
    </w:rPr>
  </w:style>
  <w:style w:styleId="style83" w:type="character">
    <w:name w:val="Názov Char12"/>
    <w:basedOn w:val="style15"/>
    <w:next w:val="style83"/>
    <w:rPr>
      <w:rFonts w:ascii="Cambria" w:cs="" w:hAnsi="Cambria"/>
      <w:b/>
      <w:bCs/>
      <w:sz w:val="32"/>
      <w:szCs w:val="32"/>
    </w:rPr>
  </w:style>
  <w:style w:styleId="style84" w:type="character">
    <w:name w:val="Názov Char11"/>
    <w:basedOn w:val="style15"/>
    <w:next w:val="style84"/>
    <w:rPr>
      <w:rFonts w:ascii="Cambria" w:cs="" w:hAnsi="Cambria"/>
      <w:b/>
      <w:bCs/>
      <w:sz w:val="32"/>
      <w:szCs w:val="32"/>
    </w:rPr>
  </w:style>
  <w:style w:styleId="style85" w:type="character">
    <w:name w:val="Základný text Char128"/>
    <w:basedOn w:val="style15"/>
    <w:next w:val="style85"/>
    <w:rPr>
      <w:rFonts w:cs="Times New Roman"/>
      <w:sz w:val="36"/>
      <w:szCs w:val="36"/>
    </w:rPr>
  </w:style>
  <w:style w:styleId="style86" w:type="character">
    <w:name w:val="Základný text Char"/>
    <w:basedOn w:val="style15"/>
    <w:next w:val="style86"/>
    <w:rPr>
      <w:rFonts w:cs="Times New Roman"/>
      <w:sz w:val="36"/>
      <w:szCs w:val="36"/>
    </w:rPr>
  </w:style>
  <w:style w:styleId="style87" w:type="character">
    <w:name w:val="Základný text Char127"/>
    <w:basedOn w:val="style15"/>
    <w:next w:val="style87"/>
    <w:rPr>
      <w:rFonts w:cs="Times New Roman"/>
      <w:sz w:val="36"/>
      <w:szCs w:val="36"/>
    </w:rPr>
  </w:style>
  <w:style w:styleId="style88" w:type="character">
    <w:name w:val="Základný text Char126"/>
    <w:basedOn w:val="style15"/>
    <w:next w:val="style88"/>
    <w:rPr>
      <w:rFonts w:cs="Times New Roman"/>
      <w:sz w:val="36"/>
      <w:szCs w:val="36"/>
    </w:rPr>
  </w:style>
  <w:style w:styleId="style89" w:type="character">
    <w:name w:val="Základný text Char125"/>
    <w:basedOn w:val="style15"/>
    <w:next w:val="style89"/>
    <w:rPr>
      <w:rFonts w:cs="Times New Roman"/>
      <w:sz w:val="36"/>
      <w:szCs w:val="36"/>
    </w:rPr>
  </w:style>
  <w:style w:styleId="style90" w:type="character">
    <w:name w:val="Základný text Char124"/>
    <w:basedOn w:val="style15"/>
    <w:next w:val="style90"/>
    <w:rPr>
      <w:rFonts w:cs="Times New Roman"/>
      <w:sz w:val="36"/>
      <w:szCs w:val="36"/>
    </w:rPr>
  </w:style>
  <w:style w:styleId="style91" w:type="character">
    <w:name w:val="Základný text Char123"/>
    <w:basedOn w:val="style15"/>
    <w:next w:val="style91"/>
    <w:rPr>
      <w:rFonts w:cs="Times New Roman"/>
      <w:sz w:val="36"/>
      <w:szCs w:val="36"/>
    </w:rPr>
  </w:style>
  <w:style w:styleId="style92" w:type="character">
    <w:name w:val="Základný text Char122"/>
    <w:basedOn w:val="style15"/>
    <w:next w:val="style92"/>
    <w:rPr>
      <w:rFonts w:cs="Times New Roman"/>
      <w:sz w:val="36"/>
      <w:szCs w:val="36"/>
    </w:rPr>
  </w:style>
  <w:style w:styleId="style93" w:type="character">
    <w:name w:val="Základný text Char121"/>
    <w:basedOn w:val="style15"/>
    <w:next w:val="style93"/>
    <w:rPr>
      <w:rFonts w:cs="Times New Roman"/>
      <w:sz w:val="36"/>
      <w:szCs w:val="36"/>
    </w:rPr>
  </w:style>
  <w:style w:styleId="style94" w:type="character">
    <w:name w:val="Základný text Char120"/>
    <w:basedOn w:val="style15"/>
    <w:next w:val="style94"/>
    <w:rPr>
      <w:rFonts w:cs="Times New Roman"/>
      <w:sz w:val="36"/>
      <w:szCs w:val="36"/>
    </w:rPr>
  </w:style>
  <w:style w:styleId="style95" w:type="character">
    <w:name w:val="Základný text Char119"/>
    <w:basedOn w:val="style15"/>
    <w:next w:val="style95"/>
    <w:rPr>
      <w:rFonts w:cs="Times New Roman"/>
      <w:sz w:val="36"/>
      <w:szCs w:val="36"/>
    </w:rPr>
  </w:style>
  <w:style w:styleId="style96" w:type="character">
    <w:name w:val="Základný text Char118"/>
    <w:basedOn w:val="style15"/>
    <w:next w:val="style96"/>
    <w:rPr>
      <w:rFonts w:cs="Times New Roman"/>
      <w:sz w:val="36"/>
      <w:szCs w:val="36"/>
    </w:rPr>
  </w:style>
  <w:style w:styleId="style97" w:type="character">
    <w:name w:val="Základný text Char117"/>
    <w:basedOn w:val="style15"/>
    <w:next w:val="style97"/>
    <w:rPr>
      <w:rFonts w:cs="Times New Roman"/>
      <w:sz w:val="36"/>
      <w:szCs w:val="36"/>
    </w:rPr>
  </w:style>
  <w:style w:styleId="style98" w:type="character">
    <w:name w:val="Základný text Char116"/>
    <w:basedOn w:val="style15"/>
    <w:next w:val="style98"/>
    <w:rPr>
      <w:rFonts w:cs="Times New Roman"/>
      <w:sz w:val="36"/>
      <w:szCs w:val="36"/>
    </w:rPr>
  </w:style>
  <w:style w:styleId="style99" w:type="character">
    <w:name w:val="Základný text Char115"/>
    <w:basedOn w:val="style15"/>
    <w:next w:val="style99"/>
    <w:rPr>
      <w:rFonts w:cs="Times New Roman"/>
      <w:sz w:val="36"/>
      <w:szCs w:val="36"/>
    </w:rPr>
  </w:style>
  <w:style w:styleId="style100" w:type="character">
    <w:name w:val="Základný text Char114"/>
    <w:basedOn w:val="style15"/>
    <w:next w:val="style100"/>
    <w:rPr>
      <w:rFonts w:cs="Times New Roman"/>
      <w:sz w:val="36"/>
      <w:szCs w:val="36"/>
    </w:rPr>
  </w:style>
  <w:style w:styleId="style101" w:type="character">
    <w:name w:val="Základný text Char113"/>
    <w:basedOn w:val="style15"/>
    <w:next w:val="style101"/>
    <w:rPr>
      <w:rFonts w:cs="Times New Roman"/>
      <w:sz w:val="36"/>
      <w:szCs w:val="36"/>
    </w:rPr>
  </w:style>
  <w:style w:styleId="style102" w:type="character">
    <w:name w:val="Základný text Char112"/>
    <w:basedOn w:val="style15"/>
    <w:next w:val="style102"/>
    <w:rPr>
      <w:rFonts w:cs="Times New Roman"/>
      <w:sz w:val="36"/>
      <w:szCs w:val="36"/>
    </w:rPr>
  </w:style>
  <w:style w:styleId="style103" w:type="character">
    <w:name w:val="Základný text Char111"/>
    <w:basedOn w:val="style15"/>
    <w:next w:val="style103"/>
    <w:rPr>
      <w:rFonts w:cs="Times New Roman"/>
      <w:sz w:val="36"/>
      <w:szCs w:val="36"/>
    </w:rPr>
  </w:style>
  <w:style w:styleId="style104" w:type="character">
    <w:name w:val="Základný text Char110"/>
    <w:basedOn w:val="style15"/>
    <w:next w:val="style104"/>
    <w:rPr>
      <w:rFonts w:cs="Times New Roman"/>
      <w:sz w:val="36"/>
      <w:szCs w:val="36"/>
    </w:rPr>
  </w:style>
  <w:style w:styleId="style105" w:type="character">
    <w:name w:val="Základný text Char19"/>
    <w:basedOn w:val="style15"/>
    <w:next w:val="style105"/>
    <w:rPr>
      <w:rFonts w:cs="Times New Roman"/>
      <w:sz w:val="36"/>
      <w:szCs w:val="36"/>
    </w:rPr>
  </w:style>
  <w:style w:styleId="style106" w:type="character">
    <w:name w:val="Základný text Char18"/>
    <w:basedOn w:val="style15"/>
    <w:next w:val="style106"/>
    <w:rPr>
      <w:rFonts w:cs="Times New Roman"/>
      <w:sz w:val="36"/>
      <w:szCs w:val="36"/>
    </w:rPr>
  </w:style>
  <w:style w:styleId="style107" w:type="character">
    <w:name w:val="Základný text Char17"/>
    <w:basedOn w:val="style15"/>
    <w:next w:val="style107"/>
    <w:rPr>
      <w:rFonts w:cs="Times New Roman"/>
      <w:sz w:val="36"/>
      <w:szCs w:val="36"/>
    </w:rPr>
  </w:style>
  <w:style w:styleId="style108" w:type="character">
    <w:name w:val="Základný text Char16"/>
    <w:basedOn w:val="style15"/>
    <w:next w:val="style108"/>
    <w:rPr>
      <w:rFonts w:cs="Times New Roman"/>
      <w:sz w:val="36"/>
      <w:szCs w:val="36"/>
    </w:rPr>
  </w:style>
  <w:style w:styleId="style109" w:type="character">
    <w:name w:val="Základný text Char15"/>
    <w:basedOn w:val="style15"/>
    <w:next w:val="style109"/>
    <w:rPr>
      <w:rFonts w:cs="Times New Roman"/>
      <w:sz w:val="36"/>
      <w:szCs w:val="36"/>
    </w:rPr>
  </w:style>
  <w:style w:styleId="style110" w:type="character">
    <w:name w:val="Základný text Char14"/>
    <w:basedOn w:val="style15"/>
    <w:next w:val="style110"/>
    <w:rPr>
      <w:rFonts w:cs="Times New Roman"/>
      <w:sz w:val="36"/>
      <w:szCs w:val="36"/>
    </w:rPr>
  </w:style>
  <w:style w:styleId="style111" w:type="character">
    <w:name w:val="Základný text Char13"/>
    <w:basedOn w:val="style15"/>
    <w:next w:val="style111"/>
    <w:rPr>
      <w:rFonts w:cs="Times New Roman"/>
      <w:sz w:val="36"/>
      <w:szCs w:val="36"/>
    </w:rPr>
  </w:style>
  <w:style w:styleId="style112" w:type="character">
    <w:name w:val="Základný text Char12"/>
    <w:basedOn w:val="style15"/>
    <w:next w:val="style112"/>
    <w:rPr>
      <w:rFonts w:cs="Times New Roman"/>
      <w:sz w:val="36"/>
      <w:szCs w:val="36"/>
    </w:rPr>
  </w:style>
  <w:style w:styleId="style113" w:type="character">
    <w:name w:val="Základný text Char11"/>
    <w:basedOn w:val="style15"/>
    <w:next w:val="style113"/>
    <w:rPr>
      <w:rFonts w:cs="Times New Roman"/>
      <w:sz w:val="36"/>
      <w:szCs w:val="36"/>
    </w:rPr>
  </w:style>
  <w:style w:styleId="style114" w:type="character">
    <w:name w:val="Podtitul Char128"/>
    <w:basedOn w:val="style15"/>
    <w:next w:val="style114"/>
    <w:rPr>
      <w:rFonts w:ascii="Cambria" w:cs="" w:hAnsi="Cambria"/>
      <w:sz w:val="24"/>
      <w:szCs w:val="24"/>
    </w:rPr>
  </w:style>
  <w:style w:styleId="style115" w:type="character">
    <w:name w:val="Podtitul Char"/>
    <w:basedOn w:val="style15"/>
    <w:next w:val="style115"/>
    <w:rPr>
      <w:rFonts w:ascii="Cambria" w:cs="" w:hAnsi="Cambria"/>
      <w:sz w:val="24"/>
      <w:szCs w:val="24"/>
    </w:rPr>
  </w:style>
  <w:style w:styleId="style116" w:type="character">
    <w:name w:val="Podtitul Char127"/>
    <w:basedOn w:val="style15"/>
    <w:next w:val="style116"/>
    <w:rPr>
      <w:rFonts w:ascii="Cambria" w:cs="" w:hAnsi="Cambria"/>
      <w:sz w:val="24"/>
      <w:szCs w:val="24"/>
    </w:rPr>
  </w:style>
  <w:style w:styleId="style117" w:type="character">
    <w:name w:val="Podtitul Char126"/>
    <w:basedOn w:val="style15"/>
    <w:next w:val="style117"/>
    <w:rPr>
      <w:rFonts w:ascii="Cambria" w:cs="" w:hAnsi="Cambria"/>
      <w:sz w:val="24"/>
      <w:szCs w:val="24"/>
    </w:rPr>
  </w:style>
  <w:style w:styleId="style118" w:type="character">
    <w:name w:val="Podtitul Char125"/>
    <w:basedOn w:val="style15"/>
    <w:next w:val="style118"/>
    <w:rPr>
      <w:rFonts w:ascii="Cambria" w:cs="" w:hAnsi="Cambria"/>
      <w:sz w:val="24"/>
      <w:szCs w:val="24"/>
    </w:rPr>
  </w:style>
  <w:style w:styleId="style119" w:type="character">
    <w:name w:val="Podtitul Char124"/>
    <w:basedOn w:val="style15"/>
    <w:next w:val="style119"/>
    <w:rPr>
      <w:rFonts w:ascii="Cambria" w:cs="" w:hAnsi="Cambria"/>
      <w:sz w:val="24"/>
      <w:szCs w:val="24"/>
    </w:rPr>
  </w:style>
  <w:style w:styleId="style120" w:type="character">
    <w:name w:val="Podtitul Char123"/>
    <w:basedOn w:val="style15"/>
    <w:next w:val="style120"/>
    <w:rPr>
      <w:rFonts w:ascii="Cambria" w:cs="" w:hAnsi="Cambria"/>
      <w:sz w:val="24"/>
      <w:szCs w:val="24"/>
    </w:rPr>
  </w:style>
  <w:style w:styleId="style121" w:type="character">
    <w:name w:val="Podtitul Char122"/>
    <w:basedOn w:val="style15"/>
    <w:next w:val="style121"/>
    <w:rPr>
      <w:rFonts w:ascii="Cambria" w:cs="" w:hAnsi="Cambria"/>
      <w:sz w:val="24"/>
      <w:szCs w:val="24"/>
    </w:rPr>
  </w:style>
  <w:style w:styleId="style122" w:type="character">
    <w:name w:val="Podtitul Char121"/>
    <w:basedOn w:val="style15"/>
    <w:next w:val="style122"/>
    <w:rPr>
      <w:rFonts w:ascii="Cambria" w:cs="" w:hAnsi="Cambria"/>
      <w:sz w:val="24"/>
      <w:szCs w:val="24"/>
    </w:rPr>
  </w:style>
  <w:style w:styleId="style123" w:type="character">
    <w:name w:val="Podtitul Char120"/>
    <w:basedOn w:val="style15"/>
    <w:next w:val="style123"/>
    <w:rPr>
      <w:rFonts w:ascii="Cambria" w:cs="" w:hAnsi="Cambria"/>
      <w:sz w:val="24"/>
      <w:szCs w:val="24"/>
    </w:rPr>
  </w:style>
  <w:style w:styleId="style124" w:type="character">
    <w:name w:val="Podtitul Char119"/>
    <w:basedOn w:val="style15"/>
    <w:next w:val="style124"/>
    <w:rPr>
      <w:rFonts w:ascii="Cambria" w:cs="" w:hAnsi="Cambria"/>
      <w:sz w:val="24"/>
      <w:szCs w:val="24"/>
    </w:rPr>
  </w:style>
  <w:style w:styleId="style125" w:type="character">
    <w:name w:val="Podtitul Char118"/>
    <w:basedOn w:val="style15"/>
    <w:next w:val="style125"/>
    <w:rPr>
      <w:rFonts w:ascii="Cambria" w:cs="" w:hAnsi="Cambria"/>
      <w:sz w:val="24"/>
      <w:szCs w:val="24"/>
    </w:rPr>
  </w:style>
  <w:style w:styleId="style126" w:type="character">
    <w:name w:val="Podtitul Char117"/>
    <w:basedOn w:val="style15"/>
    <w:next w:val="style126"/>
    <w:rPr>
      <w:rFonts w:ascii="Cambria" w:cs="" w:hAnsi="Cambria"/>
      <w:sz w:val="24"/>
      <w:szCs w:val="24"/>
    </w:rPr>
  </w:style>
  <w:style w:styleId="style127" w:type="character">
    <w:name w:val="Podtitul Char116"/>
    <w:basedOn w:val="style15"/>
    <w:next w:val="style127"/>
    <w:rPr>
      <w:rFonts w:ascii="Cambria" w:cs="" w:hAnsi="Cambria"/>
      <w:sz w:val="24"/>
      <w:szCs w:val="24"/>
    </w:rPr>
  </w:style>
  <w:style w:styleId="style128" w:type="character">
    <w:name w:val="Podtitul Char115"/>
    <w:basedOn w:val="style15"/>
    <w:next w:val="style128"/>
    <w:rPr>
      <w:rFonts w:ascii="Cambria" w:cs="" w:hAnsi="Cambria"/>
      <w:sz w:val="24"/>
      <w:szCs w:val="24"/>
    </w:rPr>
  </w:style>
  <w:style w:styleId="style129" w:type="character">
    <w:name w:val="Podtitul Char114"/>
    <w:basedOn w:val="style15"/>
    <w:next w:val="style129"/>
    <w:rPr>
      <w:rFonts w:ascii="Cambria" w:cs="" w:hAnsi="Cambria"/>
      <w:sz w:val="24"/>
      <w:szCs w:val="24"/>
    </w:rPr>
  </w:style>
  <w:style w:styleId="style130" w:type="character">
    <w:name w:val="Podtitul Char113"/>
    <w:basedOn w:val="style15"/>
    <w:next w:val="style130"/>
    <w:rPr>
      <w:rFonts w:ascii="Cambria" w:cs="" w:hAnsi="Cambria"/>
      <w:sz w:val="24"/>
      <w:szCs w:val="24"/>
    </w:rPr>
  </w:style>
  <w:style w:styleId="style131" w:type="character">
    <w:name w:val="Podtitul Char112"/>
    <w:basedOn w:val="style15"/>
    <w:next w:val="style131"/>
    <w:rPr>
      <w:rFonts w:ascii="Cambria" w:cs="" w:hAnsi="Cambria"/>
      <w:sz w:val="24"/>
      <w:szCs w:val="24"/>
    </w:rPr>
  </w:style>
  <w:style w:styleId="style132" w:type="character">
    <w:name w:val="Podtitul Char111"/>
    <w:basedOn w:val="style15"/>
    <w:next w:val="style132"/>
    <w:rPr>
      <w:rFonts w:ascii="Cambria" w:cs="" w:hAnsi="Cambria"/>
      <w:sz w:val="24"/>
      <w:szCs w:val="24"/>
    </w:rPr>
  </w:style>
  <w:style w:styleId="style133" w:type="character">
    <w:name w:val="Podtitul Char110"/>
    <w:basedOn w:val="style15"/>
    <w:next w:val="style133"/>
    <w:rPr>
      <w:rFonts w:ascii="Cambria" w:cs="" w:hAnsi="Cambria"/>
      <w:sz w:val="24"/>
      <w:szCs w:val="24"/>
    </w:rPr>
  </w:style>
  <w:style w:styleId="style134" w:type="character">
    <w:name w:val="Podtitul Char19"/>
    <w:basedOn w:val="style15"/>
    <w:next w:val="style134"/>
    <w:rPr>
      <w:rFonts w:ascii="Cambria" w:cs="" w:hAnsi="Cambria"/>
      <w:sz w:val="24"/>
      <w:szCs w:val="24"/>
    </w:rPr>
  </w:style>
  <w:style w:styleId="style135" w:type="character">
    <w:name w:val="Podtitul Char18"/>
    <w:basedOn w:val="style15"/>
    <w:next w:val="style135"/>
    <w:rPr>
      <w:rFonts w:ascii="Cambria" w:cs="" w:hAnsi="Cambria"/>
      <w:sz w:val="24"/>
      <w:szCs w:val="24"/>
    </w:rPr>
  </w:style>
  <w:style w:styleId="style136" w:type="character">
    <w:name w:val="Podtitul Char17"/>
    <w:basedOn w:val="style15"/>
    <w:next w:val="style136"/>
    <w:rPr>
      <w:rFonts w:ascii="Cambria" w:cs="" w:hAnsi="Cambria"/>
      <w:sz w:val="24"/>
      <w:szCs w:val="24"/>
    </w:rPr>
  </w:style>
  <w:style w:styleId="style137" w:type="character">
    <w:name w:val="Podtitul Char16"/>
    <w:basedOn w:val="style15"/>
    <w:next w:val="style137"/>
    <w:rPr>
      <w:rFonts w:ascii="Cambria" w:cs="" w:hAnsi="Cambria"/>
      <w:sz w:val="24"/>
      <w:szCs w:val="24"/>
    </w:rPr>
  </w:style>
  <w:style w:styleId="style138" w:type="character">
    <w:name w:val="Podtitul Char15"/>
    <w:basedOn w:val="style15"/>
    <w:next w:val="style138"/>
    <w:rPr>
      <w:rFonts w:ascii="Cambria" w:cs="" w:hAnsi="Cambria"/>
      <w:sz w:val="24"/>
      <w:szCs w:val="24"/>
    </w:rPr>
  </w:style>
  <w:style w:styleId="style139" w:type="character">
    <w:name w:val="Podtitul Char14"/>
    <w:basedOn w:val="style15"/>
    <w:next w:val="style139"/>
    <w:rPr>
      <w:rFonts w:ascii="Cambria" w:cs="" w:hAnsi="Cambria"/>
      <w:sz w:val="24"/>
      <w:szCs w:val="24"/>
    </w:rPr>
  </w:style>
  <w:style w:styleId="style140" w:type="character">
    <w:name w:val="Podtitul Char13"/>
    <w:basedOn w:val="style15"/>
    <w:next w:val="style140"/>
    <w:rPr>
      <w:rFonts w:ascii="Cambria" w:cs="" w:hAnsi="Cambria"/>
      <w:sz w:val="24"/>
      <w:szCs w:val="24"/>
    </w:rPr>
  </w:style>
  <w:style w:styleId="style141" w:type="character">
    <w:name w:val="Podtitul Char12"/>
    <w:basedOn w:val="style15"/>
    <w:next w:val="style141"/>
    <w:rPr>
      <w:rFonts w:ascii="Cambria" w:cs="" w:hAnsi="Cambria"/>
      <w:sz w:val="24"/>
      <w:szCs w:val="24"/>
    </w:rPr>
  </w:style>
  <w:style w:styleId="style142" w:type="character">
    <w:name w:val="Podtitul Char11"/>
    <w:basedOn w:val="style15"/>
    <w:next w:val="style142"/>
    <w:rPr>
      <w:rFonts w:ascii="Cambria" w:cs="" w:hAnsi="Cambria"/>
      <w:sz w:val="24"/>
      <w:szCs w:val="24"/>
    </w:rPr>
  </w:style>
  <w:style w:styleId="style143" w:type="character">
    <w:name w:val="Základný text 2 Char128"/>
    <w:basedOn w:val="style15"/>
    <w:next w:val="style143"/>
    <w:rPr>
      <w:rFonts w:cs="Times New Roman"/>
      <w:sz w:val="36"/>
      <w:szCs w:val="36"/>
    </w:rPr>
  </w:style>
  <w:style w:styleId="style144" w:type="character">
    <w:name w:val="Základný text 2 Char"/>
    <w:basedOn w:val="style15"/>
    <w:next w:val="style144"/>
    <w:rPr>
      <w:rFonts w:cs="Times New Roman"/>
      <w:sz w:val="36"/>
      <w:szCs w:val="36"/>
    </w:rPr>
  </w:style>
  <w:style w:styleId="style145" w:type="character">
    <w:name w:val="Základný text 2 Char127"/>
    <w:basedOn w:val="style15"/>
    <w:next w:val="style145"/>
    <w:rPr>
      <w:rFonts w:cs="Times New Roman"/>
      <w:sz w:val="36"/>
      <w:szCs w:val="36"/>
    </w:rPr>
  </w:style>
  <w:style w:styleId="style146" w:type="character">
    <w:name w:val="Základný text 2 Char126"/>
    <w:basedOn w:val="style15"/>
    <w:next w:val="style146"/>
    <w:rPr>
      <w:rFonts w:cs="Times New Roman"/>
      <w:sz w:val="36"/>
      <w:szCs w:val="36"/>
    </w:rPr>
  </w:style>
  <w:style w:styleId="style147" w:type="character">
    <w:name w:val="Základný text 2 Char125"/>
    <w:basedOn w:val="style15"/>
    <w:next w:val="style147"/>
    <w:rPr>
      <w:rFonts w:cs="Times New Roman"/>
      <w:sz w:val="36"/>
      <w:szCs w:val="36"/>
    </w:rPr>
  </w:style>
  <w:style w:styleId="style148" w:type="character">
    <w:name w:val="Základný text 2 Char124"/>
    <w:basedOn w:val="style15"/>
    <w:next w:val="style148"/>
    <w:rPr>
      <w:rFonts w:cs="Times New Roman"/>
      <w:sz w:val="36"/>
      <w:szCs w:val="36"/>
    </w:rPr>
  </w:style>
  <w:style w:styleId="style149" w:type="character">
    <w:name w:val="Základný text 2 Char123"/>
    <w:basedOn w:val="style15"/>
    <w:next w:val="style149"/>
    <w:rPr>
      <w:rFonts w:cs="Times New Roman"/>
      <w:sz w:val="36"/>
      <w:szCs w:val="36"/>
    </w:rPr>
  </w:style>
  <w:style w:styleId="style150" w:type="character">
    <w:name w:val="Základný text 2 Char122"/>
    <w:basedOn w:val="style15"/>
    <w:next w:val="style150"/>
    <w:rPr>
      <w:rFonts w:cs="Times New Roman"/>
      <w:sz w:val="36"/>
      <w:szCs w:val="36"/>
    </w:rPr>
  </w:style>
  <w:style w:styleId="style151" w:type="character">
    <w:name w:val="Základný text 2 Char121"/>
    <w:basedOn w:val="style15"/>
    <w:next w:val="style151"/>
    <w:rPr>
      <w:rFonts w:cs="Times New Roman"/>
      <w:sz w:val="36"/>
      <w:szCs w:val="36"/>
    </w:rPr>
  </w:style>
  <w:style w:styleId="style152" w:type="character">
    <w:name w:val="Základný text 2 Char120"/>
    <w:basedOn w:val="style15"/>
    <w:next w:val="style152"/>
    <w:rPr>
      <w:rFonts w:cs="Times New Roman"/>
      <w:sz w:val="36"/>
      <w:szCs w:val="36"/>
    </w:rPr>
  </w:style>
  <w:style w:styleId="style153" w:type="character">
    <w:name w:val="Základný text 2 Char119"/>
    <w:basedOn w:val="style15"/>
    <w:next w:val="style153"/>
    <w:rPr>
      <w:rFonts w:cs="Times New Roman"/>
      <w:sz w:val="36"/>
      <w:szCs w:val="36"/>
    </w:rPr>
  </w:style>
  <w:style w:styleId="style154" w:type="character">
    <w:name w:val="Základný text 2 Char118"/>
    <w:basedOn w:val="style15"/>
    <w:next w:val="style154"/>
    <w:rPr>
      <w:rFonts w:cs="Times New Roman"/>
      <w:sz w:val="36"/>
      <w:szCs w:val="36"/>
    </w:rPr>
  </w:style>
  <w:style w:styleId="style155" w:type="character">
    <w:name w:val="Základný text 2 Char117"/>
    <w:basedOn w:val="style15"/>
    <w:next w:val="style155"/>
    <w:rPr>
      <w:rFonts w:cs="Times New Roman"/>
      <w:sz w:val="36"/>
      <w:szCs w:val="36"/>
    </w:rPr>
  </w:style>
  <w:style w:styleId="style156" w:type="character">
    <w:name w:val="Základný text 2 Char116"/>
    <w:basedOn w:val="style15"/>
    <w:next w:val="style156"/>
    <w:rPr>
      <w:rFonts w:cs="Times New Roman"/>
      <w:sz w:val="36"/>
      <w:szCs w:val="36"/>
    </w:rPr>
  </w:style>
  <w:style w:styleId="style157" w:type="character">
    <w:name w:val="Základný text 2 Char115"/>
    <w:basedOn w:val="style15"/>
    <w:next w:val="style157"/>
    <w:rPr>
      <w:rFonts w:cs="Times New Roman"/>
      <w:sz w:val="36"/>
      <w:szCs w:val="36"/>
    </w:rPr>
  </w:style>
  <w:style w:styleId="style158" w:type="character">
    <w:name w:val="Základný text 2 Char114"/>
    <w:basedOn w:val="style15"/>
    <w:next w:val="style158"/>
    <w:rPr>
      <w:rFonts w:cs="Times New Roman"/>
      <w:sz w:val="36"/>
      <w:szCs w:val="36"/>
    </w:rPr>
  </w:style>
  <w:style w:styleId="style159" w:type="character">
    <w:name w:val="Základný text 2 Char113"/>
    <w:basedOn w:val="style15"/>
    <w:next w:val="style159"/>
    <w:rPr>
      <w:rFonts w:cs="Times New Roman"/>
      <w:sz w:val="36"/>
      <w:szCs w:val="36"/>
    </w:rPr>
  </w:style>
  <w:style w:styleId="style160" w:type="character">
    <w:name w:val="Základný text 2 Char112"/>
    <w:basedOn w:val="style15"/>
    <w:next w:val="style160"/>
    <w:rPr>
      <w:rFonts w:cs="Times New Roman"/>
      <w:sz w:val="36"/>
      <w:szCs w:val="36"/>
    </w:rPr>
  </w:style>
  <w:style w:styleId="style161" w:type="character">
    <w:name w:val="Základný text 2 Char111"/>
    <w:basedOn w:val="style15"/>
    <w:next w:val="style161"/>
    <w:rPr>
      <w:rFonts w:cs="Times New Roman"/>
      <w:sz w:val="36"/>
      <w:szCs w:val="36"/>
    </w:rPr>
  </w:style>
  <w:style w:styleId="style162" w:type="character">
    <w:name w:val="Základný text 2 Char110"/>
    <w:basedOn w:val="style15"/>
    <w:next w:val="style162"/>
    <w:rPr>
      <w:rFonts w:cs="Times New Roman"/>
      <w:sz w:val="36"/>
      <w:szCs w:val="36"/>
    </w:rPr>
  </w:style>
  <w:style w:styleId="style163" w:type="character">
    <w:name w:val="Základný text 2 Char19"/>
    <w:basedOn w:val="style15"/>
    <w:next w:val="style163"/>
    <w:rPr>
      <w:rFonts w:cs="Times New Roman"/>
      <w:sz w:val="36"/>
      <w:szCs w:val="36"/>
    </w:rPr>
  </w:style>
  <w:style w:styleId="style164" w:type="character">
    <w:name w:val="Základný text 2 Char18"/>
    <w:basedOn w:val="style15"/>
    <w:next w:val="style164"/>
    <w:rPr>
      <w:rFonts w:cs="Times New Roman"/>
      <w:sz w:val="36"/>
      <w:szCs w:val="36"/>
    </w:rPr>
  </w:style>
  <w:style w:styleId="style165" w:type="character">
    <w:name w:val="Základný text 2 Char17"/>
    <w:basedOn w:val="style15"/>
    <w:next w:val="style165"/>
    <w:rPr>
      <w:rFonts w:cs="Times New Roman"/>
      <w:sz w:val="36"/>
      <w:szCs w:val="36"/>
    </w:rPr>
  </w:style>
  <w:style w:styleId="style166" w:type="character">
    <w:name w:val="Základný text 2 Char16"/>
    <w:basedOn w:val="style15"/>
    <w:next w:val="style166"/>
    <w:rPr>
      <w:rFonts w:cs="Times New Roman"/>
      <w:sz w:val="36"/>
      <w:szCs w:val="36"/>
    </w:rPr>
  </w:style>
  <w:style w:styleId="style167" w:type="character">
    <w:name w:val="Základný text 2 Char15"/>
    <w:basedOn w:val="style15"/>
    <w:next w:val="style167"/>
    <w:rPr>
      <w:rFonts w:cs="Times New Roman"/>
      <w:sz w:val="36"/>
      <w:szCs w:val="36"/>
    </w:rPr>
  </w:style>
  <w:style w:styleId="style168" w:type="character">
    <w:name w:val="Základný text 2 Char14"/>
    <w:basedOn w:val="style15"/>
    <w:next w:val="style168"/>
    <w:rPr>
      <w:rFonts w:cs="Times New Roman"/>
      <w:sz w:val="36"/>
      <w:szCs w:val="36"/>
    </w:rPr>
  </w:style>
  <w:style w:styleId="style169" w:type="character">
    <w:name w:val="Základný text 2 Char13"/>
    <w:basedOn w:val="style15"/>
    <w:next w:val="style169"/>
    <w:rPr>
      <w:rFonts w:cs="Times New Roman"/>
      <w:sz w:val="36"/>
      <w:szCs w:val="36"/>
    </w:rPr>
  </w:style>
  <w:style w:styleId="style170" w:type="character">
    <w:name w:val="Základný text 2 Char12"/>
    <w:basedOn w:val="style15"/>
    <w:next w:val="style170"/>
    <w:rPr>
      <w:rFonts w:cs="Times New Roman"/>
      <w:sz w:val="36"/>
      <w:szCs w:val="36"/>
    </w:rPr>
  </w:style>
  <w:style w:styleId="style171" w:type="character">
    <w:name w:val="Základný text 2 Char11"/>
    <w:basedOn w:val="style15"/>
    <w:next w:val="style171"/>
    <w:rPr>
      <w:rFonts w:cs="Times New Roman"/>
      <w:sz w:val="36"/>
      <w:szCs w:val="36"/>
    </w:rPr>
  </w:style>
  <w:style w:styleId="style172" w:type="character">
    <w:name w:val="Zarážka základného textu 2 Char128"/>
    <w:basedOn w:val="style15"/>
    <w:next w:val="style172"/>
    <w:rPr>
      <w:rFonts w:cs="Times New Roman"/>
      <w:sz w:val="36"/>
      <w:szCs w:val="36"/>
    </w:rPr>
  </w:style>
  <w:style w:styleId="style173" w:type="character">
    <w:name w:val="Zarážka základného textu 2 Char"/>
    <w:basedOn w:val="style15"/>
    <w:next w:val="style173"/>
    <w:rPr>
      <w:rFonts w:cs="Times New Roman"/>
      <w:sz w:val="36"/>
      <w:szCs w:val="36"/>
    </w:rPr>
  </w:style>
  <w:style w:styleId="style174" w:type="character">
    <w:name w:val="Zarážka základného textu 2 Char127"/>
    <w:basedOn w:val="style15"/>
    <w:next w:val="style174"/>
    <w:rPr>
      <w:rFonts w:cs="Times New Roman"/>
      <w:sz w:val="36"/>
      <w:szCs w:val="36"/>
    </w:rPr>
  </w:style>
  <w:style w:styleId="style175" w:type="character">
    <w:name w:val="Zarážka základného textu 2 Char126"/>
    <w:basedOn w:val="style15"/>
    <w:next w:val="style175"/>
    <w:rPr>
      <w:rFonts w:cs="Times New Roman"/>
      <w:sz w:val="36"/>
      <w:szCs w:val="36"/>
    </w:rPr>
  </w:style>
  <w:style w:styleId="style176" w:type="character">
    <w:name w:val="Zarážka základného textu 2 Char125"/>
    <w:basedOn w:val="style15"/>
    <w:next w:val="style176"/>
    <w:rPr>
      <w:rFonts w:cs="Times New Roman"/>
      <w:sz w:val="36"/>
      <w:szCs w:val="36"/>
    </w:rPr>
  </w:style>
  <w:style w:styleId="style177" w:type="character">
    <w:name w:val="Zarážka základného textu 2 Char124"/>
    <w:basedOn w:val="style15"/>
    <w:next w:val="style177"/>
    <w:rPr>
      <w:rFonts w:cs="Times New Roman"/>
      <w:sz w:val="36"/>
      <w:szCs w:val="36"/>
    </w:rPr>
  </w:style>
  <w:style w:styleId="style178" w:type="character">
    <w:name w:val="Zarážka základného textu 2 Char123"/>
    <w:basedOn w:val="style15"/>
    <w:next w:val="style178"/>
    <w:rPr>
      <w:rFonts w:cs="Times New Roman"/>
      <w:sz w:val="36"/>
      <w:szCs w:val="36"/>
    </w:rPr>
  </w:style>
  <w:style w:styleId="style179" w:type="character">
    <w:name w:val="Zarážka základného textu 2 Char122"/>
    <w:basedOn w:val="style15"/>
    <w:next w:val="style179"/>
    <w:rPr>
      <w:rFonts w:cs="Times New Roman"/>
      <w:sz w:val="36"/>
      <w:szCs w:val="36"/>
    </w:rPr>
  </w:style>
  <w:style w:styleId="style180" w:type="character">
    <w:name w:val="Zarážka základného textu 2 Char121"/>
    <w:basedOn w:val="style15"/>
    <w:next w:val="style180"/>
    <w:rPr>
      <w:rFonts w:cs="Times New Roman"/>
      <w:sz w:val="36"/>
      <w:szCs w:val="36"/>
    </w:rPr>
  </w:style>
  <w:style w:styleId="style181" w:type="character">
    <w:name w:val="Zarážka základného textu 2 Char120"/>
    <w:basedOn w:val="style15"/>
    <w:next w:val="style181"/>
    <w:rPr>
      <w:rFonts w:cs="Times New Roman"/>
      <w:sz w:val="36"/>
      <w:szCs w:val="36"/>
    </w:rPr>
  </w:style>
  <w:style w:styleId="style182" w:type="character">
    <w:name w:val="Zarážka základného textu 2 Char119"/>
    <w:basedOn w:val="style15"/>
    <w:next w:val="style182"/>
    <w:rPr>
      <w:rFonts w:cs="Times New Roman"/>
      <w:sz w:val="36"/>
      <w:szCs w:val="36"/>
    </w:rPr>
  </w:style>
  <w:style w:styleId="style183" w:type="character">
    <w:name w:val="Zarážka základného textu 2 Char118"/>
    <w:basedOn w:val="style15"/>
    <w:next w:val="style183"/>
    <w:rPr>
      <w:rFonts w:cs="Times New Roman"/>
      <w:sz w:val="36"/>
      <w:szCs w:val="36"/>
    </w:rPr>
  </w:style>
  <w:style w:styleId="style184" w:type="character">
    <w:name w:val="Zarážka základného textu 2 Char117"/>
    <w:basedOn w:val="style15"/>
    <w:next w:val="style184"/>
    <w:rPr>
      <w:rFonts w:cs="Times New Roman"/>
      <w:sz w:val="36"/>
      <w:szCs w:val="36"/>
    </w:rPr>
  </w:style>
  <w:style w:styleId="style185" w:type="character">
    <w:name w:val="Zarážka základného textu 2 Char116"/>
    <w:basedOn w:val="style15"/>
    <w:next w:val="style185"/>
    <w:rPr>
      <w:rFonts w:cs="Times New Roman"/>
      <w:sz w:val="36"/>
      <w:szCs w:val="36"/>
    </w:rPr>
  </w:style>
  <w:style w:styleId="style186" w:type="character">
    <w:name w:val="Zarážka základného textu 2 Char115"/>
    <w:basedOn w:val="style15"/>
    <w:next w:val="style186"/>
    <w:rPr>
      <w:rFonts w:cs="Times New Roman"/>
      <w:sz w:val="36"/>
      <w:szCs w:val="36"/>
    </w:rPr>
  </w:style>
  <w:style w:styleId="style187" w:type="character">
    <w:name w:val="Zarážka základného textu 2 Char114"/>
    <w:basedOn w:val="style15"/>
    <w:next w:val="style187"/>
    <w:rPr>
      <w:rFonts w:cs="Times New Roman"/>
      <w:sz w:val="36"/>
      <w:szCs w:val="36"/>
    </w:rPr>
  </w:style>
  <w:style w:styleId="style188" w:type="character">
    <w:name w:val="Zarážka základného textu 2 Char113"/>
    <w:basedOn w:val="style15"/>
    <w:next w:val="style188"/>
    <w:rPr>
      <w:rFonts w:cs="Times New Roman"/>
      <w:sz w:val="36"/>
      <w:szCs w:val="36"/>
    </w:rPr>
  </w:style>
  <w:style w:styleId="style189" w:type="character">
    <w:name w:val="Zarážka základného textu 2 Char112"/>
    <w:basedOn w:val="style15"/>
    <w:next w:val="style189"/>
    <w:rPr>
      <w:rFonts w:cs="Times New Roman"/>
      <w:sz w:val="36"/>
      <w:szCs w:val="36"/>
    </w:rPr>
  </w:style>
  <w:style w:styleId="style190" w:type="character">
    <w:name w:val="Zarážka základného textu 2 Char111"/>
    <w:basedOn w:val="style15"/>
    <w:next w:val="style190"/>
    <w:rPr>
      <w:rFonts w:cs="Times New Roman"/>
      <w:sz w:val="36"/>
      <w:szCs w:val="36"/>
    </w:rPr>
  </w:style>
  <w:style w:styleId="style191" w:type="character">
    <w:name w:val="Zarážka základného textu 2 Char110"/>
    <w:basedOn w:val="style15"/>
    <w:next w:val="style191"/>
    <w:rPr>
      <w:rFonts w:cs="Times New Roman"/>
      <w:sz w:val="36"/>
      <w:szCs w:val="36"/>
    </w:rPr>
  </w:style>
  <w:style w:styleId="style192" w:type="character">
    <w:name w:val="Zarážka základného textu 2 Char19"/>
    <w:basedOn w:val="style15"/>
    <w:next w:val="style192"/>
    <w:rPr>
      <w:rFonts w:cs="Times New Roman"/>
      <w:sz w:val="36"/>
      <w:szCs w:val="36"/>
    </w:rPr>
  </w:style>
  <w:style w:styleId="style193" w:type="character">
    <w:name w:val="Zarážka základného textu 2 Char18"/>
    <w:basedOn w:val="style15"/>
    <w:next w:val="style193"/>
    <w:rPr>
      <w:rFonts w:cs="Times New Roman"/>
      <w:sz w:val="36"/>
      <w:szCs w:val="36"/>
    </w:rPr>
  </w:style>
  <w:style w:styleId="style194" w:type="character">
    <w:name w:val="Zarážka základného textu 2 Char17"/>
    <w:basedOn w:val="style15"/>
    <w:next w:val="style194"/>
    <w:rPr>
      <w:rFonts w:cs="Times New Roman"/>
      <w:sz w:val="36"/>
      <w:szCs w:val="36"/>
    </w:rPr>
  </w:style>
  <w:style w:styleId="style195" w:type="character">
    <w:name w:val="Zarážka základného textu 2 Char16"/>
    <w:basedOn w:val="style15"/>
    <w:next w:val="style195"/>
    <w:rPr>
      <w:rFonts w:cs="Times New Roman"/>
      <w:sz w:val="36"/>
      <w:szCs w:val="36"/>
    </w:rPr>
  </w:style>
  <w:style w:styleId="style196" w:type="character">
    <w:name w:val="Zarážka základného textu 2 Char15"/>
    <w:basedOn w:val="style15"/>
    <w:next w:val="style196"/>
    <w:rPr>
      <w:rFonts w:cs="Times New Roman"/>
      <w:sz w:val="36"/>
      <w:szCs w:val="36"/>
    </w:rPr>
  </w:style>
  <w:style w:styleId="style197" w:type="character">
    <w:name w:val="Zarážka základného textu 2 Char14"/>
    <w:basedOn w:val="style15"/>
    <w:next w:val="style197"/>
    <w:rPr>
      <w:rFonts w:cs="Times New Roman"/>
      <w:sz w:val="36"/>
      <w:szCs w:val="36"/>
    </w:rPr>
  </w:style>
  <w:style w:styleId="style198" w:type="character">
    <w:name w:val="Zarážka základného textu 2 Char13"/>
    <w:basedOn w:val="style15"/>
    <w:next w:val="style198"/>
    <w:rPr>
      <w:rFonts w:cs="Times New Roman"/>
      <w:sz w:val="36"/>
      <w:szCs w:val="36"/>
    </w:rPr>
  </w:style>
  <w:style w:styleId="style199" w:type="character">
    <w:name w:val="Zarážka základného textu 2 Char12"/>
    <w:basedOn w:val="style15"/>
    <w:next w:val="style199"/>
    <w:rPr>
      <w:rFonts w:cs="Times New Roman"/>
      <w:sz w:val="36"/>
      <w:szCs w:val="36"/>
    </w:rPr>
  </w:style>
  <w:style w:styleId="style200" w:type="character">
    <w:name w:val="Zarážka základného textu 2 Char11"/>
    <w:basedOn w:val="style15"/>
    <w:next w:val="style200"/>
    <w:rPr>
      <w:rFonts w:cs="Times New Roman"/>
      <w:sz w:val="36"/>
      <w:szCs w:val="36"/>
    </w:rPr>
  </w:style>
  <w:style w:styleId="style201" w:type="character">
    <w:name w:val="Zarážka základného textu 3 Char128"/>
    <w:basedOn w:val="style15"/>
    <w:next w:val="style201"/>
    <w:rPr>
      <w:rFonts w:cs="Times New Roman"/>
      <w:sz w:val="16"/>
      <w:szCs w:val="16"/>
    </w:rPr>
  </w:style>
  <w:style w:styleId="style202" w:type="character">
    <w:name w:val="Zarážka základného textu 3 Char"/>
    <w:basedOn w:val="style15"/>
    <w:next w:val="style202"/>
    <w:rPr>
      <w:rFonts w:cs="Times New Roman"/>
      <w:sz w:val="16"/>
      <w:szCs w:val="16"/>
    </w:rPr>
  </w:style>
  <w:style w:styleId="style203" w:type="character">
    <w:name w:val="Zarážka základného textu 3 Char127"/>
    <w:basedOn w:val="style15"/>
    <w:next w:val="style203"/>
    <w:rPr>
      <w:rFonts w:cs="Times New Roman"/>
      <w:sz w:val="16"/>
      <w:szCs w:val="16"/>
    </w:rPr>
  </w:style>
  <w:style w:styleId="style204" w:type="character">
    <w:name w:val="Zarážka základného textu 3 Char126"/>
    <w:basedOn w:val="style15"/>
    <w:next w:val="style204"/>
    <w:rPr>
      <w:rFonts w:cs="Times New Roman"/>
      <w:sz w:val="16"/>
      <w:szCs w:val="16"/>
    </w:rPr>
  </w:style>
  <w:style w:styleId="style205" w:type="character">
    <w:name w:val="Zarážka základného textu 3 Char125"/>
    <w:basedOn w:val="style15"/>
    <w:next w:val="style205"/>
    <w:rPr>
      <w:rFonts w:cs="Times New Roman"/>
      <w:sz w:val="16"/>
      <w:szCs w:val="16"/>
    </w:rPr>
  </w:style>
  <w:style w:styleId="style206" w:type="character">
    <w:name w:val="Zarážka základného textu 3 Char124"/>
    <w:basedOn w:val="style15"/>
    <w:next w:val="style206"/>
    <w:rPr>
      <w:rFonts w:cs="Times New Roman"/>
      <w:sz w:val="16"/>
      <w:szCs w:val="16"/>
    </w:rPr>
  </w:style>
  <w:style w:styleId="style207" w:type="character">
    <w:name w:val="Zarážka základného textu 3 Char123"/>
    <w:basedOn w:val="style15"/>
    <w:next w:val="style207"/>
    <w:rPr>
      <w:rFonts w:cs="Times New Roman"/>
      <w:sz w:val="16"/>
      <w:szCs w:val="16"/>
    </w:rPr>
  </w:style>
  <w:style w:styleId="style208" w:type="character">
    <w:name w:val="Zarážka základného textu 3 Char122"/>
    <w:basedOn w:val="style15"/>
    <w:next w:val="style208"/>
    <w:rPr>
      <w:rFonts w:cs="Times New Roman"/>
      <w:sz w:val="16"/>
      <w:szCs w:val="16"/>
    </w:rPr>
  </w:style>
  <w:style w:styleId="style209" w:type="character">
    <w:name w:val="Zarážka základného textu 3 Char121"/>
    <w:basedOn w:val="style15"/>
    <w:next w:val="style209"/>
    <w:rPr>
      <w:rFonts w:cs="Times New Roman"/>
      <w:sz w:val="16"/>
      <w:szCs w:val="16"/>
    </w:rPr>
  </w:style>
  <w:style w:styleId="style210" w:type="character">
    <w:name w:val="Zarážka základného textu 3 Char120"/>
    <w:basedOn w:val="style15"/>
    <w:next w:val="style210"/>
    <w:rPr>
      <w:rFonts w:cs="Times New Roman"/>
      <w:sz w:val="16"/>
      <w:szCs w:val="16"/>
    </w:rPr>
  </w:style>
  <w:style w:styleId="style211" w:type="character">
    <w:name w:val="Zarážka základného textu 3 Char119"/>
    <w:basedOn w:val="style15"/>
    <w:next w:val="style211"/>
    <w:rPr>
      <w:rFonts w:cs="Times New Roman"/>
      <w:sz w:val="16"/>
      <w:szCs w:val="16"/>
    </w:rPr>
  </w:style>
  <w:style w:styleId="style212" w:type="character">
    <w:name w:val="Zarážka základného textu 3 Char118"/>
    <w:basedOn w:val="style15"/>
    <w:next w:val="style212"/>
    <w:rPr>
      <w:rFonts w:cs="Times New Roman"/>
      <w:sz w:val="16"/>
      <w:szCs w:val="16"/>
    </w:rPr>
  </w:style>
  <w:style w:styleId="style213" w:type="character">
    <w:name w:val="Zarážka základného textu 3 Char117"/>
    <w:basedOn w:val="style15"/>
    <w:next w:val="style213"/>
    <w:rPr>
      <w:rFonts w:cs="Times New Roman"/>
      <w:sz w:val="16"/>
      <w:szCs w:val="16"/>
    </w:rPr>
  </w:style>
  <w:style w:styleId="style214" w:type="character">
    <w:name w:val="Zarážka základného textu 3 Char116"/>
    <w:basedOn w:val="style15"/>
    <w:next w:val="style214"/>
    <w:rPr>
      <w:rFonts w:cs="Times New Roman"/>
      <w:sz w:val="16"/>
      <w:szCs w:val="16"/>
    </w:rPr>
  </w:style>
  <w:style w:styleId="style215" w:type="character">
    <w:name w:val="Zarážka základného textu 3 Char115"/>
    <w:basedOn w:val="style15"/>
    <w:next w:val="style215"/>
    <w:rPr>
      <w:rFonts w:cs="Times New Roman"/>
      <w:sz w:val="16"/>
      <w:szCs w:val="16"/>
    </w:rPr>
  </w:style>
  <w:style w:styleId="style216" w:type="character">
    <w:name w:val="Zarážka základného textu 3 Char114"/>
    <w:basedOn w:val="style15"/>
    <w:next w:val="style216"/>
    <w:rPr>
      <w:rFonts w:cs="Times New Roman"/>
      <w:sz w:val="16"/>
      <w:szCs w:val="16"/>
    </w:rPr>
  </w:style>
  <w:style w:styleId="style217" w:type="character">
    <w:name w:val="Zarážka základného textu 3 Char113"/>
    <w:basedOn w:val="style15"/>
    <w:next w:val="style217"/>
    <w:rPr>
      <w:rFonts w:cs="Times New Roman"/>
      <w:sz w:val="16"/>
      <w:szCs w:val="16"/>
    </w:rPr>
  </w:style>
  <w:style w:styleId="style218" w:type="character">
    <w:name w:val="Zarážka základného textu 3 Char112"/>
    <w:basedOn w:val="style15"/>
    <w:next w:val="style218"/>
    <w:rPr>
      <w:rFonts w:cs="Times New Roman"/>
      <w:sz w:val="16"/>
      <w:szCs w:val="16"/>
    </w:rPr>
  </w:style>
  <w:style w:styleId="style219" w:type="character">
    <w:name w:val="Zarážka základného textu 3 Char111"/>
    <w:basedOn w:val="style15"/>
    <w:next w:val="style219"/>
    <w:rPr>
      <w:rFonts w:cs="Times New Roman"/>
      <w:sz w:val="16"/>
      <w:szCs w:val="16"/>
    </w:rPr>
  </w:style>
  <w:style w:styleId="style220" w:type="character">
    <w:name w:val="Zarážka základného textu 3 Char110"/>
    <w:basedOn w:val="style15"/>
    <w:next w:val="style220"/>
    <w:rPr>
      <w:rFonts w:cs="Times New Roman"/>
      <w:sz w:val="16"/>
      <w:szCs w:val="16"/>
    </w:rPr>
  </w:style>
  <w:style w:styleId="style221" w:type="character">
    <w:name w:val="Zarážka základného textu 3 Char19"/>
    <w:basedOn w:val="style15"/>
    <w:next w:val="style221"/>
    <w:rPr>
      <w:rFonts w:cs="Times New Roman"/>
      <w:sz w:val="16"/>
      <w:szCs w:val="16"/>
    </w:rPr>
  </w:style>
  <w:style w:styleId="style222" w:type="character">
    <w:name w:val="Zarážka základného textu 3 Char18"/>
    <w:basedOn w:val="style15"/>
    <w:next w:val="style222"/>
    <w:rPr>
      <w:rFonts w:cs="Times New Roman"/>
      <w:sz w:val="16"/>
      <w:szCs w:val="16"/>
    </w:rPr>
  </w:style>
  <w:style w:styleId="style223" w:type="character">
    <w:name w:val="Zarážka základného textu 3 Char17"/>
    <w:basedOn w:val="style15"/>
    <w:next w:val="style223"/>
    <w:rPr>
      <w:rFonts w:cs="Times New Roman"/>
      <w:sz w:val="16"/>
      <w:szCs w:val="16"/>
    </w:rPr>
  </w:style>
  <w:style w:styleId="style224" w:type="character">
    <w:name w:val="Zarážka základného textu 3 Char16"/>
    <w:basedOn w:val="style15"/>
    <w:next w:val="style224"/>
    <w:rPr>
      <w:rFonts w:cs="Times New Roman"/>
      <w:sz w:val="16"/>
      <w:szCs w:val="16"/>
    </w:rPr>
  </w:style>
  <w:style w:styleId="style225" w:type="character">
    <w:name w:val="Zarážka základného textu 3 Char15"/>
    <w:basedOn w:val="style15"/>
    <w:next w:val="style225"/>
    <w:rPr>
      <w:rFonts w:cs="Times New Roman"/>
      <w:sz w:val="16"/>
      <w:szCs w:val="16"/>
    </w:rPr>
  </w:style>
  <w:style w:styleId="style226" w:type="character">
    <w:name w:val="Zarážka základného textu 3 Char14"/>
    <w:basedOn w:val="style15"/>
    <w:next w:val="style226"/>
    <w:rPr>
      <w:rFonts w:cs="Times New Roman"/>
      <w:sz w:val="16"/>
      <w:szCs w:val="16"/>
    </w:rPr>
  </w:style>
  <w:style w:styleId="style227" w:type="character">
    <w:name w:val="Zarážka základného textu 3 Char13"/>
    <w:basedOn w:val="style15"/>
    <w:next w:val="style227"/>
    <w:rPr>
      <w:rFonts w:cs="Times New Roman"/>
      <w:sz w:val="16"/>
      <w:szCs w:val="16"/>
    </w:rPr>
  </w:style>
  <w:style w:styleId="style228" w:type="character">
    <w:name w:val="Zarážka základného textu 3 Char12"/>
    <w:basedOn w:val="style15"/>
    <w:next w:val="style228"/>
    <w:rPr>
      <w:rFonts w:cs="Times New Roman"/>
      <w:sz w:val="16"/>
      <w:szCs w:val="16"/>
    </w:rPr>
  </w:style>
  <w:style w:styleId="style229" w:type="character">
    <w:name w:val="Zarážka základného textu 3 Char11"/>
    <w:basedOn w:val="style15"/>
    <w:next w:val="style229"/>
    <w:rPr>
      <w:rFonts w:cs="Times New Roman"/>
      <w:sz w:val="16"/>
      <w:szCs w:val="16"/>
    </w:rPr>
  </w:style>
  <w:style w:styleId="style230" w:type="character">
    <w:name w:val="Text bubliny Char128"/>
    <w:basedOn w:val="style15"/>
    <w:next w:val="style230"/>
    <w:rPr>
      <w:rFonts w:ascii="Tahoma" w:cs="Tahoma" w:hAnsi="Tahoma"/>
      <w:sz w:val="16"/>
      <w:szCs w:val="16"/>
    </w:rPr>
  </w:style>
  <w:style w:styleId="style231" w:type="character">
    <w:name w:val="Text bubliny Char"/>
    <w:basedOn w:val="style15"/>
    <w:next w:val="style231"/>
    <w:rPr>
      <w:rFonts w:ascii="Tahoma" w:cs="Tahoma" w:hAnsi="Tahoma"/>
      <w:sz w:val="16"/>
      <w:szCs w:val="16"/>
    </w:rPr>
  </w:style>
  <w:style w:styleId="style232" w:type="character">
    <w:name w:val="Text bubliny Char127"/>
    <w:basedOn w:val="style15"/>
    <w:next w:val="style232"/>
    <w:rPr>
      <w:rFonts w:ascii="Tahoma" w:cs="Tahoma" w:hAnsi="Tahoma"/>
      <w:sz w:val="16"/>
      <w:szCs w:val="16"/>
    </w:rPr>
  </w:style>
  <w:style w:styleId="style233" w:type="character">
    <w:name w:val="Text bubliny Char126"/>
    <w:basedOn w:val="style15"/>
    <w:next w:val="style233"/>
    <w:rPr>
      <w:rFonts w:ascii="Tahoma" w:cs="Tahoma" w:hAnsi="Tahoma"/>
      <w:sz w:val="16"/>
      <w:szCs w:val="16"/>
    </w:rPr>
  </w:style>
  <w:style w:styleId="style234" w:type="character">
    <w:name w:val="Text bubliny Char125"/>
    <w:basedOn w:val="style15"/>
    <w:next w:val="style234"/>
    <w:rPr>
      <w:rFonts w:ascii="Tahoma" w:cs="Tahoma" w:hAnsi="Tahoma"/>
      <w:sz w:val="16"/>
      <w:szCs w:val="16"/>
    </w:rPr>
  </w:style>
  <w:style w:styleId="style235" w:type="character">
    <w:name w:val="Text bubliny Char124"/>
    <w:basedOn w:val="style15"/>
    <w:next w:val="style235"/>
    <w:rPr>
      <w:rFonts w:ascii="Tahoma" w:cs="Tahoma" w:hAnsi="Tahoma"/>
      <w:sz w:val="16"/>
      <w:szCs w:val="16"/>
    </w:rPr>
  </w:style>
  <w:style w:styleId="style236" w:type="character">
    <w:name w:val="Text bubliny Char123"/>
    <w:basedOn w:val="style15"/>
    <w:next w:val="style236"/>
    <w:rPr>
      <w:rFonts w:ascii="Tahoma" w:cs="Tahoma" w:hAnsi="Tahoma"/>
      <w:sz w:val="16"/>
      <w:szCs w:val="16"/>
    </w:rPr>
  </w:style>
  <w:style w:styleId="style237" w:type="character">
    <w:name w:val="Text bubliny Char122"/>
    <w:basedOn w:val="style15"/>
    <w:next w:val="style237"/>
    <w:rPr>
      <w:rFonts w:ascii="Tahoma" w:cs="Tahoma" w:hAnsi="Tahoma"/>
      <w:sz w:val="16"/>
      <w:szCs w:val="16"/>
    </w:rPr>
  </w:style>
  <w:style w:styleId="style238" w:type="character">
    <w:name w:val="Text bubliny Char121"/>
    <w:basedOn w:val="style15"/>
    <w:next w:val="style238"/>
    <w:rPr>
      <w:rFonts w:ascii="Tahoma" w:cs="Tahoma" w:hAnsi="Tahoma"/>
      <w:sz w:val="16"/>
      <w:szCs w:val="16"/>
    </w:rPr>
  </w:style>
  <w:style w:styleId="style239" w:type="character">
    <w:name w:val="Text bubliny Char120"/>
    <w:basedOn w:val="style15"/>
    <w:next w:val="style239"/>
    <w:rPr>
      <w:rFonts w:ascii="Tahoma" w:cs="Tahoma" w:hAnsi="Tahoma"/>
      <w:sz w:val="16"/>
      <w:szCs w:val="16"/>
    </w:rPr>
  </w:style>
  <w:style w:styleId="style240" w:type="character">
    <w:name w:val="Text bubliny Char119"/>
    <w:basedOn w:val="style15"/>
    <w:next w:val="style240"/>
    <w:rPr>
      <w:rFonts w:ascii="Tahoma" w:cs="Tahoma" w:hAnsi="Tahoma"/>
      <w:sz w:val="16"/>
      <w:szCs w:val="16"/>
    </w:rPr>
  </w:style>
  <w:style w:styleId="style241" w:type="character">
    <w:name w:val="Text bubliny Char118"/>
    <w:basedOn w:val="style15"/>
    <w:next w:val="style241"/>
    <w:rPr>
      <w:rFonts w:ascii="Segoe UI" w:cs="Segoe UI" w:hAnsi="Segoe UI"/>
      <w:sz w:val="18"/>
      <w:szCs w:val="18"/>
    </w:rPr>
  </w:style>
  <w:style w:styleId="style242" w:type="character">
    <w:name w:val="Text bubliny Char117"/>
    <w:basedOn w:val="style15"/>
    <w:next w:val="style242"/>
    <w:rPr>
      <w:rFonts w:ascii="Tahoma" w:cs="Tahoma" w:hAnsi="Tahoma"/>
      <w:sz w:val="16"/>
      <w:szCs w:val="16"/>
    </w:rPr>
  </w:style>
  <w:style w:styleId="style243" w:type="character">
    <w:name w:val="Text bubliny Char116"/>
    <w:basedOn w:val="style15"/>
    <w:next w:val="style243"/>
    <w:rPr>
      <w:rFonts w:ascii="Tahoma" w:cs="Tahoma" w:hAnsi="Tahoma"/>
      <w:sz w:val="16"/>
      <w:szCs w:val="16"/>
    </w:rPr>
  </w:style>
  <w:style w:styleId="style244" w:type="character">
    <w:name w:val="Text bubliny Char115"/>
    <w:basedOn w:val="style15"/>
    <w:next w:val="style244"/>
    <w:rPr>
      <w:rFonts w:ascii="Segoe UI" w:cs="Segoe UI" w:hAnsi="Segoe UI"/>
      <w:sz w:val="18"/>
      <w:szCs w:val="18"/>
    </w:rPr>
  </w:style>
  <w:style w:styleId="style245" w:type="character">
    <w:name w:val="Text bubliny Char114"/>
    <w:basedOn w:val="style15"/>
    <w:next w:val="style245"/>
    <w:rPr>
      <w:rFonts w:ascii="Segoe UI" w:cs="Segoe UI" w:hAnsi="Segoe UI"/>
      <w:sz w:val="18"/>
      <w:szCs w:val="18"/>
    </w:rPr>
  </w:style>
  <w:style w:styleId="style246" w:type="character">
    <w:name w:val="Text bubliny Char113"/>
    <w:basedOn w:val="style15"/>
    <w:next w:val="style246"/>
    <w:rPr>
      <w:rFonts w:ascii="Tahoma" w:cs="Tahoma" w:hAnsi="Tahoma"/>
      <w:sz w:val="16"/>
      <w:szCs w:val="16"/>
    </w:rPr>
  </w:style>
  <w:style w:styleId="style247" w:type="character">
    <w:name w:val="Text bubliny Char112"/>
    <w:basedOn w:val="style15"/>
    <w:next w:val="style247"/>
    <w:rPr>
      <w:rFonts w:ascii="Tahoma" w:cs="Tahoma" w:hAnsi="Tahoma"/>
      <w:sz w:val="16"/>
      <w:szCs w:val="16"/>
    </w:rPr>
  </w:style>
  <w:style w:styleId="style248" w:type="character">
    <w:name w:val="Text bubliny Char111"/>
    <w:basedOn w:val="style15"/>
    <w:next w:val="style248"/>
    <w:rPr>
      <w:rFonts w:ascii="Tahoma" w:cs="Tahoma" w:hAnsi="Tahoma"/>
      <w:sz w:val="16"/>
      <w:szCs w:val="16"/>
    </w:rPr>
  </w:style>
  <w:style w:styleId="style249" w:type="character">
    <w:name w:val="Text bubliny Char110"/>
    <w:basedOn w:val="style15"/>
    <w:next w:val="style249"/>
    <w:rPr>
      <w:rFonts w:ascii="Tahoma" w:cs="Tahoma" w:hAnsi="Tahoma"/>
      <w:sz w:val="16"/>
      <w:szCs w:val="16"/>
    </w:rPr>
  </w:style>
  <w:style w:styleId="style250" w:type="character">
    <w:name w:val="Text bubliny Char19"/>
    <w:basedOn w:val="style15"/>
    <w:next w:val="style250"/>
    <w:rPr>
      <w:rFonts w:ascii="Tahoma" w:cs="Tahoma" w:hAnsi="Tahoma"/>
      <w:sz w:val="16"/>
      <w:szCs w:val="16"/>
    </w:rPr>
  </w:style>
  <w:style w:styleId="style251" w:type="character">
    <w:name w:val="Text bubliny Char18"/>
    <w:basedOn w:val="style15"/>
    <w:next w:val="style251"/>
    <w:rPr>
      <w:rFonts w:ascii="Tahoma" w:cs="Tahoma" w:hAnsi="Tahoma"/>
      <w:sz w:val="16"/>
      <w:szCs w:val="16"/>
    </w:rPr>
  </w:style>
  <w:style w:styleId="style252" w:type="character">
    <w:name w:val="Text bubliny Char17"/>
    <w:basedOn w:val="style15"/>
    <w:next w:val="style252"/>
    <w:rPr>
      <w:rFonts w:ascii="Tahoma" w:cs="Tahoma" w:hAnsi="Tahoma"/>
      <w:sz w:val="16"/>
      <w:szCs w:val="16"/>
    </w:rPr>
  </w:style>
  <w:style w:styleId="style253" w:type="character">
    <w:name w:val="Text bubliny Char16"/>
    <w:basedOn w:val="style15"/>
    <w:next w:val="style253"/>
    <w:rPr>
      <w:rFonts w:ascii="Tahoma" w:cs="Tahoma" w:hAnsi="Tahoma"/>
      <w:sz w:val="16"/>
      <w:szCs w:val="16"/>
    </w:rPr>
  </w:style>
  <w:style w:styleId="style254" w:type="character">
    <w:name w:val="Text bubliny Char15"/>
    <w:basedOn w:val="style15"/>
    <w:next w:val="style254"/>
    <w:rPr>
      <w:rFonts w:ascii="Tahoma" w:cs="Tahoma" w:hAnsi="Tahoma"/>
      <w:sz w:val="16"/>
      <w:szCs w:val="16"/>
    </w:rPr>
  </w:style>
  <w:style w:styleId="style255" w:type="character">
    <w:name w:val="Text bubliny Char14"/>
    <w:basedOn w:val="style15"/>
    <w:next w:val="style255"/>
    <w:rPr>
      <w:rFonts w:ascii="Tahoma" w:cs="Tahoma" w:hAnsi="Tahoma"/>
      <w:sz w:val="16"/>
      <w:szCs w:val="16"/>
    </w:rPr>
  </w:style>
  <w:style w:styleId="style256" w:type="character">
    <w:name w:val="Text bubliny Char13"/>
    <w:basedOn w:val="style15"/>
    <w:next w:val="style256"/>
    <w:rPr>
      <w:rFonts w:ascii="Tahoma" w:cs="Tahoma" w:hAnsi="Tahoma"/>
      <w:sz w:val="16"/>
      <w:szCs w:val="16"/>
    </w:rPr>
  </w:style>
  <w:style w:styleId="style257" w:type="character">
    <w:name w:val="Text bubliny Char12"/>
    <w:basedOn w:val="style15"/>
    <w:next w:val="style257"/>
    <w:rPr>
      <w:rFonts w:ascii="Tahoma" w:cs="Tahoma" w:hAnsi="Tahoma"/>
      <w:sz w:val="16"/>
      <w:szCs w:val="16"/>
    </w:rPr>
  </w:style>
  <w:style w:styleId="style258" w:type="character">
    <w:name w:val="Text bubliny Char11"/>
    <w:basedOn w:val="style15"/>
    <w:next w:val="style258"/>
    <w:rPr>
      <w:rFonts w:ascii="Tahoma" w:cs="Tahoma" w:hAnsi="Tahoma"/>
      <w:sz w:val="16"/>
      <w:szCs w:val="16"/>
    </w:rPr>
  </w:style>
  <w:style w:styleId="style259" w:type="character">
    <w:name w:val="ListLabel 1"/>
    <w:next w:val="style259"/>
    <w:rPr>
      <w:rFonts w:cs="Times New Roman"/>
    </w:rPr>
  </w:style>
  <w:style w:styleId="style260" w:type="character">
    <w:name w:val="ListLabel 2"/>
    <w:next w:val="style260"/>
    <w:rPr>
      <w:rFonts w:eastAsia="Times New Roman"/>
    </w:rPr>
  </w:style>
  <w:style w:styleId="style261" w:type="character">
    <w:name w:val="ListLabel 3"/>
    <w:next w:val="style261"/>
    <w:rPr>
      <w:rFonts w:cs="Times New Roman"/>
      <w:b w:val="false"/>
      <w:i w:val="false"/>
      <w:sz w:val="22"/>
      <w:szCs w:val="22"/>
    </w:rPr>
  </w:style>
  <w:style w:styleId="style262" w:type="character">
    <w:name w:val="ListLabel 4"/>
    <w:next w:val="style262"/>
    <w:rPr>
      <w:rFonts w:cs="Times New Roman"/>
      <w:b w:val="false"/>
    </w:rPr>
  </w:style>
  <w:style w:styleId="style263" w:type="paragraph">
    <w:name w:val="Nadpis"/>
    <w:basedOn w:val="style0"/>
    <w:next w:val="style264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64" w:type="paragraph">
    <w:name w:val="Telo textu"/>
    <w:basedOn w:val="style0"/>
    <w:next w:val="style264"/>
    <w:pPr>
      <w:spacing w:after="0" w:before="0" w:line="100" w:lineRule="atLeast"/>
      <w:contextualSpacing w:val="false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styleId="style265" w:type="paragraph">
    <w:name w:val="Zoznam"/>
    <w:basedOn w:val="style264"/>
    <w:next w:val="style265"/>
    <w:pPr/>
    <w:rPr>
      <w:rFonts w:cs="Mangal"/>
    </w:rPr>
  </w:style>
  <w:style w:styleId="style266" w:type="paragraph">
    <w:name w:val="Popis"/>
    <w:basedOn w:val="style0"/>
    <w:next w:val="style266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67" w:type="paragraph">
    <w:name w:val="Index"/>
    <w:basedOn w:val="style0"/>
    <w:next w:val="style267"/>
    <w:pPr>
      <w:suppressLineNumbers/>
    </w:pPr>
    <w:rPr>
      <w:rFonts w:cs="Mangal"/>
    </w:rPr>
  </w:style>
  <w:style w:styleId="style268" w:type="paragraph">
    <w:name w:val="Hlavička"/>
    <w:basedOn w:val="style0"/>
    <w:next w:val="style268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69" w:type="paragraph">
    <w:name w:val="Päta"/>
    <w:basedOn w:val="style0"/>
    <w:next w:val="style269"/>
    <w:pPr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70" w:type="paragraph">
    <w:name w:val="footnote text"/>
    <w:basedOn w:val="style0"/>
    <w:next w:val="style270"/>
    <w:pPr>
      <w:spacing w:after="0" w:before="0" w:line="100" w:lineRule="atLeast"/>
      <w:contextualSpacing w:val="false"/>
    </w:pPr>
    <w:rPr>
      <w:rFonts w:ascii="Times New Roman" w:hAnsi="Times New Roman"/>
      <w:sz w:val="20"/>
      <w:szCs w:val="20"/>
      <w:lang w:eastAsia="cs-CZ"/>
    </w:rPr>
  </w:style>
  <w:style w:styleId="style271" w:type="paragraph">
    <w:name w:val="Názov"/>
    <w:basedOn w:val="style0"/>
    <w:next w:val="style271"/>
    <w:pPr>
      <w:keepNext/>
      <w:spacing w:after="220" w:before="28" w:line="100" w:lineRule="atLeast"/>
      <w:contextualSpacing w:val="false"/>
      <w:jc w:val="center"/>
    </w:pPr>
    <w:rPr>
      <w:b/>
      <w:bCs/>
      <w:sz w:val="32"/>
      <w:szCs w:val="32"/>
    </w:rPr>
  </w:style>
  <w:style w:styleId="style272" w:type="paragraph">
    <w:name w:val="Podnázov"/>
    <w:basedOn w:val="style0"/>
    <w:next w:val="style272"/>
    <w:pPr>
      <w:spacing w:after="60" w:before="0" w:line="100" w:lineRule="atLeast"/>
      <w:contextualSpacing w:val="false"/>
      <w:jc w:val="center"/>
    </w:pPr>
    <w:rPr>
      <w:rFonts w:ascii="Cambria" w:hAnsi="Cambria"/>
      <w:sz w:val="24"/>
      <w:szCs w:val="24"/>
    </w:rPr>
  </w:style>
  <w:style w:styleId="style273" w:type="paragraph">
    <w:name w:val="Body Text 2"/>
    <w:basedOn w:val="style0"/>
    <w:next w:val="style273"/>
    <w:pPr>
      <w:spacing w:after="0" w:before="0" w:line="100" w:lineRule="atLeast"/>
      <w:ind w:hanging="2124" w:left="2124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4" w:type="paragraph">
    <w:name w:val="Body Text Indent 2"/>
    <w:basedOn w:val="style0"/>
    <w:next w:val="style274"/>
    <w:pPr>
      <w:spacing w:after="0" w:before="0" w:line="100" w:lineRule="atLeast"/>
      <w:ind w:firstLine="708" w:left="0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5" w:type="paragraph">
    <w:name w:val="Body Text Indent 3"/>
    <w:basedOn w:val="style0"/>
    <w:next w:val="style275"/>
    <w:pPr>
      <w:spacing w:after="0" w:before="0" w:line="100" w:lineRule="atLeast"/>
      <w:ind w:firstLine="708" w:left="708" w:right="0"/>
      <w:contextualSpacing w:val="false"/>
      <w:jc w:val="both"/>
    </w:pPr>
    <w:rPr>
      <w:rFonts w:ascii="Times New Roman" w:hAnsi="Times New Roman"/>
      <w:sz w:val="24"/>
      <w:szCs w:val="24"/>
      <w:lang w:eastAsia="cs-CZ"/>
    </w:rPr>
  </w:style>
  <w:style w:styleId="style276" w:type="paragraph">
    <w:name w:val="Balloon Text"/>
    <w:basedOn w:val="style0"/>
    <w:next w:val="style276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  <w:lang w:eastAsia="cs-CZ"/>
    </w:rPr>
  </w:style>
  <w:style w:styleId="style277" w:type="paragraph">
    <w:name w:val="List Paragraph"/>
    <w:basedOn w:val="style0"/>
    <w:next w:val="style277"/>
    <w:pPr>
      <w:spacing w:after="200" w:before="0"/>
      <w:ind w:hanging="0" w:left="720" w:right="0"/>
      <w:contextualSpacing/>
    </w:pPr>
    <w:rPr/>
  </w:style>
  <w:style w:styleId="style278" w:type="paragraph">
    <w:name w:val="Top Header"/>
    <w:basedOn w:val="style0"/>
    <w:next w:val="style278"/>
    <w:pPr>
      <w:spacing w:after="0" w:before="0" w:line="100" w:lineRule="atLeast"/>
      <w:contextualSpacing w:val="false"/>
      <w:jc w:val="center"/>
    </w:pPr>
    <w:rPr>
      <w:b/>
      <w:bCs/>
      <w:sz w:val="22"/>
      <w:szCs w:val="22"/>
    </w:rPr>
  </w:style>
  <w:style w:styleId="style279" w:type="paragraph">
    <w:name w:val="Normal (Web)"/>
    <w:basedOn w:val="style0"/>
    <w:next w:val="style279"/>
    <w:pPr>
      <w:spacing w:after="28" w:before="28" w:line="100" w:lineRule="atLeast"/>
      <w:contextualSpacing w:val="false"/>
    </w:pPr>
    <w:rPr>
      <w:rFonts w:ascii="Times New Roman" w:cs="" w:hAnsi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2014-02-27T09:39:00.00Z</dcterms:created>
  <dc:creator>Matulova Silvia</dc:creator>
  <cp:lastModifiedBy>PROFINAM</cp:lastModifiedBy>
  <cp:lastPrinted>2014-01-02T14:54:00.00Z</cp:lastPrinted>
  <dcterms:modified xsi:type="dcterms:W3CDTF">2014-02-27T09:39:00.00Z</dcterms:modified>
  <cp:revision>2</cp:revision>
</cp:coreProperties>
</file>