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4EB9" w:rsidRDefault="00294EB9">
      <w:pPr>
        <w:jc w:val="center"/>
        <w:rPr>
          <w:rFonts w:cs="Arial"/>
          <w:b/>
          <w:sz w:val="24"/>
        </w:rPr>
      </w:pPr>
    </w:p>
    <w:p w:rsidR="00294EB9" w:rsidRDefault="00D224E4">
      <w:pPr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Poznámky k účtovnej závierke</w:t>
      </w:r>
    </w:p>
    <w:p w:rsidR="00294EB9" w:rsidRDefault="00D224E4">
      <w:pPr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zostavenej k 31. decembru 2013</w:t>
      </w:r>
    </w:p>
    <w:p w:rsidR="00294EB9" w:rsidRDefault="00294EB9">
      <w:pPr>
        <w:jc w:val="both"/>
        <w:rPr>
          <w:rFonts w:cs="Arial"/>
        </w:rPr>
      </w:pPr>
    </w:p>
    <w:p w:rsidR="00294EB9" w:rsidRDefault="00294EB9">
      <w:pPr>
        <w:jc w:val="both"/>
        <w:rPr>
          <w:rFonts w:cs="Arial"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A.</w:t>
      </w:r>
      <w:r>
        <w:rPr>
          <w:rFonts w:cs="Arial"/>
          <w:b/>
        </w:rPr>
        <w:tab/>
        <w:t>ZÁKLADNÉ INFORMÁCIE</w:t>
      </w:r>
    </w:p>
    <w:p w:rsidR="00294EB9" w:rsidRDefault="00294EB9">
      <w:pPr>
        <w:jc w:val="both"/>
        <w:rPr>
          <w:rFonts w:cs="Arial"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a)</w:t>
      </w:r>
      <w:r>
        <w:rPr>
          <w:rFonts w:cs="Arial"/>
          <w:b/>
        </w:rPr>
        <w:tab/>
        <w:t>Obchodné meno a sídlo spoločnosti</w:t>
      </w:r>
    </w:p>
    <w:p w:rsidR="00294EB9" w:rsidRDefault="00294EB9">
      <w:pPr>
        <w:tabs>
          <w:tab w:val="left" w:pos="1560"/>
        </w:tabs>
        <w:jc w:val="both"/>
        <w:rPr>
          <w:rFonts w:cs="Arial"/>
        </w:rPr>
      </w:pPr>
    </w:p>
    <w:p w:rsidR="00294EB9" w:rsidRDefault="00D224E4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Obchodné meno:</w:t>
      </w:r>
      <w:r>
        <w:rPr>
          <w:rFonts w:cs="Arial"/>
        </w:rPr>
        <w:tab/>
        <w:t>SAMPI, a.s.</w:t>
      </w:r>
    </w:p>
    <w:p w:rsidR="00294EB9" w:rsidRDefault="00D224E4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Sídlo:</w:t>
      </w:r>
      <w:r>
        <w:rPr>
          <w:rFonts w:cs="Arial"/>
        </w:rPr>
        <w:tab/>
        <w:t xml:space="preserve">Boženy </w:t>
      </w:r>
      <w:proofErr w:type="spellStart"/>
      <w:r>
        <w:rPr>
          <w:rFonts w:cs="Arial"/>
        </w:rPr>
        <w:t>Němcovej</w:t>
      </w:r>
      <w:proofErr w:type="spellEnd"/>
      <w:r>
        <w:rPr>
          <w:rFonts w:cs="Arial"/>
        </w:rPr>
        <w:t xml:space="preserve"> 1004/8</w:t>
      </w:r>
    </w:p>
    <w:p w:rsidR="00294EB9" w:rsidRDefault="00D224E4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IČO:</w:t>
      </w:r>
      <w:r>
        <w:rPr>
          <w:rFonts w:cs="Arial"/>
        </w:rPr>
        <w:tab/>
        <w:t>47 343 711</w:t>
      </w:r>
    </w:p>
    <w:p w:rsidR="00294EB9" w:rsidRDefault="00D224E4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IČ DPH:</w:t>
      </w:r>
      <w:r>
        <w:rPr>
          <w:rFonts w:cs="Arial"/>
        </w:rPr>
        <w:tab/>
        <w:t>SK2023819028</w:t>
      </w:r>
    </w:p>
    <w:p w:rsidR="00294EB9" w:rsidRDefault="00294EB9">
      <w:pPr>
        <w:tabs>
          <w:tab w:val="left" w:pos="1560"/>
        </w:tabs>
        <w:jc w:val="both"/>
        <w:rPr>
          <w:rFonts w:cs="Arial"/>
        </w:rPr>
      </w:pPr>
    </w:p>
    <w:p w:rsidR="00294EB9" w:rsidRDefault="00D224E4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 xml:space="preserve">Spoločnosť SAMPI, a.s. (ďalej len „Spoločnosť) bola založená 26. Júla 2013 do Obchodného registra bola zapísaná 26.júla 2013 (Obchodný register Okresného súdu Bratislava I, oddiel Sa, vložka číslo 5808/B). </w:t>
      </w:r>
    </w:p>
    <w:p w:rsidR="00294EB9" w:rsidRDefault="00294EB9">
      <w:pPr>
        <w:jc w:val="both"/>
        <w:rPr>
          <w:rFonts w:cs="Arial"/>
        </w:rPr>
      </w:pPr>
    </w:p>
    <w:p w:rsidR="00294EB9" w:rsidRDefault="00294EB9">
      <w:pPr>
        <w:jc w:val="both"/>
        <w:rPr>
          <w:rFonts w:cs="Arial"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Hlavné činnosti Spoločnosti podľa výpisu z Obchodného registra:</w:t>
      </w:r>
    </w:p>
    <w:p w:rsidR="00294EB9" w:rsidRDefault="00294EB9">
      <w:pPr>
        <w:jc w:val="both"/>
        <w:rPr>
          <w:rFonts w:cs="Arial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jednoduchých výrobkov z kovu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opracovanie kovu jednoduchým spôsobom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a hutnícke spracovanie kovov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radiátorov a kotlov ústredného kúrenia, pecí a horákov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čerpadiel, kompresorov, ventilov a armatúr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zdvíhacích a manipulačných zariadení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chladiacich, ventilačných a filtračných zariadení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strojov pre hospodárske odvetvia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strojov a prístrojov pre domácnosť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elektromotorov, rozvádzačov, káblov a batérií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elektrických svietidiel, zariadení pre motory a vozidlá a signalizácie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komunikačných zariadení, spotrebnej elektroniky, počítačov a kancelárskych strojov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meracích, kontrolných, testovacích, navigačných, optických a fotografických prístrojov a zariadení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výroba motorových vozidiel, motorov, dopravných prostriedkov, dielov a príslušenstva pre motorové vozidlá a iné dopravné prostriedky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prípravné práce k realizácii stavby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uskutočňovanie stavieb a ich zmien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dokončovacie stavebné práce pri realizácii exteriérov a interiérov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sprostredkovateľská činnosť v oblasti obchodu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sprostredkovateľská činnosť v oblasti služieb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sprostredkovateľská činnosť v oblasti výroby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údržba motorových vozidiel bez zásahu do motorickej časti vozidla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oprava a údržba potrieb pre domácnosť, športových potrieb a výrobkov jemnej mechaniky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</w:tbl>
    <w:p w:rsidR="00294EB9" w:rsidRDefault="00294EB9">
      <w:pPr>
        <w:rPr>
          <w:rFonts w:cs="Arial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53"/>
        <w:gridCol w:w="2990"/>
        <w:gridCol w:w="74"/>
      </w:tblGrid>
      <w:tr w:rsidR="00294EB9">
        <w:trPr>
          <w:gridAfter w:val="1"/>
          <w:wAfter w:w="29" w:type="dxa"/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prenájom nehnuteľností spojený s poskytovaním iných než základných </w:t>
            </w:r>
            <w:r>
              <w:rPr>
                <w:rFonts w:cs="Arial"/>
              </w:rPr>
              <w:lastRenderedPageBreak/>
              <w:t xml:space="preserve">služieb spojených s prenájmom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gridAfter w:val="1"/>
          <w:wAfter w:w="29" w:type="dxa"/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 xml:space="preserve">prenájom hnuteľných vecí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gridAfter w:val="1"/>
          <w:wAfter w:w="29" w:type="dxa"/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administratívne služby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gridAfter w:val="1"/>
          <w:wAfter w:w="29" w:type="dxa"/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činnosť podnikateľských, organizačných a ekonomických poradcov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gridAfter w:val="1"/>
          <w:wAfter w:w="29" w:type="dxa"/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vedenie účtovníctva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gridAfter w:val="1"/>
          <w:wAfter w:w="29" w:type="dxa"/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reklamné a marketingové služby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gridAfter w:val="1"/>
          <w:wAfter w:w="29" w:type="dxa"/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gridAfter w:val="1"/>
          <w:wAfter w:w="29" w:type="dxa"/>
          <w:tblCellSpacing w:w="15" w:type="dxa"/>
        </w:trPr>
        <w:tc>
          <w:tcPr>
            <w:tcW w:w="3317" w:type="pct"/>
            <w:vAlign w:val="center"/>
          </w:tcPr>
          <w:p w:rsidR="00294EB9" w:rsidRDefault="00D224E4">
            <w:pPr>
              <w:rPr>
                <w:rFonts w:cs="Arial"/>
              </w:rPr>
            </w:pPr>
            <w:proofErr w:type="spellStart"/>
            <w:r>
              <w:rPr>
                <w:rFonts w:cs="Arial"/>
              </w:rPr>
              <w:t>factoring</w:t>
            </w:r>
            <w:proofErr w:type="spellEnd"/>
            <w:r>
              <w:rPr>
                <w:rFonts w:cs="Arial"/>
              </w:rPr>
              <w:t xml:space="preserve"> a </w:t>
            </w:r>
            <w:proofErr w:type="spellStart"/>
            <w:r>
              <w:rPr>
                <w:rFonts w:cs="Arial"/>
              </w:rPr>
              <w:t>forfaiting</w:t>
            </w:r>
            <w:proofErr w:type="spellEnd"/>
            <w:r>
              <w:rPr>
                <w:rFonts w:cs="Arial"/>
              </w:rPr>
              <w:t xml:space="preserve"> </w:t>
            </w:r>
          </w:p>
        </w:tc>
        <w:tc>
          <w:tcPr>
            <w:tcW w:w="1634" w:type="pct"/>
          </w:tcPr>
          <w:p w:rsidR="00294EB9" w:rsidRDefault="00294EB9">
            <w:pPr>
              <w:rPr>
                <w:rFonts w:cs="Arial"/>
              </w:rPr>
            </w:pPr>
          </w:p>
        </w:tc>
      </w:tr>
      <w:tr w:rsidR="00294EB9">
        <w:trPr>
          <w:tblCellSpacing w:w="15" w:type="dxa"/>
        </w:trPr>
        <w:tc>
          <w:tcPr>
            <w:tcW w:w="4967" w:type="pct"/>
            <w:gridSpan w:val="3"/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 xml:space="preserve">finančný leasing </w:t>
            </w:r>
          </w:p>
        </w:tc>
      </w:tr>
    </w:tbl>
    <w:p w:rsidR="00294EB9" w:rsidRDefault="00294EB9">
      <w:pPr>
        <w:jc w:val="both"/>
        <w:rPr>
          <w:rFonts w:cs="Arial"/>
        </w:rPr>
      </w:pPr>
    </w:p>
    <w:p w:rsidR="00294EB9" w:rsidRDefault="00294EB9">
      <w:pPr>
        <w:jc w:val="both"/>
        <w:rPr>
          <w:rFonts w:cs="Arial"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Počet zamestnancov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Pr="00D224E4" w:rsidRDefault="00D224E4">
      <w:pPr>
        <w:rPr>
          <w:color w:val="000000"/>
          <w:sz w:val="22"/>
          <w:szCs w:val="22"/>
        </w:rPr>
      </w:pPr>
      <w:r w:rsidRPr="00D224E4">
        <w:rPr>
          <w:color w:val="000000"/>
          <w:sz w:val="22"/>
          <w:szCs w:val="22"/>
        </w:rPr>
        <w:t xml:space="preserve">Spoločnosť nemá zamestnancov. 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Pr="00D224E4" w:rsidRDefault="00D224E4">
      <w:pPr>
        <w:tabs>
          <w:tab w:val="left" w:pos="426"/>
        </w:tabs>
        <w:jc w:val="both"/>
        <w:rPr>
          <w:rFonts w:cs="Arial"/>
          <w:b/>
        </w:rPr>
      </w:pPr>
      <w:r w:rsidRPr="00D224E4">
        <w:rPr>
          <w:rFonts w:cs="Arial"/>
          <w:b/>
        </w:rPr>
        <w:t>d)</w:t>
      </w:r>
      <w:r w:rsidRPr="00D224E4">
        <w:rPr>
          <w:rFonts w:cs="Arial"/>
          <w:b/>
        </w:rPr>
        <w:tab/>
      </w:r>
      <w:r w:rsidRPr="00D224E4">
        <w:rPr>
          <w:rFonts w:cs="Arial"/>
        </w:rPr>
        <w:t>Spoločnosť nie je neobmedzene ručiacim spoločníkom v iných účtovných jednotkách.</w:t>
      </w:r>
    </w:p>
    <w:p w:rsidR="00294EB9" w:rsidRDefault="00294EB9"/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e)</w:t>
      </w:r>
      <w:r>
        <w:rPr>
          <w:rFonts w:cs="Arial"/>
          <w:b/>
        </w:rPr>
        <w:tab/>
        <w:t>Právny dôvod na zostavenie účtovnej závierky</w:t>
      </w:r>
    </w:p>
    <w:p w:rsidR="00294EB9" w:rsidRDefault="00294EB9"/>
    <w:p w:rsidR="00294EB9" w:rsidRDefault="00D224E4">
      <w:pPr>
        <w:jc w:val="both"/>
      </w:pPr>
      <w:r>
        <w:t xml:space="preserve">Účtovná závierka Spoločnosti k 31. decembru 2013 je zostavená ako riadna účtovná závierka podľa § 17 ods. 6 zákona NR SR č. 431/2022 </w:t>
      </w:r>
      <w:proofErr w:type="spellStart"/>
      <w:r>
        <w:t>Z.z</w:t>
      </w:r>
      <w:proofErr w:type="spellEnd"/>
      <w:r>
        <w:t>. o účtovníctve (ďalej len „zákon o účtovníctve“) a nadväzujúcich postupov účtovania za obdobie od 26. Júla 2013 do 31. decembra 2013.</w:t>
      </w:r>
    </w:p>
    <w:p w:rsidR="00294EB9" w:rsidRDefault="00294EB9"/>
    <w:p w:rsidR="00294EB9" w:rsidRPr="00D224E4" w:rsidRDefault="00294EB9"/>
    <w:p w:rsidR="00294EB9" w:rsidRPr="00D224E4" w:rsidRDefault="00D224E4">
      <w:pPr>
        <w:tabs>
          <w:tab w:val="left" w:pos="426"/>
        </w:tabs>
        <w:jc w:val="both"/>
        <w:rPr>
          <w:rFonts w:cs="Arial"/>
          <w:b/>
        </w:rPr>
      </w:pPr>
      <w:r w:rsidRPr="00D224E4">
        <w:rPr>
          <w:rFonts w:cs="Arial"/>
          <w:b/>
        </w:rPr>
        <w:t>f)</w:t>
      </w:r>
      <w:r w:rsidRPr="00D224E4">
        <w:rPr>
          <w:rFonts w:cs="Arial"/>
          <w:b/>
        </w:rPr>
        <w:tab/>
        <w:t>Dátum schválenia účtovnej závierky za predchádzajúce účtovné obdobie</w:t>
      </w:r>
    </w:p>
    <w:p w:rsidR="00294EB9" w:rsidRPr="00D224E4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Pr="00D224E4" w:rsidRDefault="00D224E4">
      <w:pPr>
        <w:tabs>
          <w:tab w:val="left" w:pos="426"/>
        </w:tabs>
        <w:jc w:val="both"/>
        <w:rPr>
          <w:rFonts w:cs="Arial"/>
        </w:rPr>
      </w:pPr>
      <w:r w:rsidRPr="00D224E4">
        <w:rPr>
          <w:rFonts w:cs="Arial"/>
        </w:rPr>
        <w:t>Spoločnosť vznikla 26.0</w:t>
      </w:r>
      <w:r w:rsidR="00D75B04">
        <w:rPr>
          <w:rFonts w:cs="Arial"/>
        </w:rPr>
        <w:t>7</w:t>
      </w:r>
      <w:r w:rsidRPr="00D224E4">
        <w:rPr>
          <w:rFonts w:cs="Arial"/>
        </w:rPr>
        <w:t>.2013, z toho dôvodu nemá hospodársky výsledok za predchádzajúce účtovné obdobie.</w:t>
      </w:r>
    </w:p>
    <w:p w:rsidR="00294EB9" w:rsidRPr="00D224E4" w:rsidRDefault="00294EB9">
      <w:pPr>
        <w:rPr>
          <w:color w:val="FF0000"/>
        </w:rPr>
      </w:pP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B.</w:t>
      </w:r>
      <w:r>
        <w:rPr>
          <w:rFonts w:cs="Arial"/>
          <w:b/>
        </w:rPr>
        <w:tab/>
        <w:t>KONSOLIDOVANÝ CELOK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r>
        <w:t>Spoločnosť nie je súčasťou konsolidovaného celku.</w:t>
      </w:r>
    </w:p>
    <w:p w:rsidR="00294EB9" w:rsidRDefault="00294EB9">
      <w:pPr>
        <w:jc w:val="both"/>
      </w:pP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C.</w:t>
      </w:r>
      <w:r>
        <w:rPr>
          <w:rFonts w:cs="Arial"/>
          <w:b/>
        </w:rPr>
        <w:tab/>
        <w:t xml:space="preserve">ĎALŠIE INFORMÁCIE 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D.</w:t>
      </w:r>
      <w:r>
        <w:rPr>
          <w:rFonts w:cs="Arial"/>
          <w:b/>
        </w:rPr>
        <w:tab/>
        <w:t xml:space="preserve">POUŽITÉ ÚČTOVNÉ ZÁSADY A ÚČTOVNÉ METÓDY </w:t>
      </w:r>
    </w:p>
    <w:p w:rsidR="00294EB9" w:rsidRDefault="00294EB9">
      <w:pPr>
        <w:tabs>
          <w:tab w:val="left" w:pos="426"/>
        </w:tabs>
        <w:jc w:val="both"/>
      </w:pPr>
    </w:p>
    <w:p w:rsidR="00294EB9" w:rsidRPr="00D224E4" w:rsidRDefault="00D224E4">
      <w:pPr>
        <w:tabs>
          <w:tab w:val="left" w:pos="426"/>
        </w:tabs>
        <w:jc w:val="both"/>
        <w:rPr>
          <w:rFonts w:cs="Arial"/>
        </w:rPr>
      </w:pPr>
      <w:r w:rsidRPr="00D224E4">
        <w:rPr>
          <w:rFonts w:cs="Arial"/>
          <w:b/>
        </w:rPr>
        <w:t>a)</w:t>
      </w:r>
      <w:r w:rsidRPr="00D224E4">
        <w:rPr>
          <w:rFonts w:cs="Arial"/>
          <w:b/>
        </w:rPr>
        <w:tab/>
        <w:t>Východiská pre zostavenie účtovnej závierky</w:t>
      </w:r>
    </w:p>
    <w:p w:rsidR="00294EB9" w:rsidRPr="00D224E4" w:rsidRDefault="00294EB9"/>
    <w:p w:rsidR="00294EB9" w:rsidRPr="00D224E4" w:rsidRDefault="00D224E4">
      <w:pPr>
        <w:jc w:val="both"/>
      </w:pPr>
      <w:r w:rsidRPr="00D224E4">
        <w:t>Účtovná závierka Spoločnosti bola zostavená za predpokladu nepretržitého trvania jej činnosti v súlade so zákonom o účtovníctve platným v Slovenskej republike a nadväzujúcimi postupmi účtovania.</w:t>
      </w:r>
    </w:p>
    <w:p w:rsidR="00294EB9" w:rsidRPr="00D224E4" w:rsidRDefault="00294EB9">
      <w:pPr>
        <w:jc w:val="both"/>
      </w:pPr>
    </w:p>
    <w:p w:rsidR="00294EB9" w:rsidRPr="00D224E4" w:rsidRDefault="00D224E4">
      <w:pPr>
        <w:tabs>
          <w:tab w:val="left" w:pos="426"/>
        </w:tabs>
        <w:jc w:val="both"/>
        <w:rPr>
          <w:rFonts w:cs="Arial"/>
        </w:rPr>
      </w:pPr>
      <w:r w:rsidRPr="00D224E4">
        <w:rPr>
          <w:rFonts w:cs="Arial"/>
          <w:b/>
        </w:rPr>
        <w:t>b)</w:t>
      </w:r>
      <w:r w:rsidRPr="00D224E4">
        <w:rPr>
          <w:rFonts w:cs="Arial"/>
          <w:b/>
        </w:rPr>
        <w:tab/>
        <w:t>Účtovné zásady a účtovné metódy</w:t>
      </w:r>
    </w:p>
    <w:p w:rsidR="00294EB9" w:rsidRPr="00D224E4" w:rsidRDefault="00294EB9"/>
    <w:p w:rsidR="00294EB9" w:rsidRPr="00D224E4" w:rsidRDefault="00D224E4">
      <w:pPr>
        <w:jc w:val="both"/>
      </w:pPr>
      <w:r w:rsidRPr="00D224E4">
        <w:t>Účtovné metódy a všeobecné účtovné zásady Spoločnosť aplikovala konzistentne s predchádzajúcim účtovným obdobím.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Oceňovanie jednotlivých zložiek majetku a záväzkov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1.</w:t>
      </w:r>
      <w:r>
        <w:rPr>
          <w:rFonts w:cs="Arial"/>
          <w:b/>
        </w:rPr>
        <w:tab/>
        <w:t>Dlhodobý nehmotný majetok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Za dlhodobý nehmotný majetok sa považuje nehmotný majetok, ktorého doba použiteľnosti je dlhšia ako jeden rok a obstarávacia cena, reprodukčná obstarávacia cena, príp. vlastné náklady sú vyššie ako 2 400 EUR a technické zhodnotenie plne odpísaného nehmotného majetku vyššie ako 1 700 EUR.</w:t>
      </w:r>
    </w:p>
    <w:p w:rsidR="00294EB9" w:rsidRDefault="00D224E4">
      <w:pPr>
        <w:jc w:val="both"/>
      </w:pPr>
      <w:r>
        <w:t>Dlhodobý nehmotný majetok s ocenením do 2 400 EUR v jednotlivých prípadoch sa účtuje pri zaradení do užívania na ostatné služby a nesleduje sa v operatívnej evidencii.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</w:rPr>
      </w:pPr>
      <w:r>
        <w:rPr>
          <w:rFonts w:cs="Arial"/>
        </w:rPr>
        <w:t>1.a)</w:t>
      </w:r>
      <w:r>
        <w:rPr>
          <w:rFonts w:cs="Arial"/>
        </w:rPr>
        <w:tab/>
        <w:t>Dlhodobý nehmotný majetok obstaraný kúpou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t>Dlhodobý nehmotný majetok nakupovaný sa oceňuje obstarávacou cenou, ktorá zahrňuje cenu, za ktorú sa majetok obstaral a náklady súvisiace s obstaraním (napr. inštalácia a pod.)</w:t>
      </w:r>
    </w:p>
    <w:p w:rsidR="00294EB9" w:rsidRDefault="00294EB9">
      <w:pPr>
        <w:jc w:val="both"/>
      </w:pP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2.</w:t>
      </w:r>
      <w:r>
        <w:rPr>
          <w:rFonts w:cs="Arial"/>
          <w:b/>
        </w:rPr>
        <w:tab/>
        <w:t>Dlhodobý hmotný majetok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Za dlhodobý hmotný majetok sa považuje hmotný majetok, ktorého doba použiteľnosti je dlhšia ako jeden rok a obstarávacia cena, reprodukčná obstarávacia cena, príp. vlastné náklady sú vyššie ako 1 700 EUR.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</w:rPr>
      </w:pPr>
      <w:r>
        <w:rPr>
          <w:rFonts w:cs="Arial"/>
        </w:rPr>
        <w:t>2.a)</w:t>
      </w:r>
      <w:r>
        <w:rPr>
          <w:rFonts w:cs="Arial"/>
        </w:rPr>
        <w:tab/>
        <w:t>Dlhodobý hmotný majetok obstaraný kúpou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Dlhodobý hmotný majetok nakupovaný sa oceňuje obstarávacou cenou, ktorá zahrňuje cenu, za ktorú sa majetok obstaral a náklady súvisiace s obstaraním (clo, preprava, montáž, poistné a pod.). Súčasťou nákladov súvisiacich s obstaraním dlhodobého hmotného majetku nie sú úroky a kurzové rozdiely.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3.</w:t>
      </w:r>
      <w:r>
        <w:rPr>
          <w:rFonts w:cs="Arial"/>
          <w:b/>
        </w:rPr>
        <w:tab/>
        <w:t>Zásoby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</w:rPr>
      </w:pPr>
      <w:r>
        <w:rPr>
          <w:rFonts w:cs="Arial"/>
        </w:rPr>
        <w:t>3.a)</w:t>
      </w:r>
      <w:r>
        <w:rPr>
          <w:rFonts w:cs="Arial"/>
        </w:rPr>
        <w:tab/>
        <w:t>Zásoby obstarané kúpou</w:t>
      </w:r>
    </w:p>
    <w:p w:rsidR="00294EB9" w:rsidRDefault="00294EB9">
      <w:pPr>
        <w:jc w:val="both"/>
      </w:pPr>
    </w:p>
    <w:p w:rsidR="00294EB9" w:rsidRDefault="00D224E4">
      <w:pPr>
        <w:jc w:val="both"/>
        <w:rPr>
          <w:rFonts w:cs="Arial"/>
        </w:rPr>
      </w:pPr>
      <w:r>
        <w:rPr>
          <w:rFonts w:cs="Arial"/>
        </w:rPr>
        <w:t>Zásoby nakupované sa oceňujú obstarávacou cenou, ktorá zahrňuje cenu, za ktorú sa zásoby obstarali a náklady súvisiace s obstaraním (clo, preprava, poistné, provízie a pod.) znížené o zľavy z ceny. Zľava z ceny poskytnutá k už predaným alebo spotrebovaným zásobám sa účtuje ako zníženie nákladov na predané alebo spotrebované zásoby. Spoločnosť účtuje o zásobách spôsobom B.</w:t>
      </w:r>
    </w:p>
    <w:p w:rsidR="00294EB9" w:rsidRDefault="00294EB9">
      <w:pPr>
        <w:jc w:val="both"/>
        <w:rPr>
          <w:rFonts w:cs="Arial"/>
        </w:rPr>
      </w:pPr>
    </w:p>
    <w:p w:rsidR="00294EB9" w:rsidRDefault="00D224E4">
      <w:pPr>
        <w:jc w:val="both"/>
        <w:rPr>
          <w:rFonts w:cs="Arial"/>
        </w:rPr>
      </w:pPr>
      <w:r>
        <w:rPr>
          <w:rFonts w:cs="Arial"/>
        </w:rPr>
        <w:t>Ak obstarávacia cena alebo vlastné náklady zásob sú vyššie ako ich čistá realizačná hodnota ku dňu, ku ktorému sa zostavuje účtovná závierka, vytvára sa opravná položka k zásobám vo výške rozdielu medzi ich ocenením v účtovníctve a ich čistou realizačnou hodnotou.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4.</w:t>
      </w:r>
      <w:r>
        <w:rPr>
          <w:rFonts w:cs="Arial"/>
          <w:b/>
        </w:rPr>
        <w:tab/>
        <w:t>Pohľadávky</w:t>
      </w:r>
    </w:p>
    <w:p w:rsidR="00294EB9" w:rsidRDefault="00294EB9">
      <w:pPr>
        <w:jc w:val="both"/>
      </w:pPr>
    </w:p>
    <w:p w:rsidR="00294EB9" w:rsidRDefault="00D224E4">
      <w:pPr>
        <w:jc w:val="both"/>
        <w:rPr>
          <w:rFonts w:cs="Arial"/>
        </w:rPr>
      </w:pPr>
      <w:r>
        <w:rPr>
          <w:rFonts w:cs="Arial"/>
        </w:rPr>
        <w:t>Pohľadávky sa pri ich vzniku oceňujú ich menovitou hodnotou; postúpené pohľadávky sa oceňujú obstarávacou cenou, t. j. vrátane nákladov súvisiacich s obstaraním. Opravná položka sa vytvára k pochybným a nedobytným pohľadávkam, kde existuje riziko nevymožiteľnosti pohľadávok.</w:t>
      </w:r>
    </w:p>
    <w:p w:rsidR="00294EB9" w:rsidRDefault="00294EB9">
      <w:pPr>
        <w:tabs>
          <w:tab w:val="left" w:pos="426"/>
        </w:tabs>
        <w:ind w:left="426" w:hanging="426"/>
        <w:jc w:val="both"/>
      </w:pPr>
    </w:p>
    <w:p w:rsidR="00294EB9" w:rsidRDefault="00D224E4">
      <w:pPr>
        <w:jc w:val="both"/>
        <w:rPr>
          <w:rFonts w:cs="Arial"/>
        </w:rPr>
      </w:pPr>
      <w:r>
        <w:rPr>
          <w:rFonts w:cs="Arial"/>
        </w:rPr>
        <w:t>Opravné položky k pohľadávkam voči dlžníkom v konkurznom konaní sa tvoria vo výške 100 % prihlásených pohľadávok.</w:t>
      </w:r>
    </w:p>
    <w:p w:rsidR="00294EB9" w:rsidRDefault="00294EB9">
      <w:pPr>
        <w:tabs>
          <w:tab w:val="left" w:pos="426"/>
        </w:tabs>
        <w:ind w:left="426" w:hanging="426"/>
        <w:jc w:val="both"/>
        <w:rPr>
          <w:rFonts w:cs="Arial"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5.</w:t>
      </w:r>
      <w:r>
        <w:rPr>
          <w:rFonts w:cs="Arial"/>
          <w:b/>
        </w:rPr>
        <w:tab/>
        <w:t>Finančné účty</w:t>
      </w:r>
    </w:p>
    <w:p w:rsidR="00294EB9" w:rsidRDefault="00294EB9">
      <w:pPr>
        <w:jc w:val="both"/>
      </w:pPr>
    </w:p>
    <w:p w:rsidR="00294EB9" w:rsidRDefault="00D224E4">
      <w:pPr>
        <w:jc w:val="both"/>
        <w:rPr>
          <w:rFonts w:cs="Arial"/>
        </w:rPr>
      </w:pPr>
      <w:r>
        <w:rPr>
          <w:rFonts w:cs="Arial"/>
        </w:rPr>
        <w:t>Finančné účty tvorí peňažná hotovosť a zostatky na bankových účtoch, pričom riziko zmeny hodnoty tohto majetku je zanedbateľne nízke.</w:t>
      </w:r>
    </w:p>
    <w:p w:rsidR="00294EB9" w:rsidRDefault="00294EB9">
      <w:pPr>
        <w:jc w:val="both"/>
        <w:rPr>
          <w:rFonts w:cs="Arial"/>
        </w:rPr>
      </w:pPr>
    </w:p>
    <w:p w:rsidR="00294EB9" w:rsidRDefault="00D224E4">
      <w:pPr>
        <w:jc w:val="both"/>
      </w:pPr>
      <w:r>
        <w:rPr>
          <w:rFonts w:cs="Arial"/>
        </w:rPr>
        <w:t>Peňažné prostriedky sa oceňujú menovitou hodnotou.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6.</w:t>
      </w:r>
      <w:r>
        <w:rPr>
          <w:rFonts w:cs="Arial"/>
          <w:b/>
        </w:rPr>
        <w:tab/>
        <w:t>Náklady budúcich období a príjmy budúcich období</w:t>
      </w:r>
    </w:p>
    <w:p w:rsidR="00294EB9" w:rsidRDefault="00294EB9">
      <w:pPr>
        <w:jc w:val="both"/>
      </w:pPr>
    </w:p>
    <w:p w:rsidR="00294EB9" w:rsidRDefault="00D224E4">
      <w:pPr>
        <w:jc w:val="both"/>
        <w:rPr>
          <w:rFonts w:cs="Arial"/>
        </w:rPr>
      </w:pPr>
      <w:r>
        <w:rPr>
          <w:rFonts w:cs="Arial"/>
        </w:rPr>
        <w:lastRenderedPageBreak/>
        <w:t>Náklady budúcich období sú vykázané vo výške, ktorá je potrebná na dodržanie zásady vecnej a časovej súvislosti s účtovným obdobím. O príjmoch budúcich období účtovná jednotka v roku 2013 neúčtovala.</w:t>
      </w:r>
    </w:p>
    <w:p w:rsidR="00294EB9" w:rsidRDefault="00294EB9">
      <w:pPr>
        <w:jc w:val="both"/>
        <w:rPr>
          <w:rFonts w:cs="Arial"/>
        </w:rPr>
      </w:pPr>
    </w:p>
    <w:p w:rsidR="00294EB9" w:rsidRDefault="00294EB9">
      <w:pPr>
        <w:jc w:val="both"/>
        <w:rPr>
          <w:rFonts w:cs="Arial"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7.</w:t>
      </w:r>
      <w:r>
        <w:rPr>
          <w:rFonts w:cs="Arial"/>
          <w:b/>
        </w:rPr>
        <w:tab/>
        <w:t>Opravné položky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8.</w:t>
      </w:r>
      <w:r>
        <w:rPr>
          <w:rFonts w:cs="Arial"/>
          <w:b/>
        </w:rPr>
        <w:tab/>
        <w:t>Rezervy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Tvorba rezervy sa účtuje na vecne príslušný účet, ku ktorému záväzok prislúcha. Použitie rezervy sa účtuje na 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9.</w:t>
      </w:r>
      <w:r>
        <w:rPr>
          <w:rFonts w:cs="Arial"/>
          <w:b/>
        </w:rPr>
        <w:tab/>
        <w:t>Záväzky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94EB9" w:rsidRDefault="00294EB9">
      <w:pPr>
        <w:jc w:val="both"/>
      </w:pP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10.</w:t>
      </w:r>
      <w:r>
        <w:rPr>
          <w:rFonts w:cs="Arial"/>
          <w:b/>
        </w:rPr>
        <w:tab/>
        <w:t>Výdavky budúcich období a výnosy budúcich období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Spoločnosť v roku 2013 neúčtovala o výdavkoch budúcich období ani o výnosoch budúcich období.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11.</w:t>
      </w:r>
      <w:r>
        <w:rPr>
          <w:rFonts w:cs="Arial"/>
          <w:b/>
        </w:rPr>
        <w:tab/>
        <w:t>Cudzia mena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Majetok a záväzky vyjadrené v cudzej mene sa prepočítavajú na eurá referenčným výmenným kurzom určeným a vyhláseným Európskou centrálnou bankou alebo Národnou bankou Slovenska v deň predchádzajúci dňu uskutočnenia účtovného prípadu alebo v deň, ku ktorému sa zostavuje účtovná závierka (okrem preddavkov prijatých a poskytnutých). Vzniknuté kurzové rozdiely sa účtujú s vplyvom na výsledok hospodárenia.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</w:pPr>
      <w:r>
        <w:rPr>
          <w:rFonts w:cs="Arial"/>
          <w:b/>
        </w:rPr>
        <w:t>12.</w:t>
      </w:r>
      <w:r>
        <w:rPr>
          <w:rFonts w:cs="Arial"/>
          <w:b/>
        </w:rPr>
        <w:tab/>
        <w:t>Vykazovanie výnosov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Výnosy z predaja služieb sa vykazujú v účtovnom období, v ktorom boli služby poskytnuté.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Výnosy sa vykazujú po odpočítaní dane z pridanej hodnoty, zliav a zrážok (rabaty, bonusy, skontá, dobropisy a pod.) bez ohľadu na to, či zákazník mal vopred na zľavu nárok, alebo či ide o dodatočne uznanú zľavu. Výnosy sa vykazujú v reálnej hodnote.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13.</w:t>
      </w:r>
      <w:r>
        <w:rPr>
          <w:rFonts w:cs="Arial"/>
          <w:b/>
        </w:rPr>
        <w:tab/>
        <w:t>Splatná daň z príjmov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Daň z príjmov sa účtuje do nákladov Spoločnosti v období vzniku daňovej povinnosti.</w:t>
      </w:r>
    </w:p>
    <w:p w:rsidR="00294EB9" w:rsidRDefault="00294EB9">
      <w:pPr>
        <w:jc w:val="both"/>
      </w:pPr>
    </w:p>
    <w:p w:rsidR="00D224E4" w:rsidRDefault="00D224E4">
      <w:pPr>
        <w:tabs>
          <w:tab w:val="left" w:pos="426"/>
        </w:tabs>
        <w:jc w:val="both"/>
        <w:rPr>
          <w:rFonts w:cs="Arial"/>
          <w:b/>
        </w:rPr>
      </w:pPr>
    </w:p>
    <w:p w:rsidR="00D224E4" w:rsidRDefault="00D224E4">
      <w:pPr>
        <w:tabs>
          <w:tab w:val="left" w:pos="426"/>
        </w:tabs>
        <w:jc w:val="both"/>
        <w:rPr>
          <w:rFonts w:cs="Arial"/>
          <w:b/>
        </w:rPr>
      </w:pPr>
    </w:p>
    <w:p w:rsidR="00D224E4" w:rsidRDefault="00D224E4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14.</w:t>
      </w:r>
      <w:r>
        <w:rPr>
          <w:rFonts w:cs="Arial"/>
          <w:b/>
        </w:rPr>
        <w:tab/>
        <w:t>Odložená daň z príjmov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Odložená daň z príjmov vyplýva z rozdielov medzi účtovnou hodnotou majetku a účtovnou hodnotou záväzkov vykázanou v súvahe a ich daňovou základňou.</w:t>
      </w:r>
    </w:p>
    <w:p w:rsidR="00294EB9" w:rsidRDefault="00294EB9">
      <w:pPr>
        <w:jc w:val="both"/>
      </w:pPr>
    </w:p>
    <w:p w:rsidR="00294EB9" w:rsidRDefault="00D224E4">
      <w:pPr>
        <w:jc w:val="both"/>
        <w:rPr>
          <w:rFonts w:cs="Arial"/>
        </w:rPr>
      </w:pPr>
      <w:r>
        <w:rPr>
          <w:rFonts w:cs="Arial"/>
        </w:rPr>
        <w:t>Odložená daňová pohľadávka sa účtuje iba do takej výšky, do akej je pravdepodobné, že bude možné dočasné rozdiely vyrovnať voči budúcemu základu dane.</w:t>
      </w:r>
    </w:p>
    <w:p w:rsidR="00294EB9" w:rsidRDefault="00294EB9">
      <w:pPr>
        <w:jc w:val="both"/>
        <w:rPr>
          <w:rFonts w:cs="Arial"/>
        </w:rPr>
      </w:pPr>
    </w:p>
    <w:p w:rsidR="00294EB9" w:rsidRDefault="00D224E4">
      <w:pPr>
        <w:jc w:val="both"/>
      </w:pPr>
      <w:r>
        <w:rPr>
          <w:rFonts w:cs="Arial"/>
        </w:rPr>
        <w:t>Pri výpočte odloženej dane sa použije sadzba dane z príjmov, o ktorej sa predpokladá, že bude platiť v čase vyrovnania odloženej dane.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Tvorba odpisového plánu pre dlhodobý majetok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t>Dlhodobý majetok sa odpisuje na základe odpisového plánu.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>Hmotný majetok, ktorého doba použiteľnosti je dlhšia ako 1 rok a jeho vstupná cena je vyššia ako 1 700 EUR sa odpisuje podľa odpisového plánu, ktorý bol zostavený na základe predpokladanej doby používania majetku zodpovedajúcej spotrebe budúcich ekonomických úžitkov z majetku. Odpisovať sa začína prvým dňom v mesiaci uvedenia majetku do používania.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rPr>
          <w:rFonts w:cs="Arial"/>
        </w:rPr>
        <w:t xml:space="preserve">Hmotný majetok s dobou použiteľnosti dlhšou ako 1 rok, a ktorého obstarávacia cena (resp. vlastné náklady) neprevýši 1 700 EUR sa účtuje priamo do spotreby. </w:t>
      </w:r>
    </w:p>
    <w:p w:rsidR="00294EB9" w:rsidRDefault="00294EB9">
      <w:pPr>
        <w:jc w:val="both"/>
      </w:pP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F.</w:t>
      </w:r>
      <w:r>
        <w:rPr>
          <w:rFonts w:cs="Arial"/>
          <w:b/>
        </w:rPr>
        <w:tab/>
        <w:t xml:space="preserve">ÚDAJE VYKÁZANÉ NA STRANE AKTÍV SÚVAHY </w:t>
      </w:r>
    </w:p>
    <w:p w:rsidR="00294EB9" w:rsidRDefault="00294EB9">
      <w:pPr>
        <w:jc w:val="both"/>
      </w:pP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a)</w:t>
      </w:r>
      <w:r>
        <w:rPr>
          <w:rFonts w:cs="Arial"/>
          <w:b/>
        </w:rPr>
        <w:tab/>
        <w:t>Prehľad o pohybe dlhodobého nehmotného majetku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t xml:space="preserve">Spoločnosť nemá dlhodobý nehmotný majetok. </w:t>
      </w:r>
    </w:p>
    <w:p w:rsidR="00294EB9" w:rsidRDefault="00294EB9">
      <w:pPr>
        <w:jc w:val="both"/>
      </w:pP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Prehľad o pohybe dlhodobého hmotného majetku</w:t>
      </w:r>
    </w:p>
    <w:p w:rsidR="00294EB9" w:rsidRDefault="00294EB9"/>
    <w:p w:rsidR="00294EB9" w:rsidRDefault="00D224E4">
      <w:pPr>
        <w:jc w:val="both"/>
      </w:pPr>
      <w:r>
        <w:t xml:space="preserve">Spoločnosť nemá dlhodobý hmotný majetok. </w:t>
      </w:r>
    </w:p>
    <w:p w:rsidR="00294EB9" w:rsidRDefault="00294EB9"/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Poistenie dlhodobého hmotného majetku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pPr>
        <w:jc w:val="both"/>
      </w:pPr>
      <w:r>
        <w:t xml:space="preserve">Spoločnosť nemala v roku 2013 poistený majetok. 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d)</w:t>
      </w:r>
      <w:r>
        <w:rPr>
          <w:rFonts w:cs="Arial"/>
          <w:b/>
        </w:rPr>
        <w:tab/>
        <w:t>Dlhodobý hmotný majetok, na ktorý je zriadené záložné právo</w:t>
      </w:r>
    </w:p>
    <w:p w:rsidR="00294EB9" w:rsidRDefault="00294EB9"/>
    <w:p w:rsidR="00294EB9" w:rsidRDefault="00D224E4">
      <w:pPr>
        <w:jc w:val="both"/>
      </w:pPr>
      <w:r>
        <w:t xml:space="preserve">Spoločnosť nemá zriadené záložné právo. 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e)</w:t>
      </w:r>
      <w:r>
        <w:rPr>
          <w:rFonts w:cs="Arial"/>
          <w:b/>
        </w:rPr>
        <w:tab/>
        <w:t>Opravné položky k zásobám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r>
        <w:t>Spoločnosť neúčtovala o opravných položkách k zásobám.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f)</w:t>
      </w:r>
      <w:r>
        <w:rPr>
          <w:rFonts w:cs="Arial"/>
          <w:b/>
        </w:rPr>
        <w:tab/>
        <w:t>Zásoby, na ktoré je zriadené záložné právo</w:t>
      </w: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</w:pPr>
      <w:r>
        <w:t xml:space="preserve">Spoločnosť nemá zriadené záložné právo na zásoby. 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g)</w:t>
      </w:r>
      <w:r>
        <w:rPr>
          <w:rFonts w:cs="Arial"/>
          <w:b/>
        </w:rPr>
        <w:tab/>
        <w:t>Opravné položky k pohľadávkam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pPr>
        <w:tabs>
          <w:tab w:val="left" w:pos="426"/>
        </w:tabs>
        <w:jc w:val="both"/>
      </w:pPr>
      <w:r>
        <w:t xml:space="preserve">Spoločnosť netvorila opravné položky. </w:t>
      </w:r>
    </w:p>
    <w:p w:rsidR="00294EB9" w:rsidRDefault="00294EB9">
      <w:pPr>
        <w:jc w:val="both"/>
      </w:pPr>
    </w:p>
    <w:p w:rsidR="00294EB9" w:rsidRDefault="00294EB9">
      <w:pPr>
        <w:jc w:val="both"/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h)</w:t>
      </w:r>
      <w:r>
        <w:rPr>
          <w:rFonts w:cs="Arial"/>
          <w:b/>
        </w:rPr>
        <w:tab/>
        <w:t>Pohľadávky</w:t>
      </w:r>
    </w:p>
    <w:p w:rsidR="00294EB9" w:rsidRDefault="00294EB9"/>
    <w:p w:rsidR="00294EB9" w:rsidRDefault="00D224E4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294EB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4EB9" w:rsidRDefault="00D224E4">
            <w:pPr>
              <w:pStyle w:val="TopHeader"/>
            </w:pPr>
            <w:r>
              <w:t>Pohľadávky spolu</w:t>
            </w:r>
          </w:p>
        </w:tc>
      </w:tr>
      <w:tr w:rsidR="00294EB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4EB9" w:rsidRDefault="00D224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294EB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94EB9" w:rsidRDefault="00D224E4">
            <w:pPr>
              <w:rPr>
                <w:b/>
              </w:rPr>
            </w:pPr>
            <w:r>
              <w:rPr>
                <w:rFonts w:cs="Arial"/>
                <w:b/>
              </w:rPr>
              <w:t>Dlhodobé pohľadávky</w:t>
            </w:r>
          </w:p>
        </w:tc>
      </w:tr>
      <w:tr w:rsidR="00294EB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294E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Pohľadávky voči 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294E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294EB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294EB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294EB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61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18"/>
              </w:tabs>
              <w:jc w:val="center"/>
              <w:rPr>
                <w:rFonts w:cs="Arial"/>
                <w:b/>
              </w:rPr>
            </w:pPr>
          </w:p>
        </w:tc>
      </w:tr>
      <w:tr w:rsidR="00294EB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4EB9" w:rsidRDefault="00D224E4">
            <w:pPr>
              <w:rPr>
                <w:b/>
              </w:rPr>
            </w:pPr>
            <w:r>
              <w:rPr>
                <w:rFonts w:cs="Arial"/>
                <w:b/>
              </w:rPr>
              <w:t>Krátkodobé pohľadávky</w:t>
            </w:r>
          </w:p>
        </w:tc>
      </w:tr>
      <w:tr w:rsidR="00294EB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373"/>
              </w:tabs>
              <w:jc w:val="center"/>
              <w:rPr>
                <w:rFonts w:cs="Arial"/>
              </w:rPr>
            </w:pPr>
            <w:r>
              <w:rPr>
                <w:rFonts w:cs="Arial"/>
              </w:rPr>
              <w:t>1837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315"/>
              </w:tabs>
              <w:jc w:val="center"/>
              <w:rPr>
                <w:rFonts w:cs="Arial"/>
              </w:rPr>
            </w:pPr>
            <w:r>
              <w:rPr>
                <w:rFonts w:cs="Arial"/>
              </w:rPr>
              <w:t>3600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292"/>
              </w:tabs>
              <w:jc w:val="center"/>
              <w:rPr>
                <w:rFonts w:cs="Arial"/>
              </w:rPr>
            </w:pPr>
            <w:r>
              <w:rPr>
                <w:rFonts w:cs="Arial"/>
              </w:rPr>
              <w:t>5437</w:t>
            </w:r>
          </w:p>
        </w:tc>
      </w:tr>
      <w:tr w:rsidR="00294E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Pohľadávky voči 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294E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294EB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294EB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294EB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294EB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94EB9" w:rsidRDefault="00294EB9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294EB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373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1837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315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3600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292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5437</w:t>
            </w:r>
          </w:p>
        </w:tc>
      </w:tr>
    </w:tbl>
    <w:p w:rsidR="00294EB9" w:rsidRDefault="00294EB9">
      <w:pPr>
        <w:jc w:val="both"/>
        <w:rPr>
          <w:rFonts w:cs="Arial"/>
        </w:rPr>
      </w:pPr>
    </w:p>
    <w:p w:rsidR="00294EB9" w:rsidRDefault="00D224E4" w:rsidP="00D224E4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294EB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Pohľadávky podľa zostatkovej</w:t>
            </w:r>
          </w:p>
          <w:p w:rsidR="00294EB9" w:rsidRDefault="00D224E4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k 31.12.2013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4EB9" w:rsidRDefault="00D224E4">
            <w:pPr>
              <w:pStyle w:val="TopHeader"/>
            </w:pPr>
            <w:r>
              <w:t>k 31.12.2012</w:t>
            </w:r>
          </w:p>
        </w:tc>
      </w:tr>
      <w:tr w:rsidR="00294EB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94EB9" w:rsidRDefault="00D224E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294EB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94EB9" w:rsidRDefault="00D224E4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1837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</w:p>
        </w:tc>
      </w:tr>
      <w:tr w:rsidR="00294EB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94EB9" w:rsidRDefault="00D224E4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3600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</w:p>
        </w:tc>
      </w:tr>
      <w:tr w:rsidR="00294EB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2022"/>
              </w:tabs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5437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94EB9" w:rsidRDefault="00294EB9">
            <w:pPr>
              <w:tabs>
                <w:tab w:val="decimal" w:pos="2109"/>
              </w:tabs>
              <w:spacing w:line="360" w:lineRule="auto"/>
              <w:rPr>
                <w:rFonts w:cs="Arial"/>
                <w:b/>
              </w:rPr>
            </w:pPr>
          </w:p>
        </w:tc>
      </w:tr>
      <w:tr w:rsidR="00294EB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94EB9" w:rsidRDefault="00294EB9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</w:p>
        </w:tc>
      </w:tr>
      <w:tr w:rsidR="00294EB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</w:rPr>
            </w:pPr>
            <w:r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94EB9" w:rsidRDefault="00294EB9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</w:p>
        </w:tc>
      </w:tr>
      <w:tr w:rsidR="00294EB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2022"/>
              </w:tabs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2109"/>
              </w:tabs>
              <w:spacing w:line="360" w:lineRule="auto"/>
              <w:rPr>
                <w:rFonts w:cs="Arial"/>
                <w:b/>
              </w:rPr>
            </w:pPr>
          </w:p>
        </w:tc>
      </w:tr>
    </w:tbl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i)</w:t>
      </w:r>
      <w:r>
        <w:rPr>
          <w:rFonts w:cs="Arial"/>
          <w:b/>
        </w:rPr>
        <w:tab/>
        <w:t>Pohľadávky, na ktoré je zriadené záložné právo</w:t>
      </w:r>
    </w:p>
    <w:p w:rsidR="00294EB9" w:rsidRDefault="00294EB9"/>
    <w:p w:rsidR="00294EB9" w:rsidRDefault="00D224E4">
      <w:r>
        <w:t xml:space="preserve">Spoločnosť nemá zriadené záložné právo. 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j)</w:t>
      </w:r>
      <w:r>
        <w:rPr>
          <w:rFonts w:cs="Arial"/>
          <w:b/>
        </w:rPr>
        <w:tab/>
        <w:t>Odložená daňová pohľadávka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pPr>
        <w:jc w:val="both"/>
      </w:pPr>
      <w:r>
        <w:t xml:space="preserve">Spoločnosť neúčtuje o odložených daniach z príjmu. </w:t>
      </w:r>
    </w:p>
    <w:p w:rsidR="00D224E4" w:rsidRDefault="00D224E4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l)</w:t>
      </w:r>
      <w:r>
        <w:rPr>
          <w:rFonts w:cs="Arial"/>
          <w:b/>
        </w:rPr>
        <w:tab/>
        <w:t>Významné položky časového rozlíšenia nákladov budúcich období a príjmov budúcich období</w:t>
      </w:r>
    </w:p>
    <w:p w:rsidR="00294EB9" w:rsidRDefault="00294EB9">
      <w:pPr>
        <w:jc w:val="both"/>
      </w:pPr>
    </w:p>
    <w:p w:rsidR="00294EB9" w:rsidRDefault="00D224E4">
      <w:pPr>
        <w:jc w:val="both"/>
      </w:pPr>
      <w:r>
        <w:t xml:space="preserve">Spoločnosť neúčtovala o položkách časových rozlíšeniach. 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G.</w:t>
      </w:r>
      <w:r>
        <w:rPr>
          <w:rFonts w:cs="Arial"/>
          <w:b/>
        </w:rPr>
        <w:tab/>
        <w:t>Údaje vykázané na strane pasív súvahy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a1)</w:t>
      </w:r>
      <w:r>
        <w:rPr>
          <w:rFonts w:cs="Arial"/>
          <w:b/>
        </w:rPr>
        <w:tab/>
        <w:t>Základné imanie</w:t>
      </w:r>
    </w:p>
    <w:p w:rsidR="00294EB9" w:rsidRDefault="00294EB9"/>
    <w:p w:rsidR="00294EB9" w:rsidRDefault="00D224E4">
      <w:r>
        <w:t>Základné imanie vo výške 25 000 EUR je splatené.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a2)</w:t>
      </w:r>
      <w:r>
        <w:rPr>
          <w:rFonts w:cs="Arial"/>
          <w:b/>
        </w:rPr>
        <w:tab/>
        <w:t>Rozdelenie účtovného zisku alebo vysporiadanie účtovnej straty</w:t>
      </w:r>
    </w:p>
    <w:p w:rsidR="00294EB9" w:rsidRDefault="00D224E4">
      <w:r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294EB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k 31.12.2012</w:t>
            </w:r>
          </w:p>
        </w:tc>
      </w:tr>
      <w:tr w:rsidR="00294E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b/>
              </w:rPr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607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rPr>
                <w:b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  <w:rPr>
                <w:b/>
              </w:rPr>
            </w:pPr>
            <w:r>
              <w:rPr>
                <w:b/>
              </w:rPr>
              <w:t>k 31.12.2013</w:t>
            </w:r>
          </w:p>
        </w:tc>
      </w:tr>
      <w:tr w:rsidR="00294EB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83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83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83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83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83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83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83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83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83"/>
              </w:tabs>
              <w:rPr>
                <w:b/>
              </w:rPr>
            </w:pPr>
          </w:p>
        </w:tc>
      </w:tr>
    </w:tbl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Rezervy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r>
        <w:t xml:space="preserve">Spoločnosť neúčtovala o rezervách. 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Záväzky</w:t>
      </w: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ab/>
        <w:t>Záväzky podľa zostatkovej doby splatnosti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294EB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k 31.12.2013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k 31.12.2012</w:t>
            </w:r>
          </w:p>
        </w:tc>
      </w:tr>
      <w:tr w:rsidR="00294EB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rPr>
                <w:b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4EB9" w:rsidRDefault="00294EB9">
            <w:pPr>
              <w:tabs>
                <w:tab w:val="decimal" w:pos="1791"/>
              </w:tabs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95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4EB9" w:rsidRDefault="00294EB9">
            <w:pPr>
              <w:tabs>
                <w:tab w:val="decimal" w:pos="1791"/>
              </w:tabs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95"/>
              </w:tabs>
            </w:pPr>
          </w:p>
        </w:tc>
      </w:tr>
      <w:tr w:rsidR="00294EB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4EB9" w:rsidRDefault="00294EB9">
            <w:pPr>
              <w:tabs>
                <w:tab w:val="decimal" w:pos="1791"/>
              </w:tabs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95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4EB9" w:rsidRDefault="00D224E4">
            <w:pPr>
              <w:tabs>
                <w:tab w:val="decimal" w:pos="1791"/>
              </w:tabs>
              <w:rPr>
                <w:b/>
              </w:rPr>
            </w:pPr>
            <w:r>
              <w:rPr>
                <w:b/>
              </w:rPr>
              <w:t>983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95"/>
              </w:tabs>
              <w:rPr>
                <w:b/>
              </w:rPr>
            </w:pPr>
          </w:p>
        </w:tc>
      </w:tr>
      <w:tr w:rsidR="00294EB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4EB9" w:rsidRDefault="00D224E4">
            <w:pPr>
              <w:tabs>
                <w:tab w:val="decimal" w:pos="1791"/>
              </w:tabs>
            </w:pPr>
            <w:r>
              <w:t>983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95"/>
              </w:tabs>
            </w:pPr>
          </w:p>
        </w:tc>
      </w:tr>
      <w:tr w:rsidR="00294EB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294EB9" w:rsidRDefault="00294EB9">
            <w:pPr>
              <w:tabs>
                <w:tab w:val="decimal" w:pos="1791"/>
              </w:tabs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595"/>
              </w:tabs>
            </w:pPr>
          </w:p>
        </w:tc>
      </w:tr>
    </w:tbl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d)</w:t>
      </w:r>
      <w:r>
        <w:rPr>
          <w:rFonts w:cs="Arial"/>
          <w:b/>
        </w:rPr>
        <w:tab/>
        <w:t>Odložený daňový záväzok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r>
        <w:t xml:space="preserve">Spoločnosť nemá povinnosť účtovať odloženú daň. 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e)</w:t>
      </w:r>
      <w:r>
        <w:rPr>
          <w:rFonts w:cs="Arial"/>
          <w:b/>
        </w:rPr>
        <w:tab/>
        <w:t>Záväzky zo sociálneho fondu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r>
        <w:t xml:space="preserve">Spoločnosť nemá zamestnancov. 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f )Bankové úvery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r>
        <w:t xml:space="preserve">Spoločnosť nečerpala bankové úvery. 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H.</w:t>
      </w:r>
      <w:r>
        <w:rPr>
          <w:rFonts w:cs="Arial"/>
          <w:b/>
        </w:rPr>
        <w:tab/>
        <w:t xml:space="preserve">ÚDAJE o VÝNOSOCH 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a)</w:t>
      </w:r>
      <w:r>
        <w:rPr>
          <w:rFonts w:cs="Arial"/>
          <w:b/>
        </w:rPr>
        <w:tab/>
        <w:t>Tržby za vlastné výkony a tovar</w:t>
      </w:r>
    </w:p>
    <w:p w:rsidR="00294EB9" w:rsidRDefault="00294EB9"/>
    <w:tbl>
      <w:tblPr>
        <w:tblW w:w="5000" w:type="pct"/>
        <w:jc w:val="center"/>
        <w:tblLook w:val="04A0"/>
      </w:tblPr>
      <w:tblGrid>
        <w:gridCol w:w="1830"/>
        <w:gridCol w:w="1280"/>
        <w:gridCol w:w="1189"/>
        <w:gridCol w:w="1240"/>
        <w:gridCol w:w="1232"/>
        <w:gridCol w:w="1198"/>
        <w:gridCol w:w="1274"/>
      </w:tblGrid>
      <w:tr w:rsidR="00294EB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Oblasť odbytu</w:t>
            </w:r>
          </w:p>
        </w:tc>
        <w:tc>
          <w:tcPr>
            <w:tcW w:w="24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 w:rsidP="00D224E4">
            <w:pPr>
              <w:pStyle w:val="TopHeader"/>
            </w:pPr>
            <w:r>
              <w:t xml:space="preserve">Tržby za tovar </w:t>
            </w:r>
          </w:p>
        </w:tc>
        <w:tc>
          <w:tcPr>
            <w:tcW w:w="247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 w:rsidP="00D224E4">
            <w:pPr>
              <w:pStyle w:val="TopHeader"/>
            </w:pPr>
            <w:r>
              <w:t xml:space="preserve">Tržby za služby </w:t>
            </w:r>
          </w:p>
        </w:tc>
        <w:tc>
          <w:tcPr>
            <w:tcW w:w="247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Tržby za tovar a služby spolu</w:t>
            </w:r>
          </w:p>
        </w:tc>
      </w:tr>
      <w:tr w:rsidR="00294EB9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pStyle w:val="TopHeader"/>
            </w:pP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2013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2012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2013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2012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2013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2012</w:t>
            </w:r>
          </w:p>
        </w:tc>
      </w:tr>
      <w:tr w:rsidR="00294EB9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a</w:t>
            </w:r>
          </w:p>
        </w:tc>
        <w:tc>
          <w:tcPr>
            <w:tcW w:w="12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b</w:t>
            </w:r>
          </w:p>
        </w:tc>
        <w:tc>
          <w:tcPr>
            <w:tcW w:w="1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c</w:t>
            </w:r>
          </w:p>
        </w:tc>
        <w:tc>
          <w:tcPr>
            <w:tcW w:w="12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d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e</w:t>
            </w:r>
          </w:p>
        </w:tc>
        <w:tc>
          <w:tcPr>
            <w:tcW w:w="11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f</w:t>
            </w:r>
          </w:p>
        </w:tc>
        <w:tc>
          <w:tcPr>
            <w:tcW w:w="12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g</w:t>
            </w:r>
          </w:p>
        </w:tc>
      </w:tr>
      <w:tr w:rsidR="00294EB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Slovenská republika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762"/>
              </w:tabs>
              <w:jc w:val="right"/>
            </w:pPr>
            <w:r>
              <w:t>-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843"/>
              </w:tabs>
              <w:jc w:val="right"/>
            </w:pPr>
            <w:r>
              <w:t>-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762"/>
              </w:tabs>
              <w:jc w:val="right"/>
            </w:pPr>
            <w:r>
              <w:t>4000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843"/>
              </w:tabs>
              <w:jc w:val="right"/>
            </w:pPr>
            <w:r>
              <w:t>-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762"/>
              </w:tabs>
              <w:jc w:val="right"/>
            </w:pPr>
            <w:r>
              <w:t>4000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843"/>
              </w:tabs>
              <w:jc w:val="right"/>
            </w:pPr>
            <w:r>
              <w:t>-</w:t>
            </w:r>
          </w:p>
        </w:tc>
      </w:tr>
      <w:tr w:rsidR="00294EB9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843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right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843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right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843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294EB9" w:rsidRDefault="00294EB9"/>
    <w:p w:rsidR="00294EB9" w:rsidRDefault="00294EB9"/>
    <w:p w:rsidR="00294EB9" w:rsidRDefault="00D224E4">
      <w:pPr>
        <w:tabs>
          <w:tab w:val="left" w:pos="567"/>
        </w:tabs>
        <w:jc w:val="both"/>
        <w:rPr>
          <w:rFonts w:cs="Arial"/>
          <w:b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Významné položky výnosov</w:t>
      </w:r>
    </w:p>
    <w:p w:rsidR="00294EB9" w:rsidRDefault="00294EB9">
      <w:pPr>
        <w:tabs>
          <w:tab w:val="left" w:pos="567"/>
        </w:tabs>
        <w:jc w:val="both"/>
        <w:rPr>
          <w:rFonts w:cs="Arial"/>
          <w:b/>
        </w:rPr>
      </w:pPr>
    </w:p>
    <w:p w:rsidR="00294EB9" w:rsidRDefault="00D224E4">
      <w:pPr>
        <w:tabs>
          <w:tab w:val="left" w:pos="567"/>
        </w:tabs>
        <w:jc w:val="both"/>
      </w:pPr>
      <w:r>
        <w:t xml:space="preserve">Spoločnosť neúčtovala o významných položkách výnosov. 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Čistý obrat</w:t>
      </w:r>
    </w:p>
    <w:p w:rsidR="00294EB9" w:rsidRDefault="00294EB9"/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294EB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2013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2012</w:t>
            </w:r>
          </w:p>
        </w:tc>
      </w:tr>
      <w:tr w:rsidR="00294EB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8"/>
              </w:tabs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238"/>
              </w:tabs>
            </w:pPr>
            <w: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8"/>
              </w:tabs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8"/>
              </w:tabs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8"/>
              </w:tabs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8"/>
              </w:tabs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1"/>
              </w:tabs>
            </w:pPr>
          </w:p>
        </w:tc>
      </w:tr>
      <w:tr w:rsidR="00294EB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238"/>
              </w:tabs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31"/>
              </w:tabs>
              <w:rPr>
                <w:b/>
              </w:rPr>
            </w:pPr>
          </w:p>
        </w:tc>
      </w:tr>
    </w:tbl>
    <w:p w:rsidR="00294EB9" w:rsidRDefault="00294EB9"/>
    <w:p w:rsidR="00294EB9" w:rsidRDefault="00294EB9"/>
    <w:p w:rsidR="00D224E4" w:rsidRDefault="00D224E4">
      <w:pPr>
        <w:tabs>
          <w:tab w:val="left" w:pos="426"/>
        </w:tabs>
        <w:jc w:val="both"/>
        <w:rPr>
          <w:rFonts w:cs="Arial"/>
          <w:b/>
        </w:rPr>
      </w:pPr>
    </w:p>
    <w:p w:rsidR="00D224E4" w:rsidRDefault="00D224E4">
      <w:pPr>
        <w:tabs>
          <w:tab w:val="left" w:pos="426"/>
        </w:tabs>
        <w:jc w:val="both"/>
        <w:rPr>
          <w:rFonts w:cs="Arial"/>
          <w:b/>
        </w:rPr>
      </w:pPr>
    </w:p>
    <w:p w:rsidR="00D224E4" w:rsidRDefault="00D224E4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I.</w:t>
      </w:r>
      <w:r>
        <w:rPr>
          <w:rFonts w:cs="Arial"/>
          <w:b/>
        </w:rPr>
        <w:tab/>
        <w:t>Údaje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294EB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2013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2012</w:t>
            </w:r>
          </w:p>
        </w:tc>
      </w:tr>
      <w:tr w:rsidR="00294EB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rPr>
                <w:b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182"/>
              </w:tabs>
              <w:rPr>
                <w:b/>
              </w:rPr>
            </w:pPr>
            <w:r>
              <w:rPr>
                <w:b/>
              </w:rPr>
              <w:t>247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  <w:rPr>
                <w:b/>
              </w:rPr>
            </w:pPr>
          </w:p>
        </w:tc>
      </w:tr>
      <w:tr w:rsidR="00294EB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i/>
              </w:rPr>
            </w:pPr>
            <w:r>
              <w:rPr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182"/>
              </w:tabs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  <w:rPr>
                <w:b/>
                <w:i/>
              </w:rPr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i/>
              </w:rPr>
            </w:pPr>
            <w:r>
              <w:rPr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182"/>
              </w:tabs>
              <w:rPr>
                <w:b/>
                <w:i/>
              </w:rPr>
            </w:pPr>
            <w:r>
              <w:rPr>
                <w:b/>
                <w:i/>
              </w:rPr>
              <w:t>247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  <w:rPr>
                <w:b/>
                <w:i/>
              </w:rPr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- prevádzka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182"/>
              </w:tabs>
            </w:pPr>
            <w:r>
              <w:t>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 xml:space="preserve">- telefónne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182"/>
              </w:tabs>
            </w:pPr>
            <w:r>
              <w:t>187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- 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b/>
              </w:rPr>
            </w:pPr>
            <w:r>
              <w:rPr>
                <w:b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182"/>
              </w:tabs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0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  <w:rPr>
                <w:b/>
              </w:rPr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rPr>
                <w:b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1182"/>
              </w:tabs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  <w:rPr>
                <w:b/>
              </w:rPr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i/>
              </w:rPr>
            </w:pPr>
            <w:r>
              <w:rPr>
                <w:i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182"/>
              </w:tabs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  <w:rPr>
                <w:i/>
              </w:rPr>
            </w:pPr>
          </w:p>
        </w:tc>
      </w:tr>
      <w:tr w:rsidR="00294EB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rPr>
                <w:i/>
              </w:rPr>
            </w:pPr>
            <w:r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182"/>
              </w:tabs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  <w:rPr>
                <w:i/>
              </w:rPr>
            </w:pPr>
          </w:p>
        </w:tc>
      </w:tr>
      <w:tr w:rsidR="00294EB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r>
              <w:rPr>
                <w:b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</w:pPr>
          </w:p>
        </w:tc>
      </w:tr>
      <w:tr w:rsidR="00294EB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rPr>
                <w:b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</w:pPr>
          </w:p>
        </w:tc>
      </w:tr>
      <w:tr w:rsidR="00294EB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rPr>
                <w:b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1221"/>
              </w:tabs>
            </w:pPr>
          </w:p>
        </w:tc>
      </w:tr>
    </w:tbl>
    <w:p w:rsidR="00294EB9" w:rsidRDefault="00294EB9"/>
    <w:p w:rsidR="00294EB9" w:rsidRDefault="00D224E4">
      <w:r>
        <w:br w:type="page"/>
      </w:r>
    </w:p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J.</w:t>
      </w:r>
      <w:r>
        <w:rPr>
          <w:rFonts w:cs="Arial"/>
          <w:b/>
        </w:rPr>
        <w:tab/>
        <w:t>Dane z príjmov</w:t>
      </w:r>
    </w:p>
    <w:p w:rsidR="00294EB9" w:rsidRDefault="00294EB9"/>
    <w:p w:rsidR="00294EB9" w:rsidRDefault="00294EB9"/>
    <w:p w:rsidR="00294EB9" w:rsidRDefault="00D224E4">
      <w:pPr>
        <w:tabs>
          <w:tab w:val="left" w:pos="567"/>
        </w:tabs>
        <w:jc w:val="both"/>
        <w:rPr>
          <w:rFonts w:cs="Arial"/>
          <w:b/>
        </w:rPr>
      </w:pPr>
      <w:r>
        <w:rPr>
          <w:rFonts w:cs="Arial"/>
          <w:b/>
        </w:rPr>
        <w:t>a)</w:t>
      </w:r>
      <w:r>
        <w:rPr>
          <w:rFonts w:cs="Arial"/>
          <w:b/>
        </w:rPr>
        <w:tab/>
        <w:t>Daň z príjmov odložená</w:t>
      </w:r>
    </w:p>
    <w:p w:rsidR="00294EB9" w:rsidRDefault="00294EB9">
      <w:pPr>
        <w:tabs>
          <w:tab w:val="left" w:pos="567"/>
        </w:tabs>
        <w:jc w:val="both"/>
        <w:rPr>
          <w:rFonts w:cs="Arial"/>
          <w:b/>
        </w:rPr>
      </w:pPr>
    </w:p>
    <w:p w:rsidR="00294EB9" w:rsidRDefault="00D224E4">
      <w:r>
        <w:t xml:space="preserve">Spoločnosť nemá povinnosť účtovať odloženú daň. </w:t>
      </w:r>
    </w:p>
    <w:p w:rsidR="00294EB9" w:rsidRDefault="00294EB9"/>
    <w:p w:rsidR="00294EB9" w:rsidRDefault="00294EB9"/>
    <w:p w:rsidR="00294EB9" w:rsidRDefault="00D224E4">
      <w:pPr>
        <w:tabs>
          <w:tab w:val="left" w:pos="567"/>
        </w:tabs>
        <w:jc w:val="both"/>
        <w:rPr>
          <w:rFonts w:cs="Arial"/>
          <w:b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Daň z príjmov splatná</w:t>
      </w:r>
    </w:p>
    <w:p w:rsidR="00294EB9" w:rsidRDefault="00294EB9"/>
    <w:tbl>
      <w:tblPr>
        <w:tblW w:w="5000" w:type="pct"/>
        <w:jc w:val="center"/>
        <w:tblLayout w:type="fixed"/>
        <w:tblLook w:val="04A0"/>
      </w:tblPr>
      <w:tblGrid>
        <w:gridCol w:w="2623"/>
        <w:gridCol w:w="1596"/>
        <w:gridCol w:w="1052"/>
        <w:gridCol w:w="791"/>
        <w:gridCol w:w="1417"/>
        <w:gridCol w:w="993"/>
        <w:gridCol w:w="771"/>
      </w:tblGrid>
      <w:tr w:rsidR="00294EB9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Názov 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k 31.12.2013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k 31.12.2012</w:t>
            </w:r>
          </w:p>
        </w:tc>
      </w:tr>
      <w:tr w:rsidR="00294EB9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pStyle w:val="TopHeader"/>
            </w:pP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Základ dane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Daň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Daň v %</w:t>
            </w: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a</w:t>
            </w:r>
          </w:p>
        </w:tc>
        <w:tc>
          <w:tcPr>
            <w:tcW w:w="15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b</w:t>
            </w:r>
          </w:p>
        </w:tc>
        <w:tc>
          <w:tcPr>
            <w:tcW w:w="10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c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g</w:t>
            </w: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Výsledok hospodárenia pred  zdanením, z toho: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tabs>
                <w:tab w:val="decimal" w:pos="1092"/>
              </w:tabs>
            </w:pPr>
            <w:r>
              <w:t>3318</w:t>
            </w: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x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89"/>
              </w:tabs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jc w:val="center"/>
            </w:pP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jc w:val="center"/>
            </w:pP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 xml:space="preserve">teoretická daň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tabs>
                <w:tab w:val="decimal" w:pos="743"/>
              </w:tabs>
            </w:pPr>
            <w:r>
              <w:t>763</w:t>
            </w:r>
          </w:p>
        </w:tc>
        <w:tc>
          <w:tcPr>
            <w:tcW w:w="7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283"/>
              </w:tabs>
            </w:pPr>
            <w:r>
              <w:t>23,00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349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Daňovo neuznané náklady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68"/>
              </w:tabs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349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Výnosy nepodliehajúce dani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68"/>
              </w:tabs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349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Vplyv nevykázanej odloženej daňovej pohľadávky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68"/>
              </w:tabs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349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Umorenie daňovej straty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68"/>
              </w:tabs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349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Zmena sadzby dane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68"/>
              </w:tabs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349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Iné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68"/>
              </w:tabs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349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Spolu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tabs>
                <w:tab w:val="decimal" w:pos="1068"/>
              </w:tabs>
            </w:pPr>
            <w:r>
              <w:t>3318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tabs>
                <w:tab w:val="decimal" w:pos="743"/>
              </w:tabs>
            </w:pPr>
            <w:r>
              <w:t>763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283"/>
              </w:tabs>
            </w:pPr>
            <w:r>
              <w:t>23,00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349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Splatná daň z 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tabs>
                <w:tab w:val="decimal" w:pos="743"/>
              </w:tabs>
            </w:pPr>
            <w:r>
              <w:t>763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283"/>
              </w:tabs>
            </w:pPr>
            <w:r>
              <w:t>23,00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349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Odložená daň z 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349"/>
              </w:tabs>
            </w:pPr>
          </w:p>
        </w:tc>
      </w:tr>
      <w:tr w:rsidR="00294EB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 xml:space="preserve">Celková daň z príjmov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jc w:val="center"/>
            </w:pPr>
            <w: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tabs>
                <w:tab w:val="decimal" w:pos="743"/>
              </w:tabs>
            </w:pPr>
            <w:r>
              <w:t>763</w:t>
            </w: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283"/>
              </w:tabs>
            </w:pPr>
            <w:r>
              <w:t>23,00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349"/>
              </w:tabs>
            </w:pPr>
          </w:p>
        </w:tc>
      </w:tr>
    </w:tbl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K.</w:t>
      </w:r>
      <w:r>
        <w:rPr>
          <w:rFonts w:cs="Arial"/>
          <w:b/>
        </w:rPr>
        <w:tab/>
        <w:t>Údaje na podsúvahových účtoch</w:t>
      </w:r>
    </w:p>
    <w:p w:rsidR="00294EB9" w:rsidRDefault="00294EB9">
      <w:pPr>
        <w:tabs>
          <w:tab w:val="left" w:pos="426"/>
        </w:tabs>
        <w:jc w:val="both"/>
        <w:rPr>
          <w:rFonts w:cs="Arial"/>
          <w:b/>
        </w:rPr>
      </w:pPr>
    </w:p>
    <w:p w:rsidR="00294EB9" w:rsidRDefault="00D224E4">
      <w:r>
        <w:t>Spoločnosť neeviduje žiadne položky na podsúvahových účtoch.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L.</w:t>
      </w:r>
      <w:r>
        <w:rPr>
          <w:rFonts w:cs="Arial"/>
          <w:b/>
        </w:rPr>
        <w:tab/>
        <w:t>Iné aktíva a iné pasíva</w:t>
      </w:r>
    </w:p>
    <w:p w:rsidR="00294EB9" w:rsidRDefault="00294EB9"/>
    <w:p w:rsidR="00294EB9" w:rsidRDefault="00D224E4">
      <w:r>
        <w:t>Spoločnosť neeviduje v roku 2013 ďalšie aktíva a pasíva, ktoré by neboli uvedené v súvahe.</w:t>
      </w:r>
    </w:p>
    <w:p w:rsidR="00294EB9" w:rsidRDefault="00294EB9"/>
    <w:p w:rsidR="00294EB9" w:rsidRDefault="00D224E4">
      <w:pPr>
        <w:pStyle w:val="Odsekzoznamu"/>
        <w:numPr>
          <w:ilvl w:val="0"/>
          <w:numId w:val="14"/>
        </w:numPr>
        <w:tabs>
          <w:tab w:val="left" w:pos="284"/>
        </w:tabs>
        <w:ind w:left="284" w:hanging="284"/>
        <w:jc w:val="both"/>
        <w:rPr>
          <w:rFonts w:cs="Arial"/>
        </w:rPr>
      </w:pPr>
      <w:r>
        <w:rPr>
          <w:rFonts w:cs="Arial"/>
        </w:rPr>
        <w:t>Spoločnosť neeviduje podmienené záväzky vyplývajúce zo súdnych rozhodnutí, z poskytnutých záruk, zo všeobecne záväzných právnych predpisov, zo zmlúv o podriadenom záväzku, z ručenia ap.</w:t>
      </w:r>
    </w:p>
    <w:p w:rsidR="00294EB9" w:rsidRDefault="00D224E4">
      <w:pPr>
        <w:pStyle w:val="Odsekzoznamu"/>
        <w:numPr>
          <w:ilvl w:val="0"/>
          <w:numId w:val="14"/>
        </w:numPr>
        <w:tabs>
          <w:tab w:val="left" w:pos="284"/>
        </w:tabs>
        <w:ind w:left="284" w:hanging="284"/>
        <w:jc w:val="both"/>
        <w:rPr>
          <w:rFonts w:cs="Arial"/>
        </w:rPr>
      </w:pPr>
      <w:r>
        <w:rPr>
          <w:rFonts w:cs="Arial"/>
        </w:rPr>
        <w:t>Spoločnosť neeviduje podmienené záväzky v zmysle bodu a) voči spriazneným osobám.</w:t>
      </w:r>
    </w:p>
    <w:p w:rsidR="00294EB9" w:rsidRDefault="00D224E4">
      <w:pPr>
        <w:pStyle w:val="Odsekzoznamu"/>
        <w:numPr>
          <w:ilvl w:val="0"/>
          <w:numId w:val="14"/>
        </w:numPr>
        <w:tabs>
          <w:tab w:val="left" w:pos="284"/>
        </w:tabs>
        <w:ind w:left="284" w:hanging="284"/>
        <w:jc w:val="both"/>
        <w:rPr>
          <w:rFonts w:cs="Arial"/>
        </w:rPr>
      </w:pPr>
      <w:r>
        <w:rPr>
          <w:rFonts w:cs="Arial"/>
        </w:rPr>
        <w:t>Spoločnosť neeviduje žiadny podmienený majetok.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M.</w:t>
      </w:r>
      <w:r>
        <w:rPr>
          <w:rFonts w:cs="Arial"/>
          <w:b/>
        </w:rPr>
        <w:tab/>
        <w:t>Príjmy a výhody členov štatutárnych a dozorných orgánov spoločnosti</w:t>
      </w:r>
    </w:p>
    <w:p w:rsidR="00294EB9" w:rsidRDefault="00294EB9"/>
    <w:p w:rsidR="00294EB9" w:rsidRDefault="00D224E4">
      <w:pPr>
        <w:jc w:val="both"/>
      </w:pPr>
      <w:r>
        <w:t>Spoločnosť v roku 2013 nevyplatila členom štatutárneho a dozorného orgánu Spoločnosti za ich činnosť v uvedených orgánoch pre Spoločnosť žiadne odmeny a neboli im poskytnuté žiadne výhody.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N.</w:t>
      </w:r>
      <w:r>
        <w:rPr>
          <w:rFonts w:cs="Arial"/>
          <w:b/>
        </w:rPr>
        <w:tab/>
        <w:t>Ekonomické vzťahy účtovnej jednotky a spriaznených osôb</w:t>
      </w:r>
    </w:p>
    <w:p w:rsidR="00294EB9" w:rsidRDefault="00294EB9"/>
    <w:p w:rsidR="00294EB9" w:rsidRDefault="00D224E4">
      <w:r>
        <w:t>Účtovná jednotka uzatvárala obchody so spriaznenými osobami na základe obvyklých obchodných podmienok.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O.</w:t>
      </w:r>
      <w:r>
        <w:rPr>
          <w:rFonts w:cs="Arial"/>
          <w:b/>
        </w:rPr>
        <w:tab/>
        <w:t>Skutočnosti, ktoré nastali po dni, ku ktorému sa zostavuje účtovná závierka do dňa jej zostavenia</w:t>
      </w:r>
    </w:p>
    <w:p w:rsidR="00294EB9" w:rsidRDefault="00294EB9"/>
    <w:p w:rsidR="00294EB9" w:rsidRDefault="00D224E4">
      <w:pPr>
        <w:jc w:val="both"/>
      </w:pPr>
      <w:r>
        <w:t>Po 31. decembri 2013 nenastali žiadne udalosti, ktoré by si vyžadovali zverejnenie alebo vykázanie v účtovnej závierke za rok 2013.</w:t>
      </w:r>
    </w:p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P.</w:t>
      </w:r>
      <w:r>
        <w:rPr>
          <w:rFonts w:cs="Arial"/>
          <w:b/>
        </w:rPr>
        <w:tab/>
        <w:t>Prehľad zmien vlastného imania</w:t>
      </w:r>
    </w:p>
    <w:p w:rsidR="00294EB9" w:rsidRDefault="00294EB9"/>
    <w:p w:rsidR="00294EB9" w:rsidRDefault="00D224E4">
      <w: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294EB9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1.1.2013 – 31.12.2013</w:t>
            </w:r>
          </w:p>
        </w:tc>
      </w:tr>
      <w:tr w:rsidR="00294EB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294EB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Stav na konci účtovného obdobia</w:t>
            </w: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f</w:t>
            </w: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D224E4">
            <w:pPr>
              <w:tabs>
                <w:tab w:val="decimal" w:pos="963"/>
              </w:tabs>
            </w:pPr>
            <w:r>
              <w:t>25000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tabs>
                <w:tab w:val="decimal" w:pos="938"/>
              </w:tabs>
            </w:pPr>
            <w:r>
              <w:t>25000</w:t>
            </w: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6668F1">
            <w:pPr>
              <w:tabs>
                <w:tab w:val="decimal" w:pos="963"/>
              </w:tabs>
            </w:pPr>
            <w:r>
              <w:t>2555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6668F1">
            <w:pPr>
              <w:tabs>
                <w:tab w:val="decimal" w:pos="938"/>
              </w:tabs>
            </w:pPr>
            <w:r>
              <w:t>2555</w:t>
            </w: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</w:tbl>
    <w:p w:rsidR="00294EB9" w:rsidRDefault="006668F1">
      <w:r>
        <w:lastRenderedPageBreak/>
        <w:t>T</w:t>
      </w:r>
      <w:r w:rsidR="00D224E4">
        <w:t>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294EB9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1.1.2012 – 31.12.2012</w:t>
            </w:r>
          </w:p>
        </w:tc>
      </w:tr>
      <w:tr w:rsidR="00294EB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294EB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Stav na konci účtovného obdobia</w:t>
            </w: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pPr>
              <w:pStyle w:val="TopHeader"/>
            </w:pPr>
            <w:r>
              <w:t>F</w:t>
            </w: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  <w:tr w:rsidR="00294EB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D224E4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294EB9" w:rsidRDefault="00294EB9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4EB9" w:rsidRDefault="00294EB9">
            <w:pPr>
              <w:tabs>
                <w:tab w:val="decimal" w:pos="938"/>
              </w:tabs>
            </w:pPr>
          </w:p>
        </w:tc>
      </w:tr>
    </w:tbl>
    <w:p w:rsidR="00294EB9" w:rsidRDefault="00294EB9"/>
    <w:p w:rsidR="00294EB9" w:rsidRDefault="00294EB9"/>
    <w:p w:rsidR="00294EB9" w:rsidRDefault="00D224E4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R.</w:t>
      </w:r>
      <w:r>
        <w:rPr>
          <w:rFonts w:cs="Arial"/>
          <w:b/>
        </w:rPr>
        <w:tab/>
        <w:t>Prehľad peňažných tokov</w:t>
      </w:r>
    </w:p>
    <w:p w:rsidR="00294EB9" w:rsidRDefault="00D224E4">
      <w:r>
        <w:t xml:space="preserve">Spoločnosť nemá povinnosť zostavovať prehľad peňažných tokov. </w:t>
      </w:r>
    </w:p>
    <w:p w:rsidR="00294EB9" w:rsidRDefault="00294EB9"/>
    <w:p w:rsidR="00294EB9" w:rsidRDefault="00294EB9">
      <w:bookmarkStart w:id="0" w:name="_GoBack"/>
      <w:bookmarkEnd w:id="0"/>
    </w:p>
    <w:sectPr w:rsidR="00294EB9" w:rsidSect="00F15E53">
      <w:headerReference w:type="default" r:id="rId8"/>
      <w:footerReference w:type="default" r:id="rId9"/>
      <w:pgSz w:w="11907" w:h="1683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692B" w:rsidRDefault="0094692B">
      <w:r>
        <w:separator/>
      </w:r>
    </w:p>
  </w:endnote>
  <w:endnote w:type="continuationSeparator" w:id="0">
    <w:p w:rsidR="0094692B" w:rsidRDefault="009469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4E4" w:rsidRDefault="00D224E4">
    <w:pPr>
      <w:jc w:val="right"/>
    </w:pPr>
    <w:r>
      <w:t xml:space="preserve">strana </w:t>
    </w:r>
    <w:r w:rsidR="00F15E53">
      <w:fldChar w:fldCharType="begin"/>
    </w:r>
    <w:r>
      <w:instrText xml:space="preserve"> PAGE   \* MERGEFORMAT </w:instrText>
    </w:r>
    <w:r w:rsidR="00F15E53">
      <w:fldChar w:fldCharType="separate"/>
    </w:r>
    <w:r w:rsidR="00D75B04">
      <w:rPr>
        <w:noProof/>
      </w:rPr>
      <w:t>9</w:t>
    </w:r>
    <w:r w:rsidR="00F15E53">
      <w:fldChar w:fldCharType="end"/>
    </w:r>
  </w:p>
  <w:p w:rsidR="00D224E4" w:rsidRDefault="00D224E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692B" w:rsidRDefault="0094692B">
      <w:r>
        <w:separator/>
      </w:r>
    </w:p>
  </w:footnote>
  <w:footnote w:type="continuationSeparator" w:id="0">
    <w:p w:rsidR="0094692B" w:rsidRDefault="009469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4E4" w:rsidRDefault="00D224E4"/>
  <w:tbl>
    <w:tblPr>
      <w:tblW w:w="8313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91"/>
    </w:tblGrid>
    <w:tr w:rsidR="00D224E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vAlign w:val="bottom"/>
        </w:tcPr>
        <w:p w:rsidR="00D224E4" w:rsidRDefault="00D224E4">
          <w:pPr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224E4" w:rsidRDefault="00D224E4">
          <w:pPr>
            <w:ind w:right="-574"/>
            <w:jc w:val="center"/>
            <w:rPr>
              <w:color w:val="000000"/>
            </w:rPr>
          </w:pPr>
          <w:r>
            <w:rPr>
              <w:color w:val="000000"/>
            </w:rPr>
            <w:t xml:space="preserve">  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224E4" w:rsidRDefault="00D224E4">
          <w:pPr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224E4" w:rsidRDefault="00D224E4">
          <w:pPr>
            <w:jc w:val="center"/>
          </w:pPr>
          <w: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24E4" w:rsidRDefault="00D224E4">
          <w:pPr>
            <w:jc w:val="cent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24E4" w:rsidRDefault="00D224E4">
          <w:pPr>
            <w:jc w:val="cent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24E4" w:rsidRDefault="00D224E4">
          <w:pPr>
            <w:jc w:val="center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24E4" w:rsidRDefault="00D224E4">
          <w:pPr>
            <w:jc w:val="center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24E4" w:rsidRDefault="00D224E4">
          <w:pPr>
            <w:jc w:val="center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24E4" w:rsidRDefault="00D224E4">
          <w:pPr>
            <w:jc w:val="center"/>
          </w:pPr>
          <w: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24E4" w:rsidRDefault="00D224E4">
          <w:pPr>
            <w:jc w:val="cent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24E4" w:rsidRDefault="00D224E4">
          <w:pPr>
            <w:jc w:val="center"/>
          </w:pPr>
          <w: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D224E4" w:rsidRDefault="00D224E4">
          <w:pPr>
            <w:jc w:val="center"/>
          </w:pPr>
          <w:r>
            <w:t>8</w:t>
          </w:r>
        </w:p>
      </w:tc>
    </w:tr>
  </w:tbl>
  <w:p w:rsidR="00D224E4" w:rsidRDefault="00D224E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31F86"/>
    <w:multiLevelType w:val="hybridMultilevel"/>
    <w:tmpl w:val="1B8AD5B2"/>
    <w:lvl w:ilvl="0" w:tplc="B6AECA1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BE6EA0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45883C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1088943A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E9C6158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E2B84D7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D4160B9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2EB2C20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D3D41E8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>
    <w:nsid w:val="177C1C01"/>
    <w:multiLevelType w:val="hybridMultilevel"/>
    <w:tmpl w:val="2E3C2D52"/>
    <w:lvl w:ilvl="0" w:tplc="EBB082F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75E9B2A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024EDBA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A4DABCC6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95487A2C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452E76A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A3347AD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71C8A654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93D2423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>
    <w:nsid w:val="2B0D5438"/>
    <w:multiLevelType w:val="hybridMultilevel"/>
    <w:tmpl w:val="587853DE"/>
    <w:lvl w:ilvl="0" w:tplc="BF223058">
      <w:start w:val="1"/>
      <w:numFmt w:val="bullet"/>
      <w:lvlText w:val="−"/>
      <w:lvlJc w:val="left"/>
      <w:pPr>
        <w:ind w:left="643" w:hanging="643"/>
      </w:pPr>
      <w:rPr>
        <w:rFonts w:ascii="Times New Roman" w:hAnsi="Times New Roman" w:cs="Times New Roman"/>
      </w:rPr>
    </w:lvl>
    <w:lvl w:ilvl="1" w:tplc="25DA7E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3D3EC54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C80D76A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A1E0B75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404E850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E73A47F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5ADC051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AAE48CF6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2EDE446E"/>
    <w:multiLevelType w:val="hybridMultilevel"/>
    <w:tmpl w:val="E056FE5E"/>
    <w:lvl w:ilvl="0" w:tplc="28128B2C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A1C809E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0732842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78C8FE52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19507E7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1854975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A80F89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FF34FA8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234684D6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>
    <w:nsid w:val="306376C2"/>
    <w:multiLevelType w:val="hybridMultilevel"/>
    <w:tmpl w:val="65E0B7BE"/>
    <w:lvl w:ilvl="0" w:tplc="A6A473DE">
      <w:start w:val="1"/>
      <w:numFmt w:val="decimal"/>
      <w:lvlText w:val="%1."/>
      <w:lvlJc w:val="left"/>
      <w:pPr>
        <w:ind w:left="720" w:hanging="360"/>
      </w:pPr>
    </w:lvl>
    <w:lvl w:ilvl="1" w:tplc="7B560774">
      <w:start w:val="1"/>
      <w:numFmt w:val="lowerLetter"/>
      <w:lvlText w:val="%2."/>
      <w:lvlJc w:val="left"/>
      <w:pPr>
        <w:ind w:left="1440" w:hanging="360"/>
      </w:pPr>
    </w:lvl>
    <w:lvl w:ilvl="2" w:tplc="5D4A4CFA">
      <w:start w:val="1"/>
      <w:numFmt w:val="lowerRoman"/>
      <w:lvlText w:val="%3."/>
      <w:lvlJc w:val="right"/>
      <w:pPr>
        <w:ind w:left="2160" w:hanging="180"/>
      </w:pPr>
    </w:lvl>
    <w:lvl w:ilvl="3" w:tplc="8A8ECE20">
      <w:start w:val="1"/>
      <w:numFmt w:val="decimal"/>
      <w:lvlText w:val="%4."/>
      <w:lvlJc w:val="left"/>
      <w:pPr>
        <w:ind w:left="2880" w:hanging="360"/>
      </w:pPr>
    </w:lvl>
    <w:lvl w:ilvl="4" w:tplc="19702C38">
      <w:start w:val="1"/>
      <w:numFmt w:val="lowerLetter"/>
      <w:lvlText w:val="%5."/>
      <w:lvlJc w:val="left"/>
      <w:pPr>
        <w:ind w:left="3600" w:hanging="360"/>
      </w:pPr>
    </w:lvl>
    <w:lvl w:ilvl="5" w:tplc="D702FBA6">
      <w:start w:val="1"/>
      <w:numFmt w:val="lowerRoman"/>
      <w:lvlText w:val="%6."/>
      <w:lvlJc w:val="right"/>
      <w:pPr>
        <w:ind w:left="4320" w:hanging="180"/>
      </w:pPr>
    </w:lvl>
    <w:lvl w:ilvl="6" w:tplc="CBCE293E">
      <w:start w:val="1"/>
      <w:numFmt w:val="decimal"/>
      <w:lvlText w:val="%7."/>
      <w:lvlJc w:val="left"/>
      <w:pPr>
        <w:ind w:left="5040" w:hanging="360"/>
      </w:pPr>
    </w:lvl>
    <w:lvl w:ilvl="7" w:tplc="AA6A2162">
      <w:start w:val="1"/>
      <w:numFmt w:val="lowerLetter"/>
      <w:lvlText w:val="%8."/>
      <w:lvlJc w:val="left"/>
      <w:pPr>
        <w:ind w:left="5760" w:hanging="360"/>
      </w:pPr>
    </w:lvl>
    <w:lvl w:ilvl="8" w:tplc="F66ACD2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E65B1D"/>
    <w:multiLevelType w:val="hybridMultilevel"/>
    <w:tmpl w:val="4726FFA6"/>
    <w:lvl w:ilvl="0" w:tplc="17D818B8">
      <w:start w:val="1"/>
      <w:numFmt w:val="bullet"/>
      <w:lvlText w:val="−"/>
      <w:lvlJc w:val="left"/>
      <w:pPr>
        <w:ind w:left="567" w:hanging="567"/>
      </w:pPr>
      <w:rPr>
        <w:rFonts w:ascii="Times New Roman" w:hAnsi="Times New Roman" w:cs="Times New Roman"/>
      </w:rPr>
    </w:lvl>
    <w:lvl w:ilvl="1" w:tplc="CC3A57B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48B6046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5768834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B40E2A5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5B4A88D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E36914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0A1410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4BBCCD8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>
    <w:nsid w:val="3FF274F3"/>
    <w:multiLevelType w:val="hybridMultilevel"/>
    <w:tmpl w:val="B2E69B50"/>
    <w:lvl w:ilvl="0" w:tplc="BFE89EEE">
      <w:start w:val="1"/>
      <w:numFmt w:val="lowerRoman"/>
      <w:lvlText w:val="%1)"/>
      <w:lvlJc w:val="left"/>
      <w:pPr>
        <w:ind w:left="1080" w:hanging="720"/>
      </w:pPr>
    </w:lvl>
    <w:lvl w:ilvl="1" w:tplc="9126FB42">
      <w:start w:val="1"/>
      <w:numFmt w:val="lowerLetter"/>
      <w:lvlText w:val="%2."/>
      <w:lvlJc w:val="left"/>
      <w:pPr>
        <w:ind w:left="1440" w:hanging="360"/>
      </w:pPr>
    </w:lvl>
    <w:lvl w:ilvl="2" w:tplc="B142C752">
      <w:start w:val="1"/>
      <w:numFmt w:val="lowerRoman"/>
      <w:lvlText w:val="%3."/>
      <w:lvlJc w:val="right"/>
      <w:pPr>
        <w:ind w:left="2160" w:hanging="180"/>
      </w:pPr>
    </w:lvl>
    <w:lvl w:ilvl="3" w:tplc="250CC3E2">
      <w:start w:val="1"/>
      <w:numFmt w:val="decimal"/>
      <w:lvlText w:val="%4."/>
      <w:lvlJc w:val="left"/>
      <w:pPr>
        <w:ind w:left="2880" w:hanging="360"/>
      </w:pPr>
    </w:lvl>
    <w:lvl w:ilvl="4" w:tplc="59E28DD0">
      <w:start w:val="1"/>
      <w:numFmt w:val="lowerLetter"/>
      <w:lvlText w:val="%5."/>
      <w:lvlJc w:val="left"/>
      <w:pPr>
        <w:ind w:left="3600" w:hanging="360"/>
      </w:pPr>
    </w:lvl>
    <w:lvl w:ilvl="5" w:tplc="E6805D72">
      <w:start w:val="1"/>
      <w:numFmt w:val="lowerRoman"/>
      <w:lvlText w:val="%6."/>
      <w:lvlJc w:val="right"/>
      <w:pPr>
        <w:ind w:left="4320" w:hanging="180"/>
      </w:pPr>
    </w:lvl>
    <w:lvl w:ilvl="6" w:tplc="68BA3E16">
      <w:start w:val="1"/>
      <w:numFmt w:val="decimal"/>
      <w:lvlText w:val="%7."/>
      <w:lvlJc w:val="left"/>
      <w:pPr>
        <w:ind w:left="5040" w:hanging="360"/>
      </w:pPr>
    </w:lvl>
    <w:lvl w:ilvl="7" w:tplc="3D10DB02">
      <w:start w:val="1"/>
      <w:numFmt w:val="lowerLetter"/>
      <w:lvlText w:val="%8."/>
      <w:lvlJc w:val="left"/>
      <w:pPr>
        <w:ind w:left="5760" w:hanging="360"/>
      </w:pPr>
    </w:lvl>
    <w:lvl w:ilvl="8" w:tplc="7ABC154C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3674B7"/>
    <w:multiLevelType w:val="hybridMultilevel"/>
    <w:tmpl w:val="A5901248"/>
    <w:lvl w:ilvl="0" w:tplc="B8E6F68C">
      <w:start w:val="1"/>
      <w:numFmt w:val="bullet"/>
      <w:lvlText w:val="−"/>
      <w:lvlJc w:val="left"/>
      <w:pPr>
        <w:ind w:left="680" w:hanging="396"/>
      </w:pPr>
      <w:rPr>
        <w:rFonts w:ascii="Times New Roman" w:hAnsi="Times New Roman" w:cs="Times New Roman"/>
      </w:rPr>
    </w:lvl>
    <w:lvl w:ilvl="1" w:tplc="15B07FE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0ED07DFA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232C26A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1727A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CB504F1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9B25DF0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5CDCF24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6A241E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>
    <w:nsid w:val="446934D8"/>
    <w:multiLevelType w:val="hybridMultilevel"/>
    <w:tmpl w:val="EA0C7704"/>
    <w:lvl w:ilvl="0" w:tplc="4B882D5C">
      <w:start w:val="1"/>
      <w:numFmt w:val="bullet"/>
      <w:lvlText w:val="−"/>
      <w:lvlJc w:val="left"/>
      <w:pPr>
        <w:ind w:left="756" w:hanging="586"/>
      </w:pPr>
      <w:rPr>
        <w:rFonts w:ascii="Times New Roman" w:hAnsi="Times New Roman" w:cs="Times New Roman"/>
      </w:rPr>
    </w:lvl>
    <w:lvl w:ilvl="1" w:tplc="700011D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B610FF8C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8802932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ACCED26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D98ECEF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3C0CFBA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D806F6A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EC00846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>
    <w:nsid w:val="4CB04083"/>
    <w:multiLevelType w:val="hybridMultilevel"/>
    <w:tmpl w:val="331ADAB0"/>
    <w:lvl w:ilvl="0" w:tplc="455C26E0">
      <w:start w:val="1"/>
      <w:numFmt w:val="bullet"/>
      <w:lvlText w:val="−"/>
      <w:lvlJc w:val="left"/>
      <w:pPr>
        <w:ind w:left="567" w:hanging="283"/>
      </w:pPr>
      <w:rPr>
        <w:rFonts w:ascii="Times New Roman" w:hAnsi="Times New Roman" w:cs="Times New Roman"/>
      </w:rPr>
    </w:lvl>
    <w:lvl w:ilvl="1" w:tplc="BF42F7D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9106F74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1966C054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DFFAF99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E90ABFA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B572729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B09CE4C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777AEFE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>
    <w:nsid w:val="52AA02F0"/>
    <w:multiLevelType w:val="hybridMultilevel"/>
    <w:tmpl w:val="CBF05D66"/>
    <w:lvl w:ilvl="0" w:tplc="ACD2756A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F79EF5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272AE9C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E7D4644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98F8F50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DBA019B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11EC0CCC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2C701D5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BE289B5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>
    <w:nsid w:val="5E510723"/>
    <w:multiLevelType w:val="hybridMultilevel"/>
    <w:tmpl w:val="DCE6E9DE"/>
    <w:lvl w:ilvl="0" w:tplc="AB100C3C">
      <w:start w:val="1"/>
      <w:numFmt w:val="lowerLetter"/>
      <w:lvlText w:val="%1)"/>
      <w:lvlJc w:val="left"/>
      <w:pPr>
        <w:ind w:left="720" w:hanging="360"/>
      </w:pPr>
    </w:lvl>
    <w:lvl w:ilvl="1" w:tplc="A99EA0A4">
      <w:start w:val="1"/>
      <w:numFmt w:val="lowerLetter"/>
      <w:lvlText w:val="%2."/>
      <w:lvlJc w:val="left"/>
      <w:pPr>
        <w:ind w:left="1440" w:hanging="360"/>
      </w:pPr>
    </w:lvl>
    <w:lvl w:ilvl="2" w:tplc="4BC2AC32">
      <w:start w:val="1"/>
      <w:numFmt w:val="lowerRoman"/>
      <w:lvlText w:val="%3."/>
      <w:lvlJc w:val="right"/>
      <w:pPr>
        <w:ind w:left="2160" w:hanging="180"/>
      </w:pPr>
    </w:lvl>
    <w:lvl w:ilvl="3" w:tplc="7E6EA732">
      <w:start w:val="1"/>
      <w:numFmt w:val="decimal"/>
      <w:lvlText w:val="%4."/>
      <w:lvlJc w:val="left"/>
      <w:pPr>
        <w:ind w:left="2880" w:hanging="360"/>
      </w:pPr>
    </w:lvl>
    <w:lvl w:ilvl="4" w:tplc="B338F192">
      <w:start w:val="1"/>
      <w:numFmt w:val="lowerLetter"/>
      <w:lvlText w:val="%5."/>
      <w:lvlJc w:val="left"/>
      <w:pPr>
        <w:ind w:left="3600" w:hanging="360"/>
      </w:pPr>
    </w:lvl>
    <w:lvl w:ilvl="5" w:tplc="FB90866E">
      <w:start w:val="1"/>
      <w:numFmt w:val="lowerRoman"/>
      <w:lvlText w:val="%6."/>
      <w:lvlJc w:val="right"/>
      <w:pPr>
        <w:ind w:left="4320" w:hanging="180"/>
      </w:pPr>
    </w:lvl>
    <w:lvl w:ilvl="6" w:tplc="BA7A52AE">
      <w:start w:val="1"/>
      <w:numFmt w:val="decimal"/>
      <w:lvlText w:val="%7."/>
      <w:lvlJc w:val="left"/>
      <w:pPr>
        <w:ind w:left="5040" w:hanging="360"/>
      </w:pPr>
    </w:lvl>
    <w:lvl w:ilvl="7" w:tplc="6DB8B18E">
      <w:start w:val="1"/>
      <w:numFmt w:val="lowerLetter"/>
      <w:lvlText w:val="%8."/>
      <w:lvlJc w:val="left"/>
      <w:pPr>
        <w:ind w:left="5760" w:hanging="360"/>
      </w:pPr>
    </w:lvl>
    <w:lvl w:ilvl="8" w:tplc="32927B56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5F2C79"/>
    <w:multiLevelType w:val="hybridMultilevel"/>
    <w:tmpl w:val="98684812"/>
    <w:lvl w:ilvl="0" w:tplc="39E8EE78">
      <w:start w:val="1"/>
      <w:numFmt w:val="bullet"/>
      <w:lvlText w:val="−"/>
      <w:lvlJc w:val="left"/>
      <w:pPr>
        <w:ind w:left="454" w:hanging="397"/>
      </w:pPr>
      <w:rPr>
        <w:rFonts w:ascii="Times New Roman" w:hAnsi="Times New Roman" w:cs="Times New Roman"/>
      </w:rPr>
    </w:lvl>
    <w:lvl w:ilvl="1" w:tplc="068C80D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DE8677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3B4505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BA1E9B5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7276A67A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3DFC60C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6D72200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5F54A8E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>
    <w:nsid w:val="66645BED"/>
    <w:multiLevelType w:val="hybridMultilevel"/>
    <w:tmpl w:val="B11E5AB2"/>
    <w:lvl w:ilvl="0" w:tplc="B07E428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C70EF1F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102854A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A2CCDE0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026EB43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D570AB40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59489A3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E084AA5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5160628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>
    <w:nsid w:val="715A4F03"/>
    <w:multiLevelType w:val="hybridMultilevel"/>
    <w:tmpl w:val="F0B61E22"/>
    <w:lvl w:ilvl="0" w:tplc="62FA901E">
      <w:start w:val="1"/>
      <w:numFmt w:val="bullet"/>
      <w:lvlText w:val="−"/>
      <w:lvlJc w:val="left"/>
      <w:pPr>
        <w:ind w:left="454" w:hanging="94"/>
      </w:pPr>
      <w:rPr>
        <w:rFonts w:ascii="Times New Roman" w:hAnsi="Times New Roman" w:cs="Times New Roman"/>
      </w:rPr>
    </w:lvl>
    <w:lvl w:ilvl="1" w:tplc="37F4D44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B7E088F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DB14094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EB84E2C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19CA89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D39A71E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1390D97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1AA6ADB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>
    <w:nsid w:val="773204EF"/>
    <w:multiLevelType w:val="hybridMultilevel"/>
    <w:tmpl w:val="EA08BB6E"/>
    <w:lvl w:ilvl="0" w:tplc="FE6C0AA6">
      <w:start w:val="1"/>
      <w:numFmt w:val="lowerRoman"/>
      <w:lvlText w:val="%1)"/>
      <w:lvlJc w:val="left"/>
      <w:pPr>
        <w:ind w:left="1080" w:hanging="720"/>
      </w:pPr>
    </w:lvl>
    <w:lvl w:ilvl="1" w:tplc="F7AAEB28">
      <w:start w:val="1"/>
      <w:numFmt w:val="lowerLetter"/>
      <w:lvlText w:val="%2."/>
      <w:lvlJc w:val="left"/>
      <w:pPr>
        <w:ind w:left="1440" w:hanging="360"/>
      </w:pPr>
    </w:lvl>
    <w:lvl w:ilvl="2" w:tplc="20FEFA94">
      <w:start w:val="1"/>
      <w:numFmt w:val="lowerRoman"/>
      <w:lvlText w:val="%3."/>
      <w:lvlJc w:val="right"/>
      <w:pPr>
        <w:ind w:left="2160" w:hanging="180"/>
      </w:pPr>
    </w:lvl>
    <w:lvl w:ilvl="3" w:tplc="82881B7C">
      <w:start w:val="1"/>
      <w:numFmt w:val="decimal"/>
      <w:lvlText w:val="%4."/>
      <w:lvlJc w:val="left"/>
      <w:pPr>
        <w:ind w:left="2880" w:hanging="360"/>
      </w:pPr>
    </w:lvl>
    <w:lvl w:ilvl="4" w:tplc="DDD27544">
      <w:start w:val="1"/>
      <w:numFmt w:val="lowerLetter"/>
      <w:lvlText w:val="%5."/>
      <w:lvlJc w:val="left"/>
      <w:pPr>
        <w:ind w:left="3600" w:hanging="360"/>
      </w:pPr>
    </w:lvl>
    <w:lvl w:ilvl="5" w:tplc="27D8F430">
      <w:start w:val="1"/>
      <w:numFmt w:val="lowerRoman"/>
      <w:lvlText w:val="%6."/>
      <w:lvlJc w:val="right"/>
      <w:pPr>
        <w:ind w:left="4320" w:hanging="180"/>
      </w:pPr>
    </w:lvl>
    <w:lvl w:ilvl="6" w:tplc="8D9C1B36">
      <w:start w:val="1"/>
      <w:numFmt w:val="decimal"/>
      <w:lvlText w:val="%7."/>
      <w:lvlJc w:val="left"/>
      <w:pPr>
        <w:ind w:left="5040" w:hanging="360"/>
      </w:pPr>
    </w:lvl>
    <w:lvl w:ilvl="7" w:tplc="5BA2B14A">
      <w:start w:val="1"/>
      <w:numFmt w:val="lowerLetter"/>
      <w:lvlText w:val="%8."/>
      <w:lvlJc w:val="left"/>
      <w:pPr>
        <w:ind w:left="5760" w:hanging="360"/>
      </w:pPr>
    </w:lvl>
    <w:lvl w:ilvl="8" w:tplc="09CE9884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3"/>
  </w:num>
  <w:num w:numId="3">
    <w:abstractNumId w:val="4"/>
  </w:num>
  <w:num w:numId="4">
    <w:abstractNumId w:val="0"/>
  </w:num>
  <w:num w:numId="5">
    <w:abstractNumId w:val="3"/>
  </w:num>
  <w:num w:numId="6">
    <w:abstractNumId w:val="9"/>
  </w:num>
  <w:num w:numId="7">
    <w:abstractNumId w:val="2"/>
  </w:num>
  <w:num w:numId="8">
    <w:abstractNumId w:val="7"/>
  </w:num>
  <w:num w:numId="9">
    <w:abstractNumId w:val="8"/>
  </w:num>
  <w:num w:numId="10">
    <w:abstractNumId w:val="5"/>
  </w:num>
  <w:num w:numId="11">
    <w:abstractNumId w:val="14"/>
  </w:num>
  <w:num w:numId="12">
    <w:abstractNumId w:val="12"/>
  </w:num>
  <w:num w:numId="13">
    <w:abstractNumId w:val="10"/>
  </w:num>
  <w:num w:numId="14">
    <w:abstractNumId w:val="11"/>
  </w:num>
  <w:num w:numId="15">
    <w:abstractNumId w:val="6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3FBC"/>
    <w:rsid w:val="0000421F"/>
    <w:rsid w:val="00004693"/>
    <w:rsid w:val="00004F35"/>
    <w:rsid w:val="0000667C"/>
    <w:rsid w:val="00012DBD"/>
    <w:rsid w:val="000130F8"/>
    <w:rsid w:val="00013B38"/>
    <w:rsid w:val="00014352"/>
    <w:rsid w:val="0001615F"/>
    <w:rsid w:val="00016E12"/>
    <w:rsid w:val="00020F43"/>
    <w:rsid w:val="00023596"/>
    <w:rsid w:val="00023FA5"/>
    <w:rsid w:val="00025683"/>
    <w:rsid w:val="000263C5"/>
    <w:rsid w:val="000270FE"/>
    <w:rsid w:val="0003634B"/>
    <w:rsid w:val="00036E64"/>
    <w:rsid w:val="000431B3"/>
    <w:rsid w:val="00043CDC"/>
    <w:rsid w:val="00044F60"/>
    <w:rsid w:val="00045518"/>
    <w:rsid w:val="0004574C"/>
    <w:rsid w:val="00047292"/>
    <w:rsid w:val="000500D2"/>
    <w:rsid w:val="000502D2"/>
    <w:rsid w:val="00051269"/>
    <w:rsid w:val="00052F8B"/>
    <w:rsid w:val="00054F29"/>
    <w:rsid w:val="00056D07"/>
    <w:rsid w:val="0006143E"/>
    <w:rsid w:val="00061B5A"/>
    <w:rsid w:val="00061CE4"/>
    <w:rsid w:val="00070726"/>
    <w:rsid w:val="00070A80"/>
    <w:rsid w:val="0007172F"/>
    <w:rsid w:val="00072EF9"/>
    <w:rsid w:val="00074189"/>
    <w:rsid w:val="00074E75"/>
    <w:rsid w:val="00075AEB"/>
    <w:rsid w:val="00082CD0"/>
    <w:rsid w:val="00084610"/>
    <w:rsid w:val="00084909"/>
    <w:rsid w:val="00085793"/>
    <w:rsid w:val="000863FC"/>
    <w:rsid w:val="00086F43"/>
    <w:rsid w:val="00087FE2"/>
    <w:rsid w:val="0009048F"/>
    <w:rsid w:val="000923BC"/>
    <w:rsid w:val="00092BAA"/>
    <w:rsid w:val="00093314"/>
    <w:rsid w:val="00094870"/>
    <w:rsid w:val="00096222"/>
    <w:rsid w:val="0009791A"/>
    <w:rsid w:val="000A063A"/>
    <w:rsid w:val="000A1B80"/>
    <w:rsid w:val="000A55A3"/>
    <w:rsid w:val="000A5681"/>
    <w:rsid w:val="000A56A1"/>
    <w:rsid w:val="000A5993"/>
    <w:rsid w:val="000A5CA3"/>
    <w:rsid w:val="000A758F"/>
    <w:rsid w:val="000A7F45"/>
    <w:rsid w:val="000B086A"/>
    <w:rsid w:val="000B1343"/>
    <w:rsid w:val="000B1782"/>
    <w:rsid w:val="000B1A11"/>
    <w:rsid w:val="000B227D"/>
    <w:rsid w:val="000B34CA"/>
    <w:rsid w:val="000B477C"/>
    <w:rsid w:val="000B7B40"/>
    <w:rsid w:val="000C0153"/>
    <w:rsid w:val="000C0404"/>
    <w:rsid w:val="000C14BD"/>
    <w:rsid w:val="000C1519"/>
    <w:rsid w:val="000C278D"/>
    <w:rsid w:val="000C38FE"/>
    <w:rsid w:val="000C63F4"/>
    <w:rsid w:val="000C7B22"/>
    <w:rsid w:val="000C7FB7"/>
    <w:rsid w:val="000D03BE"/>
    <w:rsid w:val="000D7105"/>
    <w:rsid w:val="000E0D6B"/>
    <w:rsid w:val="000E194D"/>
    <w:rsid w:val="000E4280"/>
    <w:rsid w:val="000E6602"/>
    <w:rsid w:val="000F115B"/>
    <w:rsid w:val="000F2080"/>
    <w:rsid w:val="000F41F8"/>
    <w:rsid w:val="000F54DE"/>
    <w:rsid w:val="00100813"/>
    <w:rsid w:val="00101FD6"/>
    <w:rsid w:val="00103731"/>
    <w:rsid w:val="00105004"/>
    <w:rsid w:val="001062B1"/>
    <w:rsid w:val="00106469"/>
    <w:rsid w:val="00106C11"/>
    <w:rsid w:val="00110A79"/>
    <w:rsid w:val="00112C9D"/>
    <w:rsid w:val="0011327A"/>
    <w:rsid w:val="00113CBB"/>
    <w:rsid w:val="001142A6"/>
    <w:rsid w:val="00115DCE"/>
    <w:rsid w:val="00117897"/>
    <w:rsid w:val="00117F55"/>
    <w:rsid w:val="00130FCE"/>
    <w:rsid w:val="00131CD2"/>
    <w:rsid w:val="00133D70"/>
    <w:rsid w:val="001346FE"/>
    <w:rsid w:val="00136CCA"/>
    <w:rsid w:val="0013730E"/>
    <w:rsid w:val="0013787D"/>
    <w:rsid w:val="00141CBF"/>
    <w:rsid w:val="001433D5"/>
    <w:rsid w:val="0014565D"/>
    <w:rsid w:val="00146201"/>
    <w:rsid w:val="001501C5"/>
    <w:rsid w:val="00150E7E"/>
    <w:rsid w:val="00152906"/>
    <w:rsid w:val="00152CED"/>
    <w:rsid w:val="00152DA8"/>
    <w:rsid w:val="00153705"/>
    <w:rsid w:val="00153B07"/>
    <w:rsid w:val="001564E7"/>
    <w:rsid w:val="0016393E"/>
    <w:rsid w:val="0016467C"/>
    <w:rsid w:val="00164756"/>
    <w:rsid w:val="00164E75"/>
    <w:rsid w:val="001653C7"/>
    <w:rsid w:val="001660A0"/>
    <w:rsid w:val="0016729F"/>
    <w:rsid w:val="00173194"/>
    <w:rsid w:val="00177D79"/>
    <w:rsid w:val="00180861"/>
    <w:rsid w:val="0018141C"/>
    <w:rsid w:val="001814FB"/>
    <w:rsid w:val="00181DC6"/>
    <w:rsid w:val="00182E37"/>
    <w:rsid w:val="00184977"/>
    <w:rsid w:val="00185391"/>
    <w:rsid w:val="00186B91"/>
    <w:rsid w:val="00187CB1"/>
    <w:rsid w:val="0019011B"/>
    <w:rsid w:val="00192359"/>
    <w:rsid w:val="00193791"/>
    <w:rsid w:val="00195E21"/>
    <w:rsid w:val="00197137"/>
    <w:rsid w:val="00197175"/>
    <w:rsid w:val="001A05B9"/>
    <w:rsid w:val="001A1FD1"/>
    <w:rsid w:val="001A6621"/>
    <w:rsid w:val="001A6F05"/>
    <w:rsid w:val="001A77F6"/>
    <w:rsid w:val="001A7F16"/>
    <w:rsid w:val="001B09A4"/>
    <w:rsid w:val="001B13F4"/>
    <w:rsid w:val="001B1CFB"/>
    <w:rsid w:val="001B3149"/>
    <w:rsid w:val="001B6EEE"/>
    <w:rsid w:val="001B7D8D"/>
    <w:rsid w:val="001C0FB7"/>
    <w:rsid w:val="001C11E9"/>
    <w:rsid w:val="001C2E50"/>
    <w:rsid w:val="001C5692"/>
    <w:rsid w:val="001C7319"/>
    <w:rsid w:val="001C7EBB"/>
    <w:rsid w:val="001D331E"/>
    <w:rsid w:val="001D3B33"/>
    <w:rsid w:val="001D78B4"/>
    <w:rsid w:val="001E0381"/>
    <w:rsid w:val="001E2478"/>
    <w:rsid w:val="001E7861"/>
    <w:rsid w:val="001F0BA0"/>
    <w:rsid w:val="001F25B9"/>
    <w:rsid w:val="001F2F7C"/>
    <w:rsid w:val="001F3791"/>
    <w:rsid w:val="001F55B7"/>
    <w:rsid w:val="001F5CD3"/>
    <w:rsid w:val="00202548"/>
    <w:rsid w:val="00204817"/>
    <w:rsid w:val="00205E1C"/>
    <w:rsid w:val="00205F85"/>
    <w:rsid w:val="0020703C"/>
    <w:rsid w:val="00211D55"/>
    <w:rsid w:val="00212D3C"/>
    <w:rsid w:val="002159F9"/>
    <w:rsid w:val="002169DC"/>
    <w:rsid w:val="00217F8C"/>
    <w:rsid w:val="002245A1"/>
    <w:rsid w:val="00226731"/>
    <w:rsid w:val="0023044F"/>
    <w:rsid w:val="00232A94"/>
    <w:rsid w:val="00233922"/>
    <w:rsid w:val="00236927"/>
    <w:rsid w:val="00237880"/>
    <w:rsid w:val="00240E56"/>
    <w:rsid w:val="002428B2"/>
    <w:rsid w:val="00242A78"/>
    <w:rsid w:val="00244F07"/>
    <w:rsid w:val="0024612E"/>
    <w:rsid w:val="002466FF"/>
    <w:rsid w:val="00247BEA"/>
    <w:rsid w:val="002507B0"/>
    <w:rsid w:val="00251CC8"/>
    <w:rsid w:val="00252DAD"/>
    <w:rsid w:val="002538A1"/>
    <w:rsid w:val="00254250"/>
    <w:rsid w:val="002546F2"/>
    <w:rsid w:val="00256348"/>
    <w:rsid w:val="00256A86"/>
    <w:rsid w:val="00260AFE"/>
    <w:rsid w:val="0026113E"/>
    <w:rsid w:val="002628DD"/>
    <w:rsid w:val="0026724B"/>
    <w:rsid w:val="00273593"/>
    <w:rsid w:val="00273618"/>
    <w:rsid w:val="002738BD"/>
    <w:rsid w:val="00275E8A"/>
    <w:rsid w:val="00277DC6"/>
    <w:rsid w:val="00281B1C"/>
    <w:rsid w:val="0028309C"/>
    <w:rsid w:val="00283511"/>
    <w:rsid w:val="002842EE"/>
    <w:rsid w:val="00284B60"/>
    <w:rsid w:val="00285A74"/>
    <w:rsid w:val="0028685E"/>
    <w:rsid w:val="002902BA"/>
    <w:rsid w:val="00290896"/>
    <w:rsid w:val="002915D7"/>
    <w:rsid w:val="00291797"/>
    <w:rsid w:val="00292142"/>
    <w:rsid w:val="00294EB9"/>
    <w:rsid w:val="00294F14"/>
    <w:rsid w:val="002970DB"/>
    <w:rsid w:val="00297350"/>
    <w:rsid w:val="002973A7"/>
    <w:rsid w:val="0029792F"/>
    <w:rsid w:val="002A0885"/>
    <w:rsid w:val="002A1597"/>
    <w:rsid w:val="002A3119"/>
    <w:rsid w:val="002A46B5"/>
    <w:rsid w:val="002A4C69"/>
    <w:rsid w:val="002A5796"/>
    <w:rsid w:val="002A6008"/>
    <w:rsid w:val="002A7291"/>
    <w:rsid w:val="002A7444"/>
    <w:rsid w:val="002A7D44"/>
    <w:rsid w:val="002B03F2"/>
    <w:rsid w:val="002B128F"/>
    <w:rsid w:val="002B2E75"/>
    <w:rsid w:val="002B39C8"/>
    <w:rsid w:val="002B3ED7"/>
    <w:rsid w:val="002B70F0"/>
    <w:rsid w:val="002C096F"/>
    <w:rsid w:val="002C3AE0"/>
    <w:rsid w:val="002C3B97"/>
    <w:rsid w:val="002C41CC"/>
    <w:rsid w:val="002C44FE"/>
    <w:rsid w:val="002C627A"/>
    <w:rsid w:val="002C6A8E"/>
    <w:rsid w:val="002C7A15"/>
    <w:rsid w:val="002D0487"/>
    <w:rsid w:val="002D5E2C"/>
    <w:rsid w:val="002D6145"/>
    <w:rsid w:val="002D69C9"/>
    <w:rsid w:val="002E0AE2"/>
    <w:rsid w:val="002E325E"/>
    <w:rsid w:val="002E4BC3"/>
    <w:rsid w:val="002E543B"/>
    <w:rsid w:val="002E7805"/>
    <w:rsid w:val="002E7C26"/>
    <w:rsid w:val="002F02C8"/>
    <w:rsid w:val="002F4594"/>
    <w:rsid w:val="002F45A8"/>
    <w:rsid w:val="002F57E8"/>
    <w:rsid w:val="002F6401"/>
    <w:rsid w:val="002F665C"/>
    <w:rsid w:val="002F7346"/>
    <w:rsid w:val="00302E77"/>
    <w:rsid w:val="003042CB"/>
    <w:rsid w:val="0030556D"/>
    <w:rsid w:val="0030583C"/>
    <w:rsid w:val="00307EED"/>
    <w:rsid w:val="003132CA"/>
    <w:rsid w:val="003134CC"/>
    <w:rsid w:val="00313B9F"/>
    <w:rsid w:val="00315CAD"/>
    <w:rsid w:val="00317FA0"/>
    <w:rsid w:val="00320D32"/>
    <w:rsid w:val="00320F67"/>
    <w:rsid w:val="00324C96"/>
    <w:rsid w:val="00324DC7"/>
    <w:rsid w:val="0032714F"/>
    <w:rsid w:val="00327897"/>
    <w:rsid w:val="00327C1D"/>
    <w:rsid w:val="00330138"/>
    <w:rsid w:val="00330954"/>
    <w:rsid w:val="00335844"/>
    <w:rsid w:val="00337B82"/>
    <w:rsid w:val="00343460"/>
    <w:rsid w:val="00345278"/>
    <w:rsid w:val="0034708A"/>
    <w:rsid w:val="00347477"/>
    <w:rsid w:val="00360B00"/>
    <w:rsid w:val="00361B29"/>
    <w:rsid w:val="00363386"/>
    <w:rsid w:val="003649BE"/>
    <w:rsid w:val="00366C8B"/>
    <w:rsid w:val="00366CB3"/>
    <w:rsid w:val="0036702E"/>
    <w:rsid w:val="0036750E"/>
    <w:rsid w:val="00370A5C"/>
    <w:rsid w:val="0037471C"/>
    <w:rsid w:val="00374CF4"/>
    <w:rsid w:val="0037565B"/>
    <w:rsid w:val="00375B04"/>
    <w:rsid w:val="00375BAD"/>
    <w:rsid w:val="0037633D"/>
    <w:rsid w:val="00377535"/>
    <w:rsid w:val="0038099B"/>
    <w:rsid w:val="0038201B"/>
    <w:rsid w:val="003846A7"/>
    <w:rsid w:val="00384744"/>
    <w:rsid w:val="00386451"/>
    <w:rsid w:val="00387EB3"/>
    <w:rsid w:val="003920E7"/>
    <w:rsid w:val="0039230E"/>
    <w:rsid w:val="003937D2"/>
    <w:rsid w:val="00394B73"/>
    <w:rsid w:val="00394ED2"/>
    <w:rsid w:val="00396118"/>
    <w:rsid w:val="0039715E"/>
    <w:rsid w:val="00397EFD"/>
    <w:rsid w:val="003A00C4"/>
    <w:rsid w:val="003A1A90"/>
    <w:rsid w:val="003A2D1D"/>
    <w:rsid w:val="003A4962"/>
    <w:rsid w:val="003A568D"/>
    <w:rsid w:val="003A5CA2"/>
    <w:rsid w:val="003A6360"/>
    <w:rsid w:val="003B0602"/>
    <w:rsid w:val="003B1B28"/>
    <w:rsid w:val="003B2154"/>
    <w:rsid w:val="003B40DC"/>
    <w:rsid w:val="003B75D7"/>
    <w:rsid w:val="003C1682"/>
    <w:rsid w:val="003C4BEA"/>
    <w:rsid w:val="003C4CDD"/>
    <w:rsid w:val="003C619E"/>
    <w:rsid w:val="003C75DE"/>
    <w:rsid w:val="003D036A"/>
    <w:rsid w:val="003D271B"/>
    <w:rsid w:val="003D334A"/>
    <w:rsid w:val="003D55DB"/>
    <w:rsid w:val="003D6F89"/>
    <w:rsid w:val="003D7EC7"/>
    <w:rsid w:val="003E1FD7"/>
    <w:rsid w:val="003E2CA0"/>
    <w:rsid w:val="003E3ABC"/>
    <w:rsid w:val="003E4C9A"/>
    <w:rsid w:val="003E5C55"/>
    <w:rsid w:val="003E5E38"/>
    <w:rsid w:val="003F5384"/>
    <w:rsid w:val="003F59FE"/>
    <w:rsid w:val="003F67B4"/>
    <w:rsid w:val="003F6AB5"/>
    <w:rsid w:val="003F6F06"/>
    <w:rsid w:val="00400B6D"/>
    <w:rsid w:val="00401B9D"/>
    <w:rsid w:val="00402540"/>
    <w:rsid w:val="0040263B"/>
    <w:rsid w:val="004068AD"/>
    <w:rsid w:val="00410C44"/>
    <w:rsid w:val="0041220E"/>
    <w:rsid w:val="00417904"/>
    <w:rsid w:val="00420372"/>
    <w:rsid w:val="00421987"/>
    <w:rsid w:val="00423D5F"/>
    <w:rsid w:val="00424A60"/>
    <w:rsid w:val="00426E29"/>
    <w:rsid w:val="004327CB"/>
    <w:rsid w:val="004358EA"/>
    <w:rsid w:val="00440D26"/>
    <w:rsid w:val="0044306F"/>
    <w:rsid w:val="004444C9"/>
    <w:rsid w:val="00444A9F"/>
    <w:rsid w:val="00445E2F"/>
    <w:rsid w:val="00445E82"/>
    <w:rsid w:val="00447448"/>
    <w:rsid w:val="00452929"/>
    <w:rsid w:val="00453B94"/>
    <w:rsid w:val="00454B93"/>
    <w:rsid w:val="00455407"/>
    <w:rsid w:val="00455744"/>
    <w:rsid w:val="004576AF"/>
    <w:rsid w:val="00461E2E"/>
    <w:rsid w:val="00462BF0"/>
    <w:rsid w:val="004633BA"/>
    <w:rsid w:val="00465B39"/>
    <w:rsid w:val="0046605F"/>
    <w:rsid w:val="00466371"/>
    <w:rsid w:val="00470B49"/>
    <w:rsid w:val="00471190"/>
    <w:rsid w:val="004742F2"/>
    <w:rsid w:val="00474DCD"/>
    <w:rsid w:val="00476D13"/>
    <w:rsid w:val="00480433"/>
    <w:rsid w:val="00482286"/>
    <w:rsid w:val="00482592"/>
    <w:rsid w:val="00482742"/>
    <w:rsid w:val="00487038"/>
    <w:rsid w:val="004878EB"/>
    <w:rsid w:val="004906B3"/>
    <w:rsid w:val="0049138E"/>
    <w:rsid w:val="00491C0B"/>
    <w:rsid w:val="00492324"/>
    <w:rsid w:val="004923C1"/>
    <w:rsid w:val="0049438C"/>
    <w:rsid w:val="00494D1C"/>
    <w:rsid w:val="00494E07"/>
    <w:rsid w:val="00496451"/>
    <w:rsid w:val="0049794F"/>
    <w:rsid w:val="004A22C9"/>
    <w:rsid w:val="004A29C7"/>
    <w:rsid w:val="004A5020"/>
    <w:rsid w:val="004A765C"/>
    <w:rsid w:val="004B4672"/>
    <w:rsid w:val="004B5788"/>
    <w:rsid w:val="004B7524"/>
    <w:rsid w:val="004C10D5"/>
    <w:rsid w:val="004C148C"/>
    <w:rsid w:val="004C2789"/>
    <w:rsid w:val="004C2FB8"/>
    <w:rsid w:val="004C4721"/>
    <w:rsid w:val="004C6E98"/>
    <w:rsid w:val="004C7979"/>
    <w:rsid w:val="004D15AC"/>
    <w:rsid w:val="004D34C6"/>
    <w:rsid w:val="004D47D0"/>
    <w:rsid w:val="004D5F68"/>
    <w:rsid w:val="004E1B88"/>
    <w:rsid w:val="004E2212"/>
    <w:rsid w:val="004E243C"/>
    <w:rsid w:val="004E59DE"/>
    <w:rsid w:val="004E61B0"/>
    <w:rsid w:val="004F3065"/>
    <w:rsid w:val="004F310E"/>
    <w:rsid w:val="004F314C"/>
    <w:rsid w:val="004F3181"/>
    <w:rsid w:val="004F417B"/>
    <w:rsid w:val="004F6ED5"/>
    <w:rsid w:val="004F7736"/>
    <w:rsid w:val="004F79C8"/>
    <w:rsid w:val="005001DE"/>
    <w:rsid w:val="0050056D"/>
    <w:rsid w:val="005005C5"/>
    <w:rsid w:val="005013CA"/>
    <w:rsid w:val="00501D19"/>
    <w:rsid w:val="00503208"/>
    <w:rsid w:val="005037E1"/>
    <w:rsid w:val="0050727B"/>
    <w:rsid w:val="00510789"/>
    <w:rsid w:val="00511747"/>
    <w:rsid w:val="00512347"/>
    <w:rsid w:val="0051251D"/>
    <w:rsid w:val="0051294A"/>
    <w:rsid w:val="00513345"/>
    <w:rsid w:val="0051374A"/>
    <w:rsid w:val="005159F1"/>
    <w:rsid w:val="00517A7A"/>
    <w:rsid w:val="00522454"/>
    <w:rsid w:val="00524073"/>
    <w:rsid w:val="00525A7B"/>
    <w:rsid w:val="00526395"/>
    <w:rsid w:val="005271FE"/>
    <w:rsid w:val="00530AAB"/>
    <w:rsid w:val="00530BDB"/>
    <w:rsid w:val="0053250E"/>
    <w:rsid w:val="00533767"/>
    <w:rsid w:val="00534670"/>
    <w:rsid w:val="0053501C"/>
    <w:rsid w:val="0053536B"/>
    <w:rsid w:val="00536923"/>
    <w:rsid w:val="00540412"/>
    <w:rsid w:val="00540D0F"/>
    <w:rsid w:val="00542A65"/>
    <w:rsid w:val="00543645"/>
    <w:rsid w:val="00543941"/>
    <w:rsid w:val="0054406D"/>
    <w:rsid w:val="005440C4"/>
    <w:rsid w:val="00544CF0"/>
    <w:rsid w:val="00546186"/>
    <w:rsid w:val="00546689"/>
    <w:rsid w:val="00546A1F"/>
    <w:rsid w:val="005476B1"/>
    <w:rsid w:val="005519F8"/>
    <w:rsid w:val="00552641"/>
    <w:rsid w:val="005677EE"/>
    <w:rsid w:val="005705BE"/>
    <w:rsid w:val="00570DB0"/>
    <w:rsid w:val="00572215"/>
    <w:rsid w:val="005730D2"/>
    <w:rsid w:val="00576858"/>
    <w:rsid w:val="00576DC5"/>
    <w:rsid w:val="005777FB"/>
    <w:rsid w:val="00577B51"/>
    <w:rsid w:val="00580682"/>
    <w:rsid w:val="00580A13"/>
    <w:rsid w:val="00581F89"/>
    <w:rsid w:val="005842A3"/>
    <w:rsid w:val="00586763"/>
    <w:rsid w:val="00586CAF"/>
    <w:rsid w:val="00590904"/>
    <w:rsid w:val="00593BAA"/>
    <w:rsid w:val="0059614D"/>
    <w:rsid w:val="005A2B21"/>
    <w:rsid w:val="005A4076"/>
    <w:rsid w:val="005A525A"/>
    <w:rsid w:val="005A5FAC"/>
    <w:rsid w:val="005A7725"/>
    <w:rsid w:val="005A7A7E"/>
    <w:rsid w:val="005B2FC1"/>
    <w:rsid w:val="005B3D82"/>
    <w:rsid w:val="005B517C"/>
    <w:rsid w:val="005B773F"/>
    <w:rsid w:val="005C0126"/>
    <w:rsid w:val="005C0C31"/>
    <w:rsid w:val="005C36EC"/>
    <w:rsid w:val="005C3B65"/>
    <w:rsid w:val="005C5C66"/>
    <w:rsid w:val="005C73AD"/>
    <w:rsid w:val="005D01D3"/>
    <w:rsid w:val="005D0AFE"/>
    <w:rsid w:val="005D1C67"/>
    <w:rsid w:val="005D1DD6"/>
    <w:rsid w:val="005D3656"/>
    <w:rsid w:val="005D43C0"/>
    <w:rsid w:val="005D4513"/>
    <w:rsid w:val="005D4815"/>
    <w:rsid w:val="005D4EC4"/>
    <w:rsid w:val="005E02D6"/>
    <w:rsid w:val="005E0CAD"/>
    <w:rsid w:val="005E396B"/>
    <w:rsid w:val="005E3C55"/>
    <w:rsid w:val="005E4EDE"/>
    <w:rsid w:val="005E7BDF"/>
    <w:rsid w:val="005F3646"/>
    <w:rsid w:val="005F3A08"/>
    <w:rsid w:val="005F4162"/>
    <w:rsid w:val="005F62AE"/>
    <w:rsid w:val="005F7474"/>
    <w:rsid w:val="005F7836"/>
    <w:rsid w:val="0060044E"/>
    <w:rsid w:val="00602644"/>
    <w:rsid w:val="00602B4C"/>
    <w:rsid w:val="00603038"/>
    <w:rsid w:val="0060322C"/>
    <w:rsid w:val="006057C1"/>
    <w:rsid w:val="00605940"/>
    <w:rsid w:val="006118D4"/>
    <w:rsid w:val="00614663"/>
    <w:rsid w:val="0062000F"/>
    <w:rsid w:val="00620263"/>
    <w:rsid w:val="0062053D"/>
    <w:rsid w:val="00622B90"/>
    <w:rsid w:val="00623D5A"/>
    <w:rsid w:val="00624844"/>
    <w:rsid w:val="00624E30"/>
    <w:rsid w:val="006275A4"/>
    <w:rsid w:val="00627755"/>
    <w:rsid w:val="006304CE"/>
    <w:rsid w:val="006323D7"/>
    <w:rsid w:val="00632B5E"/>
    <w:rsid w:val="00635818"/>
    <w:rsid w:val="00636464"/>
    <w:rsid w:val="00636C14"/>
    <w:rsid w:val="006376FD"/>
    <w:rsid w:val="00643A33"/>
    <w:rsid w:val="00643C1D"/>
    <w:rsid w:val="006506B6"/>
    <w:rsid w:val="00651AC0"/>
    <w:rsid w:val="00652A1C"/>
    <w:rsid w:val="00652B41"/>
    <w:rsid w:val="006555D7"/>
    <w:rsid w:val="00655718"/>
    <w:rsid w:val="00660D2D"/>
    <w:rsid w:val="00662292"/>
    <w:rsid w:val="00662EFF"/>
    <w:rsid w:val="006633D7"/>
    <w:rsid w:val="006668F1"/>
    <w:rsid w:val="00667BAD"/>
    <w:rsid w:val="00670A31"/>
    <w:rsid w:val="00670EC7"/>
    <w:rsid w:val="00672734"/>
    <w:rsid w:val="00674FE6"/>
    <w:rsid w:val="00681E5E"/>
    <w:rsid w:val="006824F0"/>
    <w:rsid w:val="00683047"/>
    <w:rsid w:val="006838A9"/>
    <w:rsid w:val="00687CB6"/>
    <w:rsid w:val="00691B85"/>
    <w:rsid w:val="00694D1A"/>
    <w:rsid w:val="006962CC"/>
    <w:rsid w:val="006A2D7B"/>
    <w:rsid w:val="006B0CEE"/>
    <w:rsid w:val="006B3D47"/>
    <w:rsid w:val="006B57E6"/>
    <w:rsid w:val="006B6677"/>
    <w:rsid w:val="006B7481"/>
    <w:rsid w:val="006B7CD0"/>
    <w:rsid w:val="006C0535"/>
    <w:rsid w:val="006C0CF4"/>
    <w:rsid w:val="006C12B5"/>
    <w:rsid w:val="006C1AC8"/>
    <w:rsid w:val="006C2BCB"/>
    <w:rsid w:val="006C3C26"/>
    <w:rsid w:val="006C47E4"/>
    <w:rsid w:val="006C5ADD"/>
    <w:rsid w:val="006D0E6F"/>
    <w:rsid w:val="006D17DD"/>
    <w:rsid w:val="006D22AD"/>
    <w:rsid w:val="006D290A"/>
    <w:rsid w:val="006D3412"/>
    <w:rsid w:val="006D37DF"/>
    <w:rsid w:val="006D3AAE"/>
    <w:rsid w:val="006D4C6B"/>
    <w:rsid w:val="006D535F"/>
    <w:rsid w:val="006D5EF0"/>
    <w:rsid w:val="006E3394"/>
    <w:rsid w:val="006E7E06"/>
    <w:rsid w:val="006F0D5D"/>
    <w:rsid w:val="006F3C73"/>
    <w:rsid w:val="006F50F2"/>
    <w:rsid w:val="007005B1"/>
    <w:rsid w:val="00700D49"/>
    <w:rsid w:val="007015FD"/>
    <w:rsid w:val="00701B4F"/>
    <w:rsid w:val="00703021"/>
    <w:rsid w:val="0070502C"/>
    <w:rsid w:val="0070743D"/>
    <w:rsid w:val="007079C1"/>
    <w:rsid w:val="0071077F"/>
    <w:rsid w:val="00711999"/>
    <w:rsid w:val="0071249C"/>
    <w:rsid w:val="0071271E"/>
    <w:rsid w:val="0071668C"/>
    <w:rsid w:val="00716B47"/>
    <w:rsid w:val="00720BF7"/>
    <w:rsid w:val="00720FD9"/>
    <w:rsid w:val="00721FD9"/>
    <w:rsid w:val="007239D5"/>
    <w:rsid w:val="00723E41"/>
    <w:rsid w:val="00725852"/>
    <w:rsid w:val="007267E7"/>
    <w:rsid w:val="00727FD6"/>
    <w:rsid w:val="00733A75"/>
    <w:rsid w:val="0073586D"/>
    <w:rsid w:val="007401BC"/>
    <w:rsid w:val="007404BE"/>
    <w:rsid w:val="00740AFE"/>
    <w:rsid w:val="007432CC"/>
    <w:rsid w:val="007433F5"/>
    <w:rsid w:val="00743953"/>
    <w:rsid w:val="00743EB3"/>
    <w:rsid w:val="00744566"/>
    <w:rsid w:val="00745369"/>
    <w:rsid w:val="00746265"/>
    <w:rsid w:val="0075060B"/>
    <w:rsid w:val="0075097F"/>
    <w:rsid w:val="00750F9C"/>
    <w:rsid w:val="00751C42"/>
    <w:rsid w:val="0075326B"/>
    <w:rsid w:val="00761C8A"/>
    <w:rsid w:val="00764BB7"/>
    <w:rsid w:val="00770199"/>
    <w:rsid w:val="00770759"/>
    <w:rsid w:val="00770C8F"/>
    <w:rsid w:val="00776807"/>
    <w:rsid w:val="00776B4F"/>
    <w:rsid w:val="007819BB"/>
    <w:rsid w:val="0078431E"/>
    <w:rsid w:val="00784CD3"/>
    <w:rsid w:val="007878ED"/>
    <w:rsid w:val="00787E42"/>
    <w:rsid w:val="00794413"/>
    <w:rsid w:val="00794F55"/>
    <w:rsid w:val="00796553"/>
    <w:rsid w:val="0079685E"/>
    <w:rsid w:val="007A1018"/>
    <w:rsid w:val="007A34A2"/>
    <w:rsid w:val="007A4117"/>
    <w:rsid w:val="007A4854"/>
    <w:rsid w:val="007B0EF9"/>
    <w:rsid w:val="007B11EA"/>
    <w:rsid w:val="007B19C0"/>
    <w:rsid w:val="007C0210"/>
    <w:rsid w:val="007C1305"/>
    <w:rsid w:val="007C3558"/>
    <w:rsid w:val="007C3CD9"/>
    <w:rsid w:val="007C40F2"/>
    <w:rsid w:val="007C43D1"/>
    <w:rsid w:val="007C543E"/>
    <w:rsid w:val="007D4F0C"/>
    <w:rsid w:val="007D51D7"/>
    <w:rsid w:val="007D5258"/>
    <w:rsid w:val="007D758B"/>
    <w:rsid w:val="007D7888"/>
    <w:rsid w:val="007D79BB"/>
    <w:rsid w:val="007E087F"/>
    <w:rsid w:val="007E08CE"/>
    <w:rsid w:val="007E11F1"/>
    <w:rsid w:val="007E2343"/>
    <w:rsid w:val="007E32DC"/>
    <w:rsid w:val="007E361A"/>
    <w:rsid w:val="007E5117"/>
    <w:rsid w:val="007E5C83"/>
    <w:rsid w:val="007E7B36"/>
    <w:rsid w:val="007F0228"/>
    <w:rsid w:val="007F2BF6"/>
    <w:rsid w:val="007F2D90"/>
    <w:rsid w:val="007F7A49"/>
    <w:rsid w:val="0080018C"/>
    <w:rsid w:val="008018FB"/>
    <w:rsid w:val="0080397C"/>
    <w:rsid w:val="00804A33"/>
    <w:rsid w:val="00804E5B"/>
    <w:rsid w:val="00805C2E"/>
    <w:rsid w:val="00807E64"/>
    <w:rsid w:val="00810252"/>
    <w:rsid w:val="00810738"/>
    <w:rsid w:val="0081159F"/>
    <w:rsid w:val="00812CDD"/>
    <w:rsid w:val="0081573A"/>
    <w:rsid w:val="00817396"/>
    <w:rsid w:val="0082003B"/>
    <w:rsid w:val="00822D68"/>
    <w:rsid w:val="008264EA"/>
    <w:rsid w:val="0082671E"/>
    <w:rsid w:val="00826E2E"/>
    <w:rsid w:val="00830390"/>
    <w:rsid w:val="00831D0C"/>
    <w:rsid w:val="00831E07"/>
    <w:rsid w:val="00835077"/>
    <w:rsid w:val="00836B81"/>
    <w:rsid w:val="0084337B"/>
    <w:rsid w:val="00843862"/>
    <w:rsid w:val="008439CA"/>
    <w:rsid w:val="00845005"/>
    <w:rsid w:val="0084517F"/>
    <w:rsid w:val="00845815"/>
    <w:rsid w:val="00845951"/>
    <w:rsid w:val="00850B26"/>
    <w:rsid w:val="00851843"/>
    <w:rsid w:val="00852897"/>
    <w:rsid w:val="00854068"/>
    <w:rsid w:val="008548DE"/>
    <w:rsid w:val="008554E1"/>
    <w:rsid w:val="00857E56"/>
    <w:rsid w:val="0086016C"/>
    <w:rsid w:val="00860F3A"/>
    <w:rsid w:val="008626A4"/>
    <w:rsid w:val="008644D7"/>
    <w:rsid w:val="00864D54"/>
    <w:rsid w:val="00865480"/>
    <w:rsid w:val="008661C2"/>
    <w:rsid w:val="00866691"/>
    <w:rsid w:val="00867974"/>
    <w:rsid w:val="00871388"/>
    <w:rsid w:val="008725EA"/>
    <w:rsid w:val="0087375F"/>
    <w:rsid w:val="00875A80"/>
    <w:rsid w:val="008764A5"/>
    <w:rsid w:val="00877687"/>
    <w:rsid w:val="00882061"/>
    <w:rsid w:val="0088348F"/>
    <w:rsid w:val="008836BC"/>
    <w:rsid w:val="0088449B"/>
    <w:rsid w:val="008855FB"/>
    <w:rsid w:val="008869EC"/>
    <w:rsid w:val="00886BB9"/>
    <w:rsid w:val="00886CEE"/>
    <w:rsid w:val="00886DBF"/>
    <w:rsid w:val="0088707B"/>
    <w:rsid w:val="00890FAF"/>
    <w:rsid w:val="008920F4"/>
    <w:rsid w:val="0089262A"/>
    <w:rsid w:val="00895A8D"/>
    <w:rsid w:val="00897B0F"/>
    <w:rsid w:val="008A4999"/>
    <w:rsid w:val="008A55ED"/>
    <w:rsid w:val="008A601D"/>
    <w:rsid w:val="008A61D1"/>
    <w:rsid w:val="008A7538"/>
    <w:rsid w:val="008A781A"/>
    <w:rsid w:val="008A7BBA"/>
    <w:rsid w:val="008B0FD0"/>
    <w:rsid w:val="008B1C72"/>
    <w:rsid w:val="008B2DA7"/>
    <w:rsid w:val="008B344C"/>
    <w:rsid w:val="008B4CA3"/>
    <w:rsid w:val="008B518C"/>
    <w:rsid w:val="008B5F2E"/>
    <w:rsid w:val="008B6EBB"/>
    <w:rsid w:val="008C0305"/>
    <w:rsid w:val="008C0CB3"/>
    <w:rsid w:val="008C282B"/>
    <w:rsid w:val="008C47DE"/>
    <w:rsid w:val="008C51DD"/>
    <w:rsid w:val="008C68AE"/>
    <w:rsid w:val="008C6988"/>
    <w:rsid w:val="008C74A6"/>
    <w:rsid w:val="008C7858"/>
    <w:rsid w:val="008D0593"/>
    <w:rsid w:val="008D1221"/>
    <w:rsid w:val="008D361E"/>
    <w:rsid w:val="008D524F"/>
    <w:rsid w:val="008D6546"/>
    <w:rsid w:val="008D6690"/>
    <w:rsid w:val="008D6E2D"/>
    <w:rsid w:val="008E1DFB"/>
    <w:rsid w:val="008E2933"/>
    <w:rsid w:val="008E42B0"/>
    <w:rsid w:val="008E628E"/>
    <w:rsid w:val="008E78DE"/>
    <w:rsid w:val="008F0D4A"/>
    <w:rsid w:val="008F49BC"/>
    <w:rsid w:val="008F4E43"/>
    <w:rsid w:val="008F68FA"/>
    <w:rsid w:val="009004E5"/>
    <w:rsid w:val="009006E7"/>
    <w:rsid w:val="00905455"/>
    <w:rsid w:val="00906921"/>
    <w:rsid w:val="00906CB4"/>
    <w:rsid w:val="00907263"/>
    <w:rsid w:val="009076A5"/>
    <w:rsid w:val="00907ADB"/>
    <w:rsid w:val="009102CD"/>
    <w:rsid w:val="009108EC"/>
    <w:rsid w:val="0091384B"/>
    <w:rsid w:val="009159D4"/>
    <w:rsid w:val="009165E7"/>
    <w:rsid w:val="009167C1"/>
    <w:rsid w:val="009176E4"/>
    <w:rsid w:val="00917E49"/>
    <w:rsid w:val="009215DE"/>
    <w:rsid w:val="0092370B"/>
    <w:rsid w:val="00927B02"/>
    <w:rsid w:val="00927CEE"/>
    <w:rsid w:val="00930920"/>
    <w:rsid w:val="0093144F"/>
    <w:rsid w:val="009353C2"/>
    <w:rsid w:val="0093736B"/>
    <w:rsid w:val="009400A7"/>
    <w:rsid w:val="00943A30"/>
    <w:rsid w:val="00946110"/>
    <w:rsid w:val="0094692B"/>
    <w:rsid w:val="00947840"/>
    <w:rsid w:val="00950578"/>
    <w:rsid w:val="0095109B"/>
    <w:rsid w:val="009517CD"/>
    <w:rsid w:val="00953F54"/>
    <w:rsid w:val="0095428F"/>
    <w:rsid w:val="00954DB7"/>
    <w:rsid w:val="009576B0"/>
    <w:rsid w:val="00960435"/>
    <w:rsid w:val="009607DF"/>
    <w:rsid w:val="00960F0B"/>
    <w:rsid w:val="00961C38"/>
    <w:rsid w:val="009628D7"/>
    <w:rsid w:val="00967134"/>
    <w:rsid w:val="0097031D"/>
    <w:rsid w:val="00970E1A"/>
    <w:rsid w:val="009719D9"/>
    <w:rsid w:val="00972316"/>
    <w:rsid w:val="009735F6"/>
    <w:rsid w:val="00973762"/>
    <w:rsid w:val="00973F43"/>
    <w:rsid w:val="00983084"/>
    <w:rsid w:val="00985498"/>
    <w:rsid w:val="0098654E"/>
    <w:rsid w:val="00986591"/>
    <w:rsid w:val="0098700A"/>
    <w:rsid w:val="00990545"/>
    <w:rsid w:val="00994938"/>
    <w:rsid w:val="00994F6C"/>
    <w:rsid w:val="00995F7E"/>
    <w:rsid w:val="0099662D"/>
    <w:rsid w:val="009A0842"/>
    <w:rsid w:val="009A0A52"/>
    <w:rsid w:val="009A1627"/>
    <w:rsid w:val="009A2701"/>
    <w:rsid w:val="009A3750"/>
    <w:rsid w:val="009A4483"/>
    <w:rsid w:val="009A5725"/>
    <w:rsid w:val="009A5A14"/>
    <w:rsid w:val="009A6149"/>
    <w:rsid w:val="009B0649"/>
    <w:rsid w:val="009B0F74"/>
    <w:rsid w:val="009B3A23"/>
    <w:rsid w:val="009B47EE"/>
    <w:rsid w:val="009B52CC"/>
    <w:rsid w:val="009B7710"/>
    <w:rsid w:val="009C0E7B"/>
    <w:rsid w:val="009C1751"/>
    <w:rsid w:val="009C2303"/>
    <w:rsid w:val="009C59E3"/>
    <w:rsid w:val="009C7191"/>
    <w:rsid w:val="009C7D0D"/>
    <w:rsid w:val="009C7DE1"/>
    <w:rsid w:val="009C7F19"/>
    <w:rsid w:val="009D05BB"/>
    <w:rsid w:val="009D1501"/>
    <w:rsid w:val="009D22AF"/>
    <w:rsid w:val="009D65C4"/>
    <w:rsid w:val="009E05BC"/>
    <w:rsid w:val="009E0CB3"/>
    <w:rsid w:val="009E30DA"/>
    <w:rsid w:val="009E4DC6"/>
    <w:rsid w:val="009E5CF1"/>
    <w:rsid w:val="009E6725"/>
    <w:rsid w:val="009E6C99"/>
    <w:rsid w:val="009F0638"/>
    <w:rsid w:val="009F2DF1"/>
    <w:rsid w:val="009F5CE6"/>
    <w:rsid w:val="009F62E4"/>
    <w:rsid w:val="009F7504"/>
    <w:rsid w:val="009F7A6B"/>
    <w:rsid w:val="00A01613"/>
    <w:rsid w:val="00A07EC9"/>
    <w:rsid w:val="00A10454"/>
    <w:rsid w:val="00A10D10"/>
    <w:rsid w:val="00A11DA8"/>
    <w:rsid w:val="00A13DDF"/>
    <w:rsid w:val="00A13FCD"/>
    <w:rsid w:val="00A1431B"/>
    <w:rsid w:val="00A14709"/>
    <w:rsid w:val="00A14EAD"/>
    <w:rsid w:val="00A15E30"/>
    <w:rsid w:val="00A160E7"/>
    <w:rsid w:val="00A165DB"/>
    <w:rsid w:val="00A17E11"/>
    <w:rsid w:val="00A21089"/>
    <w:rsid w:val="00A212D4"/>
    <w:rsid w:val="00A212FD"/>
    <w:rsid w:val="00A22964"/>
    <w:rsid w:val="00A22B15"/>
    <w:rsid w:val="00A22FBF"/>
    <w:rsid w:val="00A23997"/>
    <w:rsid w:val="00A248C1"/>
    <w:rsid w:val="00A25226"/>
    <w:rsid w:val="00A25E96"/>
    <w:rsid w:val="00A2613F"/>
    <w:rsid w:val="00A27394"/>
    <w:rsid w:val="00A30662"/>
    <w:rsid w:val="00A3348F"/>
    <w:rsid w:val="00A3383F"/>
    <w:rsid w:val="00A34384"/>
    <w:rsid w:val="00A34C7C"/>
    <w:rsid w:val="00A36655"/>
    <w:rsid w:val="00A37014"/>
    <w:rsid w:val="00A4011B"/>
    <w:rsid w:val="00A42A13"/>
    <w:rsid w:val="00A43492"/>
    <w:rsid w:val="00A439D6"/>
    <w:rsid w:val="00A4463E"/>
    <w:rsid w:val="00A44FD5"/>
    <w:rsid w:val="00A4527E"/>
    <w:rsid w:val="00A5040F"/>
    <w:rsid w:val="00A52D0E"/>
    <w:rsid w:val="00A53B33"/>
    <w:rsid w:val="00A5575B"/>
    <w:rsid w:val="00A5616C"/>
    <w:rsid w:val="00A5641C"/>
    <w:rsid w:val="00A568B7"/>
    <w:rsid w:val="00A6037A"/>
    <w:rsid w:val="00A605D6"/>
    <w:rsid w:val="00A64A2C"/>
    <w:rsid w:val="00A67897"/>
    <w:rsid w:val="00A67C0C"/>
    <w:rsid w:val="00A70194"/>
    <w:rsid w:val="00A70E93"/>
    <w:rsid w:val="00A70F12"/>
    <w:rsid w:val="00A718A4"/>
    <w:rsid w:val="00A71934"/>
    <w:rsid w:val="00A71B8C"/>
    <w:rsid w:val="00A72AE5"/>
    <w:rsid w:val="00A73167"/>
    <w:rsid w:val="00A746FC"/>
    <w:rsid w:val="00A753D7"/>
    <w:rsid w:val="00A76B91"/>
    <w:rsid w:val="00A779DC"/>
    <w:rsid w:val="00A814AB"/>
    <w:rsid w:val="00A8290E"/>
    <w:rsid w:val="00A82B9E"/>
    <w:rsid w:val="00A935B1"/>
    <w:rsid w:val="00A95228"/>
    <w:rsid w:val="00A96741"/>
    <w:rsid w:val="00A96C2F"/>
    <w:rsid w:val="00A96C4E"/>
    <w:rsid w:val="00A97687"/>
    <w:rsid w:val="00AA0861"/>
    <w:rsid w:val="00AA1CE0"/>
    <w:rsid w:val="00AA48E7"/>
    <w:rsid w:val="00AA5828"/>
    <w:rsid w:val="00AA6FEC"/>
    <w:rsid w:val="00AB090C"/>
    <w:rsid w:val="00AB1BE0"/>
    <w:rsid w:val="00AB2FCE"/>
    <w:rsid w:val="00AB6CE1"/>
    <w:rsid w:val="00AC13D7"/>
    <w:rsid w:val="00AC2887"/>
    <w:rsid w:val="00AC40E5"/>
    <w:rsid w:val="00AC4281"/>
    <w:rsid w:val="00AD02F5"/>
    <w:rsid w:val="00AD05A9"/>
    <w:rsid w:val="00AD2D9A"/>
    <w:rsid w:val="00AD34F0"/>
    <w:rsid w:val="00AD3AB6"/>
    <w:rsid w:val="00AD3AC9"/>
    <w:rsid w:val="00AD4A96"/>
    <w:rsid w:val="00AD73A8"/>
    <w:rsid w:val="00AD7929"/>
    <w:rsid w:val="00AD7DC4"/>
    <w:rsid w:val="00AE1431"/>
    <w:rsid w:val="00AE2796"/>
    <w:rsid w:val="00AE35F3"/>
    <w:rsid w:val="00AE3E43"/>
    <w:rsid w:val="00AE4512"/>
    <w:rsid w:val="00AE71C4"/>
    <w:rsid w:val="00AF1000"/>
    <w:rsid w:val="00AF1C5F"/>
    <w:rsid w:val="00AF39B6"/>
    <w:rsid w:val="00AF50E7"/>
    <w:rsid w:val="00AF54BA"/>
    <w:rsid w:val="00AF72C4"/>
    <w:rsid w:val="00AF7C01"/>
    <w:rsid w:val="00B0053B"/>
    <w:rsid w:val="00B009AD"/>
    <w:rsid w:val="00B010B8"/>
    <w:rsid w:val="00B010F5"/>
    <w:rsid w:val="00B013DB"/>
    <w:rsid w:val="00B01EFC"/>
    <w:rsid w:val="00B03612"/>
    <w:rsid w:val="00B04664"/>
    <w:rsid w:val="00B10775"/>
    <w:rsid w:val="00B112C4"/>
    <w:rsid w:val="00B11DD6"/>
    <w:rsid w:val="00B13A70"/>
    <w:rsid w:val="00B13B48"/>
    <w:rsid w:val="00B15B71"/>
    <w:rsid w:val="00B1640E"/>
    <w:rsid w:val="00B16538"/>
    <w:rsid w:val="00B17A56"/>
    <w:rsid w:val="00B17CAD"/>
    <w:rsid w:val="00B21AED"/>
    <w:rsid w:val="00B22212"/>
    <w:rsid w:val="00B22495"/>
    <w:rsid w:val="00B24AC0"/>
    <w:rsid w:val="00B267BC"/>
    <w:rsid w:val="00B30007"/>
    <w:rsid w:val="00B305AC"/>
    <w:rsid w:val="00B31BF8"/>
    <w:rsid w:val="00B31FDB"/>
    <w:rsid w:val="00B35AED"/>
    <w:rsid w:val="00B376EC"/>
    <w:rsid w:val="00B40337"/>
    <w:rsid w:val="00B405DA"/>
    <w:rsid w:val="00B46469"/>
    <w:rsid w:val="00B51276"/>
    <w:rsid w:val="00B51558"/>
    <w:rsid w:val="00B533B3"/>
    <w:rsid w:val="00B56BC1"/>
    <w:rsid w:val="00B57DB4"/>
    <w:rsid w:val="00B57EE0"/>
    <w:rsid w:val="00B61F66"/>
    <w:rsid w:val="00B66471"/>
    <w:rsid w:val="00B670FA"/>
    <w:rsid w:val="00B72BF9"/>
    <w:rsid w:val="00B736D8"/>
    <w:rsid w:val="00B807ED"/>
    <w:rsid w:val="00B80871"/>
    <w:rsid w:val="00B831FF"/>
    <w:rsid w:val="00B91660"/>
    <w:rsid w:val="00B91CDB"/>
    <w:rsid w:val="00B92A03"/>
    <w:rsid w:val="00B93DBB"/>
    <w:rsid w:val="00B946A1"/>
    <w:rsid w:val="00B946BA"/>
    <w:rsid w:val="00B958BA"/>
    <w:rsid w:val="00B9776B"/>
    <w:rsid w:val="00B97CA2"/>
    <w:rsid w:val="00BA1593"/>
    <w:rsid w:val="00BA27B1"/>
    <w:rsid w:val="00BA2B2B"/>
    <w:rsid w:val="00BA486C"/>
    <w:rsid w:val="00BA4961"/>
    <w:rsid w:val="00BA4D0A"/>
    <w:rsid w:val="00BA5086"/>
    <w:rsid w:val="00BB1081"/>
    <w:rsid w:val="00BB2141"/>
    <w:rsid w:val="00BB49DC"/>
    <w:rsid w:val="00BB6788"/>
    <w:rsid w:val="00BB6AAB"/>
    <w:rsid w:val="00BC0B45"/>
    <w:rsid w:val="00BC2488"/>
    <w:rsid w:val="00BC3831"/>
    <w:rsid w:val="00BC4E5C"/>
    <w:rsid w:val="00BC4F85"/>
    <w:rsid w:val="00BC5481"/>
    <w:rsid w:val="00BC54FA"/>
    <w:rsid w:val="00BC6897"/>
    <w:rsid w:val="00BC7EC5"/>
    <w:rsid w:val="00BD2A1D"/>
    <w:rsid w:val="00BD2BA5"/>
    <w:rsid w:val="00BD3AC9"/>
    <w:rsid w:val="00BD4D2D"/>
    <w:rsid w:val="00BD5233"/>
    <w:rsid w:val="00BD57A9"/>
    <w:rsid w:val="00BD5A46"/>
    <w:rsid w:val="00BD7239"/>
    <w:rsid w:val="00BD7FD3"/>
    <w:rsid w:val="00BE0230"/>
    <w:rsid w:val="00BE2EFE"/>
    <w:rsid w:val="00BE31FE"/>
    <w:rsid w:val="00BE3235"/>
    <w:rsid w:val="00BE4FFF"/>
    <w:rsid w:val="00BE5D54"/>
    <w:rsid w:val="00BE78E3"/>
    <w:rsid w:val="00BF046C"/>
    <w:rsid w:val="00BF2994"/>
    <w:rsid w:val="00BF2C43"/>
    <w:rsid w:val="00BF34F4"/>
    <w:rsid w:val="00BF70E7"/>
    <w:rsid w:val="00C011B1"/>
    <w:rsid w:val="00C0126C"/>
    <w:rsid w:val="00C03A30"/>
    <w:rsid w:val="00C04389"/>
    <w:rsid w:val="00C05138"/>
    <w:rsid w:val="00C05C5F"/>
    <w:rsid w:val="00C06497"/>
    <w:rsid w:val="00C06709"/>
    <w:rsid w:val="00C108D7"/>
    <w:rsid w:val="00C11D8C"/>
    <w:rsid w:val="00C12330"/>
    <w:rsid w:val="00C12387"/>
    <w:rsid w:val="00C13D4A"/>
    <w:rsid w:val="00C15F02"/>
    <w:rsid w:val="00C17F8E"/>
    <w:rsid w:val="00C21ADB"/>
    <w:rsid w:val="00C21B57"/>
    <w:rsid w:val="00C2255F"/>
    <w:rsid w:val="00C23A08"/>
    <w:rsid w:val="00C24E22"/>
    <w:rsid w:val="00C304CD"/>
    <w:rsid w:val="00C30921"/>
    <w:rsid w:val="00C30B11"/>
    <w:rsid w:val="00C3158B"/>
    <w:rsid w:val="00C31D54"/>
    <w:rsid w:val="00C36265"/>
    <w:rsid w:val="00C3790A"/>
    <w:rsid w:val="00C408DF"/>
    <w:rsid w:val="00C41890"/>
    <w:rsid w:val="00C42620"/>
    <w:rsid w:val="00C42F77"/>
    <w:rsid w:val="00C44E00"/>
    <w:rsid w:val="00C462A6"/>
    <w:rsid w:val="00C46A81"/>
    <w:rsid w:val="00C47B52"/>
    <w:rsid w:val="00C50B1B"/>
    <w:rsid w:val="00C51CDE"/>
    <w:rsid w:val="00C5295F"/>
    <w:rsid w:val="00C53454"/>
    <w:rsid w:val="00C5387B"/>
    <w:rsid w:val="00C56F0D"/>
    <w:rsid w:val="00C64005"/>
    <w:rsid w:val="00C650E5"/>
    <w:rsid w:val="00C6517C"/>
    <w:rsid w:val="00C66BF8"/>
    <w:rsid w:val="00C7124A"/>
    <w:rsid w:val="00C71BEE"/>
    <w:rsid w:val="00C723BB"/>
    <w:rsid w:val="00C733AA"/>
    <w:rsid w:val="00C7387F"/>
    <w:rsid w:val="00C75CC8"/>
    <w:rsid w:val="00C76B26"/>
    <w:rsid w:val="00C77939"/>
    <w:rsid w:val="00C80C24"/>
    <w:rsid w:val="00C80D94"/>
    <w:rsid w:val="00C83611"/>
    <w:rsid w:val="00C849C2"/>
    <w:rsid w:val="00C920E2"/>
    <w:rsid w:val="00C93381"/>
    <w:rsid w:val="00C94206"/>
    <w:rsid w:val="00C963E6"/>
    <w:rsid w:val="00C964B8"/>
    <w:rsid w:val="00CA037E"/>
    <w:rsid w:val="00CA0ED2"/>
    <w:rsid w:val="00CA1A28"/>
    <w:rsid w:val="00CA1C07"/>
    <w:rsid w:val="00CA24B5"/>
    <w:rsid w:val="00CA49AF"/>
    <w:rsid w:val="00CA4F36"/>
    <w:rsid w:val="00CA63EE"/>
    <w:rsid w:val="00CA6EBE"/>
    <w:rsid w:val="00CA71D2"/>
    <w:rsid w:val="00CB0032"/>
    <w:rsid w:val="00CB11B8"/>
    <w:rsid w:val="00CB318A"/>
    <w:rsid w:val="00CB409F"/>
    <w:rsid w:val="00CB42F1"/>
    <w:rsid w:val="00CB6EA7"/>
    <w:rsid w:val="00CB7075"/>
    <w:rsid w:val="00CC16E4"/>
    <w:rsid w:val="00CC39CA"/>
    <w:rsid w:val="00CC412B"/>
    <w:rsid w:val="00CC5D25"/>
    <w:rsid w:val="00CC6B85"/>
    <w:rsid w:val="00CC71A2"/>
    <w:rsid w:val="00CD0C87"/>
    <w:rsid w:val="00CD1793"/>
    <w:rsid w:val="00CD3B27"/>
    <w:rsid w:val="00CD3E62"/>
    <w:rsid w:val="00CD3F39"/>
    <w:rsid w:val="00CD45BA"/>
    <w:rsid w:val="00CD5411"/>
    <w:rsid w:val="00CD6C12"/>
    <w:rsid w:val="00CD7078"/>
    <w:rsid w:val="00CE0849"/>
    <w:rsid w:val="00CE0E61"/>
    <w:rsid w:val="00CE4CC1"/>
    <w:rsid w:val="00CE5199"/>
    <w:rsid w:val="00CE5233"/>
    <w:rsid w:val="00CE6FDF"/>
    <w:rsid w:val="00CE7E17"/>
    <w:rsid w:val="00CF0979"/>
    <w:rsid w:val="00CF22C7"/>
    <w:rsid w:val="00CF233E"/>
    <w:rsid w:val="00CF39C2"/>
    <w:rsid w:val="00CF410D"/>
    <w:rsid w:val="00CF5627"/>
    <w:rsid w:val="00CF6085"/>
    <w:rsid w:val="00CF6C87"/>
    <w:rsid w:val="00D00765"/>
    <w:rsid w:val="00D00B9E"/>
    <w:rsid w:val="00D02092"/>
    <w:rsid w:val="00D02B00"/>
    <w:rsid w:val="00D04CFC"/>
    <w:rsid w:val="00D050F8"/>
    <w:rsid w:val="00D103B2"/>
    <w:rsid w:val="00D10FE3"/>
    <w:rsid w:val="00D13E70"/>
    <w:rsid w:val="00D14B81"/>
    <w:rsid w:val="00D150E8"/>
    <w:rsid w:val="00D15B38"/>
    <w:rsid w:val="00D172C8"/>
    <w:rsid w:val="00D21BE5"/>
    <w:rsid w:val="00D21C05"/>
    <w:rsid w:val="00D224E4"/>
    <w:rsid w:val="00D227EE"/>
    <w:rsid w:val="00D22E00"/>
    <w:rsid w:val="00D234CA"/>
    <w:rsid w:val="00D2383F"/>
    <w:rsid w:val="00D25D53"/>
    <w:rsid w:val="00D2612E"/>
    <w:rsid w:val="00D270D2"/>
    <w:rsid w:val="00D27125"/>
    <w:rsid w:val="00D308E3"/>
    <w:rsid w:val="00D313A4"/>
    <w:rsid w:val="00D36C82"/>
    <w:rsid w:val="00D36E0C"/>
    <w:rsid w:val="00D3730E"/>
    <w:rsid w:val="00D37D33"/>
    <w:rsid w:val="00D407BC"/>
    <w:rsid w:val="00D407C2"/>
    <w:rsid w:val="00D423EE"/>
    <w:rsid w:val="00D439F8"/>
    <w:rsid w:val="00D47A0C"/>
    <w:rsid w:val="00D47CF3"/>
    <w:rsid w:val="00D5063A"/>
    <w:rsid w:val="00D50D26"/>
    <w:rsid w:val="00D51186"/>
    <w:rsid w:val="00D52AE2"/>
    <w:rsid w:val="00D540F0"/>
    <w:rsid w:val="00D54AE3"/>
    <w:rsid w:val="00D54FDA"/>
    <w:rsid w:val="00D55617"/>
    <w:rsid w:val="00D5636D"/>
    <w:rsid w:val="00D57DDE"/>
    <w:rsid w:val="00D6347A"/>
    <w:rsid w:val="00D647FC"/>
    <w:rsid w:val="00D6507B"/>
    <w:rsid w:val="00D66EA8"/>
    <w:rsid w:val="00D70748"/>
    <w:rsid w:val="00D716A7"/>
    <w:rsid w:val="00D72173"/>
    <w:rsid w:val="00D74181"/>
    <w:rsid w:val="00D7432D"/>
    <w:rsid w:val="00D75A52"/>
    <w:rsid w:val="00D75B04"/>
    <w:rsid w:val="00D80E6D"/>
    <w:rsid w:val="00D81EA2"/>
    <w:rsid w:val="00D82AB8"/>
    <w:rsid w:val="00D839A1"/>
    <w:rsid w:val="00D84695"/>
    <w:rsid w:val="00D856AD"/>
    <w:rsid w:val="00D911D9"/>
    <w:rsid w:val="00D94126"/>
    <w:rsid w:val="00D97050"/>
    <w:rsid w:val="00DA00AE"/>
    <w:rsid w:val="00DA06C1"/>
    <w:rsid w:val="00DA0E25"/>
    <w:rsid w:val="00DA1E9A"/>
    <w:rsid w:val="00DA21EC"/>
    <w:rsid w:val="00DA2EFA"/>
    <w:rsid w:val="00DA3CBA"/>
    <w:rsid w:val="00DA3DFE"/>
    <w:rsid w:val="00DA4C73"/>
    <w:rsid w:val="00DA5406"/>
    <w:rsid w:val="00DA5FDE"/>
    <w:rsid w:val="00DA6AF3"/>
    <w:rsid w:val="00DA6C5A"/>
    <w:rsid w:val="00DA70A6"/>
    <w:rsid w:val="00DA7555"/>
    <w:rsid w:val="00DB19DE"/>
    <w:rsid w:val="00DB49AE"/>
    <w:rsid w:val="00DB7DB7"/>
    <w:rsid w:val="00DC2959"/>
    <w:rsid w:val="00DC42FA"/>
    <w:rsid w:val="00DC61BC"/>
    <w:rsid w:val="00DC7D94"/>
    <w:rsid w:val="00DD196C"/>
    <w:rsid w:val="00DD22B9"/>
    <w:rsid w:val="00DD43B2"/>
    <w:rsid w:val="00DE1690"/>
    <w:rsid w:val="00DE1C5E"/>
    <w:rsid w:val="00DE373D"/>
    <w:rsid w:val="00DE3A33"/>
    <w:rsid w:val="00DE3F6E"/>
    <w:rsid w:val="00DE4844"/>
    <w:rsid w:val="00DE4DC4"/>
    <w:rsid w:val="00DE51DB"/>
    <w:rsid w:val="00DE5A2E"/>
    <w:rsid w:val="00DE678D"/>
    <w:rsid w:val="00DE6A97"/>
    <w:rsid w:val="00DE705D"/>
    <w:rsid w:val="00DE797F"/>
    <w:rsid w:val="00DF02B0"/>
    <w:rsid w:val="00DF11DD"/>
    <w:rsid w:val="00DF2B29"/>
    <w:rsid w:val="00DF49A1"/>
    <w:rsid w:val="00DF535D"/>
    <w:rsid w:val="00DF6E9C"/>
    <w:rsid w:val="00E00C49"/>
    <w:rsid w:val="00E02965"/>
    <w:rsid w:val="00E045AB"/>
    <w:rsid w:val="00E04942"/>
    <w:rsid w:val="00E149A9"/>
    <w:rsid w:val="00E218B6"/>
    <w:rsid w:val="00E21EEF"/>
    <w:rsid w:val="00E26D24"/>
    <w:rsid w:val="00E30CEB"/>
    <w:rsid w:val="00E31FDD"/>
    <w:rsid w:val="00E337BC"/>
    <w:rsid w:val="00E34346"/>
    <w:rsid w:val="00E34478"/>
    <w:rsid w:val="00E34840"/>
    <w:rsid w:val="00E35233"/>
    <w:rsid w:val="00E357C8"/>
    <w:rsid w:val="00E35EEE"/>
    <w:rsid w:val="00E3642B"/>
    <w:rsid w:val="00E36F78"/>
    <w:rsid w:val="00E3754C"/>
    <w:rsid w:val="00E3763F"/>
    <w:rsid w:val="00E41022"/>
    <w:rsid w:val="00E4103F"/>
    <w:rsid w:val="00E425D0"/>
    <w:rsid w:val="00E438AA"/>
    <w:rsid w:val="00E449C7"/>
    <w:rsid w:val="00E5320F"/>
    <w:rsid w:val="00E53279"/>
    <w:rsid w:val="00E56806"/>
    <w:rsid w:val="00E56D45"/>
    <w:rsid w:val="00E57E2D"/>
    <w:rsid w:val="00E57EFE"/>
    <w:rsid w:val="00E604BB"/>
    <w:rsid w:val="00E6200C"/>
    <w:rsid w:val="00E6238A"/>
    <w:rsid w:val="00E62593"/>
    <w:rsid w:val="00E62E31"/>
    <w:rsid w:val="00E635F2"/>
    <w:rsid w:val="00E65A29"/>
    <w:rsid w:val="00E66242"/>
    <w:rsid w:val="00E67740"/>
    <w:rsid w:val="00E720B9"/>
    <w:rsid w:val="00E729BC"/>
    <w:rsid w:val="00E72F6F"/>
    <w:rsid w:val="00E73E26"/>
    <w:rsid w:val="00E7610F"/>
    <w:rsid w:val="00E76741"/>
    <w:rsid w:val="00E80B9A"/>
    <w:rsid w:val="00E811FB"/>
    <w:rsid w:val="00E838A3"/>
    <w:rsid w:val="00E902D2"/>
    <w:rsid w:val="00E9049B"/>
    <w:rsid w:val="00E90516"/>
    <w:rsid w:val="00E907F7"/>
    <w:rsid w:val="00E90AFD"/>
    <w:rsid w:val="00E90C6F"/>
    <w:rsid w:val="00E9134D"/>
    <w:rsid w:val="00E95305"/>
    <w:rsid w:val="00E96184"/>
    <w:rsid w:val="00E97AE6"/>
    <w:rsid w:val="00E97E5E"/>
    <w:rsid w:val="00EA0A26"/>
    <w:rsid w:val="00EA0B60"/>
    <w:rsid w:val="00EA2869"/>
    <w:rsid w:val="00EA34F9"/>
    <w:rsid w:val="00EA3E29"/>
    <w:rsid w:val="00EA3E59"/>
    <w:rsid w:val="00EA7A33"/>
    <w:rsid w:val="00EA7D5B"/>
    <w:rsid w:val="00EB0103"/>
    <w:rsid w:val="00EB1AC4"/>
    <w:rsid w:val="00EB21B8"/>
    <w:rsid w:val="00EB6192"/>
    <w:rsid w:val="00EB676B"/>
    <w:rsid w:val="00EB7B03"/>
    <w:rsid w:val="00EC04B2"/>
    <w:rsid w:val="00EC0F9F"/>
    <w:rsid w:val="00EC59AE"/>
    <w:rsid w:val="00EC7997"/>
    <w:rsid w:val="00ED15CA"/>
    <w:rsid w:val="00ED449C"/>
    <w:rsid w:val="00ED47B8"/>
    <w:rsid w:val="00EE056A"/>
    <w:rsid w:val="00EE18E3"/>
    <w:rsid w:val="00EE3B6F"/>
    <w:rsid w:val="00EE6838"/>
    <w:rsid w:val="00EF0FBC"/>
    <w:rsid w:val="00EF1F20"/>
    <w:rsid w:val="00EF3488"/>
    <w:rsid w:val="00EF3B9A"/>
    <w:rsid w:val="00EF3D95"/>
    <w:rsid w:val="00EF4946"/>
    <w:rsid w:val="00EF4C03"/>
    <w:rsid w:val="00EF5FC0"/>
    <w:rsid w:val="00EF6A82"/>
    <w:rsid w:val="00F00C6B"/>
    <w:rsid w:val="00F0224B"/>
    <w:rsid w:val="00F0379C"/>
    <w:rsid w:val="00F076F4"/>
    <w:rsid w:val="00F118DE"/>
    <w:rsid w:val="00F11B79"/>
    <w:rsid w:val="00F13205"/>
    <w:rsid w:val="00F14192"/>
    <w:rsid w:val="00F14613"/>
    <w:rsid w:val="00F1585F"/>
    <w:rsid w:val="00F15E53"/>
    <w:rsid w:val="00F15F66"/>
    <w:rsid w:val="00F168D2"/>
    <w:rsid w:val="00F176F5"/>
    <w:rsid w:val="00F21F28"/>
    <w:rsid w:val="00F245B2"/>
    <w:rsid w:val="00F25577"/>
    <w:rsid w:val="00F2731D"/>
    <w:rsid w:val="00F27CCD"/>
    <w:rsid w:val="00F30C2A"/>
    <w:rsid w:val="00F32510"/>
    <w:rsid w:val="00F3325C"/>
    <w:rsid w:val="00F3410E"/>
    <w:rsid w:val="00F3486D"/>
    <w:rsid w:val="00F34878"/>
    <w:rsid w:val="00F34DC0"/>
    <w:rsid w:val="00F351F5"/>
    <w:rsid w:val="00F3754D"/>
    <w:rsid w:val="00F37926"/>
    <w:rsid w:val="00F41C36"/>
    <w:rsid w:val="00F423EA"/>
    <w:rsid w:val="00F43587"/>
    <w:rsid w:val="00F43689"/>
    <w:rsid w:val="00F4461E"/>
    <w:rsid w:val="00F45AA5"/>
    <w:rsid w:val="00F46FD7"/>
    <w:rsid w:val="00F47370"/>
    <w:rsid w:val="00F51676"/>
    <w:rsid w:val="00F51859"/>
    <w:rsid w:val="00F51AD4"/>
    <w:rsid w:val="00F521EA"/>
    <w:rsid w:val="00F538FE"/>
    <w:rsid w:val="00F55204"/>
    <w:rsid w:val="00F56C09"/>
    <w:rsid w:val="00F61A58"/>
    <w:rsid w:val="00F6202E"/>
    <w:rsid w:val="00F62FD6"/>
    <w:rsid w:val="00F63280"/>
    <w:rsid w:val="00F63A03"/>
    <w:rsid w:val="00F65B8E"/>
    <w:rsid w:val="00F666DD"/>
    <w:rsid w:val="00F71A47"/>
    <w:rsid w:val="00F725B8"/>
    <w:rsid w:val="00F74719"/>
    <w:rsid w:val="00F74B2C"/>
    <w:rsid w:val="00F76BCB"/>
    <w:rsid w:val="00F8136A"/>
    <w:rsid w:val="00F8187E"/>
    <w:rsid w:val="00F81B13"/>
    <w:rsid w:val="00F841F2"/>
    <w:rsid w:val="00F85AFB"/>
    <w:rsid w:val="00F8744C"/>
    <w:rsid w:val="00F87539"/>
    <w:rsid w:val="00F878BC"/>
    <w:rsid w:val="00F9084E"/>
    <w:rsid w:val="00F92DD8"/>
    <w:rsid w:val="00F934F2"/>
    <w:rsid w:val="00F947B2"/>
    <w:rsid w:val="00F94F27"/>
    <w:rsid w:val="00F96D6E"/>
    <w:rsid w:val="00F97A77"/>
    <w:rsid w:val="00F97FCF"/>
    <w:rsid w:val="00FA0512"/>
    <w:rsid w:val="00FA235D"/>
    <w:rsid w:val="00FA28CE"/>
    <w:rsid w:val="00FA52CE"/>
    <w:rsid w:val="00FA5A6D"/>
    <w:rsid w:val="00FA5C30"/>
    <w:rsid w:val="00FA6242"/>
    <w:rsid w:val="00FA6954"/>
    <w:rsid w:val="00FA6FC8"/>
    <w:rsid w:val="00FB0682"/>
    <w:rsid w:val="00FB17B6"/>
    <w:rsid w:val="00FB21C2"/>
    <w:rsid w:val="00FB3549"/>
    <w:rsid w:val="00FB643B"/>
    <w:rsid w:val="00FB6EC9"/>
    <w:rsid w:val="00FC46E2"/>
    <w:rsid w:val="00FC744C"/>
    <w:rsid w:val="00FC7C4E"/>
    <w:rsid w:val="00FD19BC"/>
    <w:rsid w:val="00FD4394"/>
    <w:rsid w:val="00FD552C"/>
    <w:rsid w:val="00FD697F"/>
    <w:rsid w:val="00FD6C07"/>
    <w:rsid w:val="00FD7650"/>
    <w:rsid w:val="00FD78EA"/>
    <w:rsid w:val="00FE12F9"/>
    <w:rsid w:val="00FE1341"/>
    <w:rsid w:val="00FE2EC9"/>
    <w:rsid w:val="00FE304F"/>
    <w:rsid w:val="00FE42BA"/>
    <w:rsid w:val="00FE48C4"/>
    <w:rsid w:val="00FE5B6E"/>
    <w:rsid w:val="00FE6A8D"/>
    <w:rsid w:val="00FE72D1"/>
    <w:rsid w:val="00FF0AD8"/>
    <w:rsid w:val="00FF1E3B"/>
    <w:rsid w:val="00FF1FC5"/>
    <w:rsid w:val="00FF3369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5E53"/>
  </w:style>
  <w:style w:type="paragraph" w:styleId="Nadpis1">
    <w:name w:val="heading 1"/>
    <w:basedOn w:val="Normlny"/>
    <w:next w:val="Normlny"/>
    <w:link w:val="Nadpis1Char1"/>
    <w:uiPriority w:val="9"/>
    <w:qFormat/>
    <w:rsid w:val="00F15E5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paragraph" w:styleId="Nadpis2">
    <w:name w:val="heading 2"/>
    <w:basedOn w:val="Normlny"/>
    <w:next w:val="Normlny"/>
    <w:link w:val="Nadpis2Char1"/>
    <w:uiPriority w:val="9"/>
    <w:semiHidden/>
    <w:unhideWhenUsed/>
    <w:qFormat/>
    <w:rsid w:val="00F15E5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color w:val="4F81BD" w:themeColor="accent1"/>
      <w:sz w:val="26"/>
    </w:rPr>
  </w:style>
  <w:style w:type="paragraph" w:styleId="Nadpis3">
    <w:name w:val="heading 3"/>
    <w:basedOn w:val="Normlny"/>
    <w:next w:val="Normlny"/>
    <w:link w:val="Nadpis3Char1"/>
    <w:uiPriority w:val="9"/>
    <w:semiHidden/>
    <w:unhideWhenUsed/>
    <w:qFormat/>
    <w:rsid w:val="00F15E5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color w:val="4F81BD" w:themeColor="accent1"/>
    </w:rPr>
  </w:style>
  <w:style w:type="paragraph" w:styleId="Nadpis4">
    <w:name w:val="heading 4"/>
    <w:basedOn w:val="Normlny"/>
    <w:next w:val="Normlny"/>
    <w:link w:val="Nadpis4Char1"/>
    <w:uiPriority w:val="9"/>
    <w:semiHidden/>
    <w:unhideWhenUsed/>
    <w:qFormat/>
    <w:rsid w:val="00F15E5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i/>
      <w:color w:val="4F81BD" w:themeColor="accent1"/>
    </w:rPr>
  </w:style>
  <w:style w:type="paragraph" w:styleId="Nadpis5">
    <w:name w:val="heading 5"/>
    <w:basedOn w:val="Normlny"/>
    <w:next w:val="Normlny"/>
    <w:link w:val="Nadpis5Char1"/>
    <w:uiPriority w:val="9"/>
    <w:semiHidden/>
    <w:unhideWhenUsed/>
    <w:qFormat/>
    <w:rsid w:val="00F15E5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1"/>
    <w:uiPriority w:val="9"/>
    <w:semiHidden/>
    <w:unhideWhenUsed/>
    <w:qFormat/>
    <w:rsid w:val="00F15E5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color w:val="243F60" w:themeColor="accent1" w:themeShade="7F"/>
    </w:rPr>
  </w:style>
  <w:style w:type="paragraph" w:styleId="Nadpis7">
    <w:name w:val="heading 7"/>
    <w:basedOn w:val="Normlny"/>
    <w:next w:val="Normlny"/>
    <w:link w:val="Nadpis7Char1"/>
    <w:uiPriority w:val="9"/>
    <w:semiHidden/>
    <w:unhideWhenUsed/>
    <w:qFormat/>
    <w:rsid w:val="00F15E5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paragraph" w:styleId="Nadpis8">
    <w:name w:val="heading 8"/>
    <w:basedOn w:val="Normlny"/>
    <w:next w:val="Normlny"/>
    <w:link w:val="Nadpis8Char1"/>
    <w:uiPriority w:val="9"/>
    <w:semiHidden/>
    <w:unhideWhenUsed/>
    <w:qFormat/>
    <w:rsid w:val="00F15E53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1"/>
    <w:uiPriority w:val="9"/>
    <w:semiHidden/>
    <w:unhideWhenUsed/>
    <w:qFormat/>
    <w:rsid w:val="00F15E53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9Char">
    <w:name w:val="Nadpis 9 Char"/>
    <w:basedOn w:val="Predvolenpsmoodseku"/>
    <w:uiPriority w:val="9"/>
    <w:semiHidden/>
    <w:rsid w:val="00F15E53"/>
    <w:rPr>
      <w:rFonts w:ascii="Cambria" w:hAnsi="Cambria" w:cs="Times New Roman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15E53"/>
    <w:pPr>
      <w:pBdr>
        <w:bottom w:val="single" w:sz="4" w:space="0" w:color="4F81BD" w:themeColor="accent1"/>
      </w:pBdr>
      <w:spacing w:before="200" w:after="280"/>
      <w:ind w:left="936" w:right="936"/>
    </w:pPr>
    <w:rPr>
      <w:b/>
      <w:i/>
      <w:color w:val="4F81BD" w:themeColor="accent1"/>
    </w:rPr>
  </w:style>
  <w:style w:type="character" w:styleId="Zvraznenie">
    <w:name w:val="Emphasis"/>
    <w:basedOn w:val="Predvolenpsmoodseku"/>
    <w:uiPriority w:val="20"/>
    <w:qFormat/>
    <w:rsid w:val="00F15E53"/>
    <w:rPr>
      <w:i/>
    </w:rPr>
  </w:style>
  <w:style w:type="character" w:customStyle="1" w:styleId="HlavikaChar">
    <w:name w:val="Hlavička Char"/>
    <w:basedOn w:val="Predvolenpsmoodseku"/>
    <w:link w:val="Hlavika"/>
    <w:uiPriority w:val="99"/>
    <w:rsid w:val="00F15E53"/>
    <w:rPr>
      <w:rFonts w:ascii="Times New Roman" w:hAnsi="Times New Roman" w:cs="Times New Roman"/>
      <w:lang w:val="sk-SK" w:eastAsia="cs-CZ"/>
    </w:rPr>
  </w:style>
  <w:style w:type="character" w:customStyle="1" w:styleId="Nadpis4Char">
    <w:name w:val="Nadpis 4 Char"/>
    <w:basedOn w:val="Predvolenpsmoodseku"/>
    <w:uiPriority w:val="9"/>
    <w:rsid w:val="00F15E53"/>
    <w:rPr>
      <w:rFonts w:cs="Times New Roman"/>
      <w:b/>
      <w:sz w:val="28"/>
    </w:rPr>
  </w:style>
  <w:style w:type="character" w:customStyle="1" w:styleId="Nadpis3Char1">
    <w:name w:val="Nadpis 3 Char1"/>
    <w:basedOn w:val="Predvolenpsmoodseku"/>
    <w:link w:val="Nadpis3"/>
    <w:uiPriority w:val="9"/>
    <w:rsid w:val="00F15E53"/>
    <w:rPr>
      <w:rFonts w:asciiTheme="majorHAnsi" w:eastAsiaTheme="majorEastAsia" w:hAnsiTheme="majorHAnsi" w:cstheme="majorBidi"/>
      <w:b/>
      <w:color w:val="4F81BD" w:themeColor="accent1"/>
    </w:rPr>
  </w:style>
  <w:style w:type="character" w:customStyle="1" w:styleId="Nadpis5Char1">
    <w:name w:val="Nadpis 5 Char1"/>
    <w:basedOn w:val="Predvolenpsmoodseku"/>
    <w:link w:val="Nadpis5"/>
    <w:uiPriority w:val="9"/>
    <w:rsid w:val="00F15E5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15E53"/>
    <w:rPr>
      <w:rFonts w:ascii="Times New Roman" w:hAnsi="Times New Roman" w:cs="Times New Roman"/>
      <w:sz w:val="24"/>
      <w:lang w:val="sk-SK" w:eastAsia="cs-CZ"/>
    </w:rPr>
  </w:style>
  <w:style w:type="character" w:customStyle="1" w:styleId="PodtitulChar">
    <w:name w:val="Podtitul Char"/>
    <w:basedOn w:val="Predvolenpsmoodseku"/>
    <w:link w:val="Podtitul"/>
    <w:uiPriority w:val="11"/>
    <w:rsid w:val="00F15E53"/>
    <w:rPr>
      <w:rFonts w:ascii="Cambria" w:hAnsi="Cambria" w:cs="Times New Roman"/>
      <w:sz w:val="24"/>
    </w:rPr>
  </w:style>
  <w:style w:type="character" w:customStyle="1" w:styleId="Nadpis1Char1">
    <w:name w:val="Nadpis 1 Char1"/>
    <w:basedOn w:val="Predvolenpsmoodseku"/>
    <w:link w:val="Nadpis1"/>
    <w:uiPriority w:val="9"/>
    <w:rsid w:val="00F15E53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F15E53"/>
    <w:rPr>
      <w:rFonts w:ascii="Times New Roman" w:hAnsi="Times New Roman" w:cs="Times New Roman"/>
      <w:lang w:val="sk-SK" w:eastAsia="cs-CZ"/>
    </w:rPr>
  </w:style>
  <w:style w:type="character" w:styleId="Odkaznakoncovpoznmku">
    <w:name w:val="endnote reference"/>
    <w:basedOn w:val="Predvolenpsmoodseku"/>
    <w:uiPriority w:val="99"/>
    <w:semiHidden/>
    <w:unhideWhenUsed/>
    <w:rsid w:val="00F15E53"/>
    <w:rPr>
      <w:vertAlign w:val="superscript"/>
    </w:rPr>
  </w:style>
  <w:style w:type="character" w:styleId="Jemnzvraznenie">
    <w:name w:val="Subtle Emphasis"/>
    <w:basedOn w:val="Predvolenpsmoodseku"/>
    <w:uiPriority w:val="19"/>
    <w:qFormat/>
    <w:rsid w:val="00F15E53"/>
    <w:rPr>
      <w:i/>
      <w:color w:val="808080" w:themeColor="text1" w:themeTint="7F"/>
    </w:rPr>
  </w:style>
  <w:style w:type="character" w:customStyle="1" w:styleId="Nadpis3Char">
    <w:name w:val="Nadpis 3 Char"/>
    <w:basedOn w:val="Predvolenpsmoodseku"/>
    <w:uiPriority w:val="9"/>
    <w:rsid w:val="00F15E53"/>
    <w:rPr>
      <w:rFonts w:ascii="Cambria" w:hAnsi="Cambria" w:cs="Times New Roman"/>
      <w:b/>
      <w:sz w:val="26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F15E53"/>
    <w:rPr>
      <w:sz w:val="20"/>
    </w:rPr>
  </w:style>
  <w:style w:type="paragraph" w:styleId="Zkladntext2">
    <w:name w:val="Body Text 2"/>
    <w:basedOn w:val="Normlny"/>
    <w:link w:val="Zkladntext2Char"/>
    <w:uiPriority w:val="99"/>
    <w:rsid w:val="00F15E53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Nadpis7Char">
    <w:name w:val="Nadpis 7 Char"/>
    <w:basedOn w:val="Predvolenpsmoodseku"/>
    <w:uiPriority w:val="9"/>
    <w:semiHidden/>
    <w:rsid w:val="00F15E53"/>
    <w:rPr>
      <w:rFonts w:cs="Times New Roman"/>
      <w:sz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15E53"/>
    <w:pPr>
      <w:spacing w:after="60"/>
      <w:jc w:val="center"/>
    </w:pPr>
    <w:rPr>
      <w:rFonts w:ascii="Cambria" w:hAnsi="Cambria"/>
    </w:rPr>
  </w:style>
  <w:style w:type="character" w:customStyle="1" w:styleId="Nadpis5Char">
    <w:name w:val="Nadpis 5 Char"/>
    <w:basedOn w:val="Predvolenpsmoodseku"/>
    <w:uiPriority w:val="9"/>
    <w:rsid w:val="00F15E53"/>
    <w:rPr>
      <w:rFonts w:cs="Times New Roman"/>
      <w:b/>
      <w:i/>
      <w:sz w:val="26"/>
    </w:rPr>
  </w:style>
  <w:style w:type="table" w:styleId="Mriekatabuky">
    <w:name w:val="Table Grid"/>
    <w:basedOn w:val="Normlnatabuka"/>
    <w:uiPriority w:val="99"/>
    <w:rsid w:val="00F15E53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15E53"/>
    <w:rPr>
      <w:sz w:val="20"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F15E53"/>
  </w:style>
  <w:style w:type="character" w:customStyle="1" w:styleId="Nadpis8Char">
    <w:name w:val="Nadpis 8 Char"/>
    <w:basedOn w:val="Predvolenpsmoodseku"/>
    <w:uiPriority w:val="9"/>
    <w:semiHidden/>
    <w:rsid w:val="00F15E53"/>
    <w:rPr>
      <w:rFonts w:cs="Times New Roman"/>
      <w:i/>
      <w:sz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5E53"/>
    <w:rPr>
      <w:rFonts w:ascii="Tahoma" w:hAnsi="Tahoma" w:cs="Tahoma"/>
      <w:sz w:val="16"/>
      <w:lang w:val="sk-SK" w:eastAsia="cs-CZ"/>
    </w:rPr>
  </w:style>
  <w:style w:type="character" w:styleId="Intenzvnezvraznenie">
    <w:name w:val="Intense Emphasis"/>
    <w:basedOn w:val="Predvolenpsmoodseku"/>
    <w:uiPriority w:val="21"/>
    <w:qFormat/>
    <w:rsid w:val="00F15E53"/>
    <w:rPr>
      <w:b/>
      <w:i/>
      <w:color w:val="4F81BD" w:themeColor="accent1"/>
    </w:rPr>
  </w:style>
  <w:style w:type="paragraph" w:styleId="Bezriadkovania">
    <w:name w:val="No Spacing"/>
    <w:uiPriority w:val="1"/>
    <w:qFormat/>
    <w:rsid w:val="00F15E53"/>
  </w:style>
  <w:style w:type="character" w:customStyle="1" w:styleId="Nadpis2Char1">
    <w:name w:val="Nadpis 2 Char1"/>
    <w:basedOn w:val="Predvolenpsmoodseku"/>
    <w:link w:val="Nadpis2"/>
    <w:uiPriority w:val="9"/>
    <w:rsid w:val="00F15E53"/>
    <w:rPr>
      <w:rFonts w:asciiTheme="majorHAnsi" w:eastAsiaTheme="majorEastAsia" w:hAnsiTheme="majorHAnsi" w:cstheme="majorBidi"/>
      <w:b/>
      <w:color w:val="4F81BD" w:themeColor="accent1"/>
      <w:sz w:val="26"/>
    </w:rPr>
  </w:style>
  <w:style w:type="paragraph" w:styleId="Hlavika">
    <w:name w:val="header"/>
    <w:basedOn w:val="Normlny"/>
    <w:link w:val="HlavikaChar"/>
    <w:uiPriority w:val="99"/>
    <w:rsid w:val="00F15E53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zovChar1">
    <w:name w:val="Názov Char1"/>
    <w:basedOn w:val="Predvolenpsmoodseku"/>
    <w:link w:val="Nzov"/>
    <w:uiPriority w:val="10"/>
    <w:rsid w:val="00F15E53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F15E53"/>
  </w:style>
  <w:style w:type="paragraph" w:styleId="Nzov">
    <w:name w:val="Title"/>
    <w:basedOn w:val="Normlny"/>
    <w:next w:val="Normlny"/>
    <w:link w:val="NzovChar1"/>
    <w:uiPriority w:val="10"/>
    <w:qFormat/>
    <w:rsid w:val="00F15E53"/>
    <w:pPr>
      <w:pBdr>
        <w:bottom w:val="single" w:sz="8" w:space="0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15E53"/>
    <w:rPr>
      <w:rFonts w:ascii="Times New Roman" w:hAnsi="Times New Roman" w:cs="Times New Roman"/>
      <w:b/>
      <w:sz w:val="24"/>
      <w:lang w:val="sk-SK" w:eastAsia="cs-CZ"/>
    </w:rPr>
  </w:style>
  <w:style w:type="paragraph" w:styleId="Zkladntext">
    <w:name w:val="Body Text"/>
    <w:basedOn w:val="Normlny"/>
    <w:link w:val="ZkladntextChar"/>
    <w:uiPriority w:val="99"/>
    <w:rsid w:val="00F15E53"/>
    <w:pPr>
      <w:jc w:val="both"/>
    </w:pPr>
    <w:rPr>
      <w:rFonts w:ascii="Times New Roman" w:hAnsi="Times New Roman"/>
      <w:b/>
      <w:sz w:val="24"/>
      <w:lang w:eastAsia="cs-CZ"/>
    </w:rPr>
  </w:style>
  <w:style w:type="paragraph" w:styleId="Pta">
    <w:name w:val="footer"/>
    <w:basedOn w:val="Normlny"/>
    <w:link w:val="PtaChar"/>
    <w:uiPriority w:val="99"/>
    <w:rsid w:val="00F15E53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Nadpis2Char">
    <w:name w:val="Nadpis 2 Char"/>
    <w:basedOn w:val="Predvolenpsmoodseku"/>
    <w:uiPriority w:val="9"/>
    <w:rsid w:val="00F15E53"/>
    <w:rPr>
      <w:rFonts w:ascii="Cambria" w:hAnsi="Cambria" w:cs="Times New Roman"/>
      <w:b/>
      <w:i/>
      <w:sz w:val="28"/>
    </w:rPr>
  </w:style>
  <w:style w:type="character" w:customStyle="1" w:styleId="CitciaChar">
    <w:name w:val="Citácia Char"/>
    <w:basedOn w:val="Predvolenpsmoodseku"/>
    <w:link w:val="Citcia"/>
    <w:uiPriority w:val="29"/>
    <w:rsid w:val="00F15E53"/>
    <w:rPr>
      <w:i/>
      <w:color w:val="000000" w:themeColor="text1"/>
    </w:rPr>
  </w:style>
  <w:style w:type="character" w:styleId="Odkaznapoznmkupodiarou">
    <w:name w:val="footnote reference"/>
    <w:basedOn w:val="Predvolenpsmoodseku"/>
    <w:uiPriority w:val="99"/>
    <w:semiHidden/>
    <w:unhideWhenUsed/>
    <w:rsid w:val="00F15E53"/>
    <w:rPr>
      <w:vertAlign w:val="superscript"/>
    </w:rPr>
  </w:style>
  <w:style w:type="character" w:styleId="Siln">
    <w:name w:val="Strong"/>
    <w:basedOn w:val="Predvolenpsmoodseku"/>
    <w:uiPriority w:val="22"/>
    <w:qFormat/>
    <w:rsid w:val="00F15E53"/>
    <w:rPr>
      <w:b/>
    </w:rPr>
  </w:style>
  <w:style w:type="character" w:customStyle="1" w:styleId="Nadpis4Char1">
    <w:name w:val="Nadpis 4 Char1"/>
    <w:basedOn w:val="Predvolenpsmoodseku"/>
    <w:link w:val="Nadpis4"/>
    <w:uiPriority w:val="9"/>
    <w:rsid w:val="00F15E53"/>
    <w:rPr>
      <w:rFonts w:asciiTheme="majorHAnsi" w:eastAsiaTheme="majorEastAsia" w:hAnsiTheme="majorHAnsi" w:cstheme="majorBidi"/>
      <w:b/>
      <w:i/>
      <w:color w:val="4F81BD" w:themeColor="accent1"/>
    </w:rPr>
  </w:style>
  <w:style w:type="character" w:styleId="Nzovknihy">
    <w:name w:val="Book Title"/>
    <w:basedOn w:val="Predvolenpsmoodseku"/>
    <w:uiPriority w:val="33"/>
    <w:qFormat/>
    <w:rsid w:val="00F15E53"/>
    <w:rPr>
      <w:b/>
      <w:smallCaps/>
      <w:spacing w:val="5"/>
    </w:rPr>
  </w:style>
  <w:style w:type="paragraph" w:styleId="Citcia">
    <w:name w:val="Quote"/>
    <w:basedOn w:val="Normlny"/>
    <w:next w:val="Normlny"/>
    <w:link w:val="CitciaChar"/>
    <w:uiPriority w:val="29"/>
    <w:qFormat/>
    <w:rsid w:val="00F15E53"/>
    <w:rPr>
      <w:i/>
      <w:color w:val="000000" w:themeColor="text1"/>
    </w:rPr>
  </w:style>
  <w:style w:type="character" w:styleId="Jemnodkaz">
    <w:name w:val="Subtle Reference"/>
    <w:basedOn w:val="Predvolenpsmoodseku"/>
    <w:uiPriority w:val="31"/>
    <w:qFormat/>
    <w:rsid w:val="00F15E53"/>
    <w:rPr>
      <w:smallCaps/>
      <w:color w:val="C0504D" w:themeColor="accent2"/>
      <w:u w:val="single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15E53"/>
    <w:rPr>
      <w:b/>
      <w:i/>
      <w:color w:val="4F81BD" w:themeColor="accent1"/>
    </w:rPr>
  </w:style>
  <w:style w:type="paragraph" w:styleId="Odsekzoznamu">
    <w:name w:val="List Paragraph"/>
    <w:basedOn w:val="Normlny"/>
    <w:uiPriority w:val="34"/>
    <w:qFormat/>
    <w:rsid w:val="00F15E53"/>
    <w:pPr>
      <w:ind w:left="720"/>
      <w:contextualSpacing/>
    </w:pPr>
  </w:style>
  <w:style w:type="character" w:customStyle="1" w:styleId="NzovChar">
    <w:name w:val="Názov Char"/>
    <w:basedOn w:val="Predvolenpsmoodseku"/>
    <w:uiPriority w:val="99"/>
    <w:rsid w:val="00F15E53"/>
    <w:rPr>
      <w:rFonts w:ascii="Arial Narrow" w:hAnsi="Arial Narrow" w:cs="Times New Roman"/>
      <w:b/>
      <w:sz w:val="32"/>
      <w:lang w:val="sk-SK"/>
    </w:rPr>
  </w:style>
  <w:style w:type="character" w:customStyle="1" w:styleId="ObyajntextChar">
    <w:name w:val="Obyčajný text Char"/>
    <w:basedOn w:val="Predvolenpsmoodseku"/>
    <w:link w:val="Obyajntext"/>
    <w:uiPriority w:val="99"/>
    <w:rsid w:val="00F15E53"/>
    <w:rPr>
      <w:rFonts w:ascii="Courier New" w:hAnsi="Courier New" w:cs="Courier New"/>
      <w:sz w:val="21"/>
    </w:rPr>
  </w:style>
  <w:style w:type="character" w:customStyle="1" w:styleId="SubtitleChar">
    <w:name w:val="Subtitle Char"/>
    <w:basedOn w:val="Predvolenpsmoodseku"/>
    <w:uiPriority w:val="11"/>
    <w:rsid w:val="00F15E53"/>
    <w:rPr>
      <w:rFonts w:asciiTheme="majorHAnsi" w:eastAsiaTheme="majorEastAsia" w:hAnsiTheme="majorHAnsi" w:cstheme="majorBidi"/>
      <w:i/>
      <w:color w:val="4F81BD" w:themeColor="accent1"/>
      <w:spacing w:val="15"/>
      <w:sz w:val="24"/>
    </w:rPr>
  </w:style>
  <w:style w:type="paragraph" w:styleId="Zarkazkladnhotextu3">
    <w:name w:val="Body Text Indent 3"/>
    <w:basedOn w:val="Normlny"/>
    <w:link w:val="Zarkazkladnhotextu3Char"/>
    <w:uiPriority w:val="99"/>
    <w:rsid w:val="00F15E53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15E53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Intenzvnyodkaz">
    <w:name w:val="Intense Reference"/>
    <w:basedOn w:val="Predvolenpsmoodseku"/>
    <w:uiPriority w:val="32"/>
    <w:qFormat/>
    <w:rsid w:val="00F15E53"/>
    <w:rPr>
      <w:b/>
      <w:smallCaps/>
      <w:color w:val="C0504D" w:themeColor="accent2"/>
      <w:spacing w:val="5"/>
      <w:u w:val="single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15E53"/>
    <w:rPr>
      <w:rFonts w:ascii="Times New Roman" w:hAnsi="Times New Roman" w:cs="Times New Roman"/>
      <w:sz w:val="24"/>
      <w:lang w:val="sk-SK" w:eastAsia="cs-CZ"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F15E53"/>
  </w:style>
  <w:style w:type="character" w:customStyle="1" w:styleId="Ra">
    <w:name w:val="Ra"/>
    <w:basedOn w:val="Predvolenpsmoodseku"/>
    <w:uiPriority w:val="99"/>
    <w:rsid w:val="00F15E53"/>
  </w:style>
  <w:style w:type="character" w:customStyle="1" w:styleId="Nadpis6Char1">
    <w:name w:val="Nadpis 6 Char1"/>
    <w:basedOn w:val="Predvolenpsmoodseku"/>
    <w:link w:val="Nadpis6"/>
    <w:uiPriority w:val="9"/>
    <w:rsid w:val="00F15E53"/>
    <w:rPr>
      <w:rFonts w:asciiTheme="majorHAnsi" w:eastAsiaTheme="majorEastAsia" w:hAnsiTheme="majorHAnsi" w:cstheme="majorBidi"/>
      <w:i/>
      <w:color w:val="243F60" w:themeColor="accent1" w:themeShade="7F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15E53"/>
    <w:rPr>
      <w:rFonts w:ascii="Courier New" w:hAnsi="Courier New" w:cs="Courier New"/>
      <w:sz w:val="21"/>
    </w:rPr>
  </w:style>
  <w:style w:type="character" w:styleId="slostrany">
    <w:name w:val="page number"/>
    <w:basedOn w:val="Predvolenpsmoodseku"/>
    <w:uiPriority w:val="99"/>
    <w:rsid w:val="00F15E53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rsid w:val="00F15E53"/>
    <w:rPr>
      <w:rFonts w:ascii="Times New Roman" w:hAnsi="Times New Roman" w:cs="Times New Roman"/>
      <w:lang w:val="sk-SK" w:eastAsia="cs-CZ"/>
    </w:rPr>
  </w:style>
  <w:style w:type="character" w:customStyle="1" w:styleId="Nadpis1Char">
    <w:name w:val="Nadpis 1 Char"/>
    <w:basedOn w:val="Predvolenpsmoodseku"/>
    <w:uiPriority w:val="9"/>
    <w:rsid w:val="00F15E53"/>
    <w:rPr>
      <w:rFonts w:ascii="Cambria" w:hAnsi="Cambria" w:cs="Times New Roman"/>
      <w:b/>
      <w:sz w:val="32"/>
    </w:rPr>
  </w:style>
  <w:style w:type="character" w:styleId="Hypertextovprepojenie">
    <w:name w:val="Hyperlink"/>
    <w:basedOn w:val="Predvolenpsmoodseku"/>
    <w:uiPriority w:val="99"/>
    <w:unhideWhenUsed/>
    <w:rsid w:val="00F15E53"/>
    <w:rPr>
      <w:color w:val="0000FF" w:themeColor="hyperlink"/>
      <w:u w:val="single"/>
    </w:rPr>
  </w:style>
  <w:style w:type="character" w:customStyle="1" w:styleId="Nadpis7Char1">
    <w:name w:val="Nadpis 7 Char1"/>
    <w:basedOn w:val="Predvolenpsmoodseku"/>
    <w:link w:val="Nadpis7"/>
    <w:uiPriority w:val="9"/>
    <w:rsid w:val="00F15E53"/>
    <w:rPr>
      <w:rFonts w:asciiTheme="majorHAnsi" w:eastAsiaTheme="majorEastAsia" w:hAnsiTheme="majorHAnsi" w:cstheme="majorBidi"/>
      <w:i/>
      <w:color w:val="404040" w:themeColor="text1" w:themeTint="BF"/>
    </w:rPr>
  </w:style>
  <w:style w:type="character" w:customStyle="1" w:styleId="Nadpis9Char1">
    <w:name w:val="Nadpis 9 Char1"/>
    <w:basedOn w:val="Predvolenpsmoodseku"/>
    <w:link w:val="Nadpis9"/>
    <w:uiPriority w:val="9"/>
    <w:rsid w:val="00F15E53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customStyle="1" w:styleId="TopHeader">
    <w:name w:val="Top Header"/>
    <w:basedOn w:val="Normlny"/>
    <w:uiPriority w:val="99"/>
    <w:qFormat/>
    <w:rsid w:val="00F15E53"/>
    <w:pPr>
      <w:jc w:val="center"/>
    </w:pPr>
    <w:rPr>
      <w:b/>
    </w:rPr>
  </w:style>
  <w:style w:type="character" w:customStyle="1" w:styleId="Nadpis8Char1">
    <w:name w:val="Nadpis 8 Char1"/>
    <w:basedOn w:val="Predvolenpsmoodseku"/>
    <w:link w:val="Nadpis8"/>
    <w:uiPriority w:val="9"/>
    <w:rsid w:val="00F15E53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15E53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F15E53"/>
    <w:rPr>
      <w:rFonts w:ascii="Tahoma" w:hAnsi="Tahoma" w:cs="Tahoma"/>
      <w:sz w:val="16"/>
      <w:lang w:eastAsia="cs-CZ"/>
    </w:rPr>
  </w:style>
  <w:style w:type="character" w:customStyle="1" w:styleId="Nadpis6Char">
    <w:name w:val="Nadpis 6 Char"/>
    <w:basedOn w:val="Predvolenpsmoodseku"/>
    <w:uiPriority w:val="9"/>
    <w:semiHidden/>
    <w:rsid w:val="00F15E53"/>
    <w:rPr>
      <w:rFonts w:cs="Times New Roman"/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0B804C-FDC2-4776-AAC3-F00991B2C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1662</TotalTime>
  <Pages>12</Pages>
  <Words>2735</Words>
  <Characters>15594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18293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Rybárová Iveta</cp:lastModifiedBy>
  <cp:revision>316</cp:revision>
  <cp:lastPrinted>2014-02-24T10:57:00Z</cp:lastPrinted>
  <dcterms:created xsi:type="dcterms:W3CDTF">2013-02-17T10:04:00Z</dcterms:created>
  <dcterms:modified xsi:type="dcterms:W3CDTF">2014-03-31T07:16:00Z</dcterms:modified>
</cp:coreProperties>
</file>