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121"/>
        <w:gridCol w:w="3951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B00D5F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Vložka číslo: </w:t>
            </w:r>
            <w:r w:rsidR="00B00D5F">
              <w:rPr>
                <w:noProof w:val="0"/>
                <w:lang w:eastAsia="sk-SK"/>
              </w:rPr>
              <w:t>28072</w:t>
            </w:r>
            <w:r w:rsidR="00EA6C1D">
              <w:rPr>
                <w:noProof w:val="0"/>
                <w:lang w:eastAsia="sk-SK"/>
              </w:rPr>
              <w:t>/</w:t>
            </w:r>
            <w:r w:rsidR="00B00D5F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B00D5F" w:rsidP="003E7A1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ACOR I, s.r.o.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B00D5F" w:rsidP="00B00D5F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Nové Mesto nad Váhom, 915 01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B00D5F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45 942 056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>Daňový úrad</w:t>
      </w:r>
      <w:r w:rsidR="00B00D5F">
        <w:rPr>
          <w:rFonts w:ascii="Arial" w:hAnsi="Arial" w:cs="Arial"/>
        </w:rPr>
        <w:t xml:space="preserve"> Trenčín</w:t>
      </w:r>
      <w:r>
        <w:rPr>
          <w:rFonts w:ascii="Arial" w:hAnsi="Arial" w:cs="Arial"/>
        </w:rPr>
        <w:t xml:space="preserve">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</w:t>
      </w:r>
      <w:r w:rsidR="00B00D5F">
        <w:rPr>
          <w:lang w:eastAsia="sk-SK"/>
        </w:rPr>
        <w:t xml:space="preserve">                  K dolnej stanici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B00D5F">
        <w:rPr>
          <w:lang w:eastAsia="sk-SK"/>
        </w:rPr>
        <w:t xml:space="preserve">911 01 Trenčín 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B00D5F">
        <w:rPr>
          <w:rFonts w:ascii="Arial" w:hAnsi="Arial" w:cs="Arial"/>
          <w:sz w:val="22"/>
        </w:rPr>
        <w:t> Trenčín</w:t>
      </w:r>
    </w:p>
    <w:p w:rsidR="0035352A" w:rsidRDefault="0035352A" w:rsidP="00B00D5F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B00D5F">
        <w:rPr>
          <w:rFonts w:ascii="Arial" w:hAnsi="Arial" w:cs="Arial"/>
          <w:sz w:val="22"/>
        </w:rPr>
        <w:t>ACOR I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655655"/>
    <w:rsid w:val="007235E0"/>
    <w:rsid w:val="00B00D5F"/>
    <w:rsid w:val="00B24F4C"/>
    <w:rsid w:val="00BF41E5"/>
    <w:rsid w:val="00E4024E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2014-05-09T07:29:00Z</dcterms:modified>
</cp:coreProperties>
</file>