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" w:hAnsi="Arial" w:cs="Arial"/>
          <w:sz w:val="22"/>
          <w:szCs w:val="22"/>
        </w:rPr>
      </w:pPr>
    </w:p>
    <w:p w:rsidR="00936967" w:rsidRDefault="00936967">
      <w:pPr>
        <w:rPr>
          <w:rFonts w:ascii="Arial" w:hAnsi="Arial" w:cs="Arial"/>
          <w:b/>
          <w:sz w:val="22"/>
          <w:szCs w:val="22"/>
        </w:rPr>
      </w:pPr>
      <w:r w:rsidRPr="00936967">
        <w:rPr>
          <w:rFonts w:ascii="Arial" w:hAnsi="Arial" w:cs="Arial"/>
          <w:b/>
          <w:sz w:val="22"/>
          <w:szCs w:val="22"/>
        </w:rPr>
        <w:t>I. VŠEOBECNÉ INFORMÁCIE</w:t>
      </w:r>
    </w:p>
    <w:p w:rsidR="00936967" w:rsidRPr="00936967" w:rsidRDefault="00936967">
      <w:pPr>
        <w:rPr>
          <w:rFonts w:ascii="Arial" w:hAnsi="Arial" w:cs="Arial"/>
          <w:b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D36D54" w:rsidRPr="00D36D54" w:rsidTr="00D36D54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D36D54" w:rsidRPr="00D36D54" w:rsidRDefault="00D36D54" w:rsidP="00D36D5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36D54">
              <w:rPr>
                <w:rFonts w:ascii="Arial" w:hAnsi="Arial" w:cs="Arial"/>
                <w:b/>
                <w:sz w:val="22"/>
                <w:szCs w:val="22"/>
              </w:rPr>
              <w:t>1.Základné informácie o účtovnej jednotke:</w:t>
            </w:r>
          </w:p>
        </w:tc>
      </w:tr>
      <w:tr w:rsidR="00D36D54" w:rsidRPr="0093379F" w:rsidTr="00D36D54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6D54" w:rsidRPr="005C44A2" w:rsidTr="00D36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Style w:val="ra"/>
                <w:rFonts w:ascii="Arial" w:eastAsiaTheme="majorEastAsia" w:hAnsi="Arial" w:cs="Arial"/>
                <w:sz w:val="22"/>
                <w:szCs w:val="22"/>
              </w:rPr>
              <w:t>TEPEDE EDC s. r. o.</w:t>
            </w:r>
          </w:p>
        </w:tc>
      </w:tr>
      <w:tr w:rsidR="00D36D54" w:rsidRPr="005C44A2" w:rsidTr="00D36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Style w:val="ra"/>
                <w:rFonts w:ascii="Arial" w:eastAsiaTheme="majorEastAsia" w:hAnsi="Arial" w:cs="Arial"/>
                <w:sz w:val="22"/>
                <w:szCs w:val="22"/>
              </w:rPr>
              <w:t xml:space="preserve">Pluhová 2, 831 03Bratislava </w:t>
            </w:r>
          </w:p>
        </w:tc>
      </w:tr>
      <w:tr w:rsidR="00D36D54" w:rsidRPr="005C44A2" w:rsidTr="00D36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25.06.2009</w:t>
            </w:r>
          </w:p>
        </w:tc>
      </w:tr>
      <w:tr w:rsidR="00D36D54" w:rsidRPr="005C44A2" w:rsidTr="00D36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10.07.2009</w:t>
            </w:r>
          </w:p>
        </w:tc>
      </w:tr>
    </w:tbl>
    <w:p w:rsidR="00D36D54" w:rsidRPr="0093379F" w:rsidRDefault="00D36D54" w:rsidP="00D36D5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D36D54" w:rsidRPr="00D36D54" w:rsidRDefault="00D36D54" w:rsidP="00D36D54">
      <w:pPr>
        <w:jc w:val="both"/>
        <w:rPr>
          <w:rFonts w:ascii="Arial" w:hAnsi="Arial" w:cs="Arial"/>
          <w:sz w:val="22"/>
          <w:szCs w:val="22"/>
        </w:rPr>
      </w:pPr>
      <w:r w:rsidRPr="00D36D54">
        <w:rPr>
          <w:rFonts w:ascii="Arial" w:hAnsi="Arial" w:cs="Arial"/>
          <w:sz w:val="22"/>
          <w:szCs w:val="22"/>
        </w:rPr>
        <w:t>Opis hospodárskej činnosti účtovnej jednotky:</w:t>
      </w:r>
    </w:p>
    <w:p w:rsidR="00D36D54" w:rsidRDefault="00D36D54" w:rsidP="00D36D54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kúpa tovaru na účely jeho predaja konečnému spotrebiteľovi (maloobchod),</w:t>
      </w:r>
    </w:p>
    <w:p w:rsidR="00D36D54" w:rsidRDefault="00D36D54" w:rsidP="00D36D54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kúpa tovaru na účely jeho predaja iným prevádzkovateľom živnosti (veľkoobchod),</w:t>
      </w:r>
    </w:p>
    <w:p w:rsidR="00D36D54" w:rsidRDefault="00D36D54" w:rsidP="00D36D54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sprostredkovateľská činnosť v oblasti obchodu,</w:t>
      </w:r>
    </w:p>
    <w:p w:rsidR="00D36D54" w:rsidRDefault="00D36D54" w:rsidP="00D36D54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sprostredkovateľská činnosť v oblasti služieb,</w:t>
      </w:r>
    </w:p>
    <w:p w:rsidR="00D36D54" w:rsidRDefault="00D36D54" w:rsidP="00D36D54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reklamné a marketingové služby.</w:t>
      </w:r>
    </w:p>
    <w:p w:rsidR="00D36D54" w:rsidRDefault="00D36D54" w:rsidP="00D36D54">
      <w:pPr>
        <w:spacing w:after="120"/>
        <w:jc w:val="both"/>
        <w:rPr>
          <w:rFonts w:ascii="Arial" w:hAnsi="Arial" w:cs="Arial"/>
          <w:b/>
          <w:sz w:val="22"/>
          <w:szCs w:val="22"/>
        </w:rPr>
      </w:pPr>
    </w:p>
    <w:p w:rsidR="00D36D54" w:rsidRPr="00D36D54" w:rsidRDefault="00D36D54" w:rsidP="00D36D54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2. </w:t>
      </w:r>
      <w:r w:rsidRPr="00D36D54">
        <w:rPr>
          <w:rFonts w:ascii="Arial" w:hAnsi="Arial" w:cs="Arial"/>
          <w:b/>
          <w:sz w:val="22"/>
          <w:szCs w:val="22"/>
        </w:rPr>
        <w:t>Informácie o počte zamestnancov</w:t>
      </w:r>
    </w:p>
    <w:p w:rsidR="00D36D54" w:rsidRPr="0093379F" w:rsidRDefault="00D36D54" w:rsidP="00D36D54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36D54" w:rsidRPr="0093379F" w:rsidTr="00D36D54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D36D54" w:rsidRPr="0093379F" w:rsidRDefault="00D36D54" w:rsidP="00D36D54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36D54" w:rsidRPr="0093379F" w:rsidRDefault="00D36D54" w:rsidP="00D36D5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36D54" w:rsidRPr="0093379F" w:rsidRDefault="00D36D54" w:rsidP="00D36D5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36D54" w:rsidRPr="0093379F" w:rsidTr="00D36D54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36D54" w:rsidRPr="0093379F" w:rsidTr="00D36D54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36D54" w:rsidRPr="0093379F" w:rsidTr="00D36D54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3.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Neobmedzené ručenie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Spoločnosť nie je neobmedzene ručiacim spoločníkom v iných spoločnostiach podľa § 56 ods. 5 Obchodného zákonníka.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4.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Právny dôvod zostavenia účtovnej závierky</w:t>
      </w: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Účtovná závierka Spoločnosti k 31. decembru 2013 je zostavená ako riadna účtovná závierka podľa § 17 ods. 6 zákona NR SR č. 431/2002 Z. z. o účtovníctve, za účtovné obdobie od 01. januára 2013 do 31. decembra 2013.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5.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Dátum schválenia účtovnej závierky za bezprostredne predchádzajúce účtovné obdobie príslušným orgánom účtovnej jednotky:</w:t>
      </w:r>
    </w:p>
    <w:p w:rsidR="00D36D54" w:rsidRPr="00D36D54" w:rsidRDefault="00D36D54" w:rsidP="00D36D54">
      <w:pPr>
        <w:jc w:val="both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 w:cs="Arial"/>
          <w:bCs/>
          <w:iCs/>
          <w:sz w:val="17"/>
          <w:szCs w:val="28"/>
          <w:lang w:eastAsia="en-US"/>
        </w:rPr>
        <w:t>Účtovná závierka za bezprostredne predchádzajúce účtovné obdobie bola schválená dňa 21.10.2013.</w:t>
      </w: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br w:type="page"/>
      </w:r>
      <w:r w:rsidR="00936967">
        <w:rPr>
          <w:rFonts w:ascii="Verdana" w:hAnsi="Verdana" w:cs="Arial"/>
          <w:b/>
          <w:bCs/>
          <w:iCs/>
          <w:sz w:val="17"/>
          <w:szCs w:val="28"/>
          <w:lang w:eastAsia="en-US"/>
        </w:rPr>
        <w:lastRenderedPageBreak/>
        <w:t xml:space="preserve">6.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Členovia orgánov spoločnosti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D36D54" w:rsidRPr="00D36D54" w:rsidTr="00D36D54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bookmarkStart w:id="0" w:name="OLE_LINK1"/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Meno</w:t>
            </w:r>
          </w:p>
        </w:tc>
      </w:tr>
      <w:tr w:rsidR="00D36D54" w:rsidRPr="00D36D54" w:rsidTr="00D36D54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</w:tr>
      <w:tr w:rsidR="00D36D54" w:rsidRPr="00D36D54" w:rsidTr="00D36D54">
        <w:trPr>
          <w:cantSplit/>
          <w:trHeight w:val="257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both"/>
              <w:rPr>
                <w:rFonts w:ascii="Verdana" w:hAnsi="Verdana"/>
                <w:snapToGrid w:val="0"/>
                <w:sz w:val="15"/>
                <w:szCs w:val="20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</w:rPr>
              <w:t>Konateľ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D36D54" w:rsidRPr="00D36D54" w:rsidRDefault="00D36D54" w:rsidP="00D36D54">
            <w:pPr>
              <w:jc w:val="both"/>
              <w:rPr>
                <w:rFonts w:ascii="Verdana" w:hAnsi="Verdana"/>
                <w:snapToGrid w:val="0"/>
                <w:sz w:val="15"/>
                <w:szCs w:val="20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</w:rPr>
              <w:t>konateľ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D36D54" w:rsidRPr="00D36D54" w:rsidRDefault="00D36D54" w:rsidP="00D36D54">
            <w:pPr>
              <w:jc w:val="both"/>
              <w:rPr>
                <w:rFonts w:ascii="Verdana" w:hAnsi="Verdana"/>
                <w:snapToGrid w:val="0"/>
                <w:sz w:val="15"/>
                <w:szCs w:val="20"/>
                <w:highlight w:val="yellow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</w:rPr>
              <w:t>Marcel Horváth</w:t>
            </w:r>
          </w:p>
        </w:tc>
      </w:tr>
      <w:bookmarkEnd w:id="0"/>
    </w:tbl>
    <w:p w:rsidR="00D36D54" w:rsidRPr="00D36D54" w:rsidRDefault="00D36D54" w:rsidP="00D36D54">
      <w:pPr>
        <w:jc w:val="both"/>
        <w:rPr>
          <w:rFonts w:ascii="Verdana" w:hAnsi="Verdana"/>
          <w:i/>
          <w:color w:val="FF0000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936967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7. </w:t>
      </w:r>
      <w:r w:rsidR="00D36D54"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Štruktúra spoločníkov a akcionárov a ich podiel na základnom imaní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1" w:name="_MON_1389596823"/>
    <w:bookmarkStart w:id="2" w:name="_MON_1389597047"/>
    <w:bookmarkStart w:id="3" w:name="_MON_1389597090"/>
    <w:bookmarkEnd w:id="1"/>
    <w:bookmarkEnd w:id="2"/>
    <w:bookmarkEnd w:id="3"/>
    <w:bookmarkStart w:id="4" w:name="_MON_1389596630"/>
    <w:bookmarkEnd w:id="4"/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object w:dxaOrig="9239" w:dyaOrig="274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2.05pt;height:139pt" o:ole="" o:bordertopcolor="this" o:borderleftcolor="this">
            <v:imagedata r:id="rId9" o:title=""/>
            <w10:bordertop type="single" width="4"/>
            <w10:borderleft type="single" width="4"/>
          </v:shape>
          <o:OLEObject Type="Embed" ProgID="Excel.Sheet.8" ShapeID="_x0000_i1025" DrawAspect="Content" ObjectID="_1456418729" r:id="rId10"/>
        </w:object>
      </w:r>
    </w:p>
    <w:p w:rsidR="00D36D54" w:rsidRPr="00D36D54" w:rsidRDefault="00936967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8. </w:t>
      </w:r>
      <w:r w:rsidR="00D36D54"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Konsolidovaná účtovná závierka</w:t>
      </w:r>
    </w:p>
    <w:p w:rsidR="00D36D54" w:rsidRPr="00D36D54" w:rsidRDefault="00D36D54" w:rsidP="00D36D54">
      <w:pPr>
        <w:jc w:val="both"/>
        <w:rPr>
          <w:rFonts w:ascii="Verdana" w:hAnsi="Verdana"/>
          <w:b/>
          <w:sz w:val="20"/>
          <w:szCs w:val="20"/>
          <w:lang w:eastAsia="en-US"/>
        </w:rPr>
      </w:pPr>
    </w:p>
    <w:p w:rsidR="00936967" w:rsidRPr="00936967" w:rsidRDefault="00936967" w:rsidP="00936967">
      <w:pPr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 xml:space="preserve">Spoločnosť sa zahrnuje do konsolidovanej účtovnej závierky spoločnosti </w:t>
      </w:r>
      <w:proofErr w:type="spellStart"/>
      <w:r w:rsidRPr="00936967">
        <w:rPr>
          <w:rFonts w:ascii="Verdana" w:hAnsi="Verdana"/>
          <w:sz w:val="17"/>
          <w:szCs w:val="20"/>
          <w:lang w:eastAsia="en-US"/>
        </w:rPr>
        <w:t>Kleibergen</w:t>
      </w:r>
      <w:proofErr w:type="spellEnd"/>
      <w:r w:rsidRPr="00936967">
        <w:rPr>
          <w:rFonts w:ascii="Verdana" w:hAnsi="Verdana"/>
          <w:sz w:val="17"/>
          <w:szCs w:val="20"/>
          <w:lang w:eastAsia="en-US"/>
        </w:rPr>
        <w:t xml:space="preserve"> Holding B.V. </w:t>
      </w:r>
    </w:p>
    <w:p w:rsidR="00D36D54" w:rsidRDefault="00936967" w:rsidP="00936967">
      <w:pPr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 xml:space="preserve">Účtovnú závierku spoločnosti je možné nájsť v sídle spoločnosti </w:t>
      </w:r>
      <w:proofErr w:type="spellStart"/>
      <w:r w:rsidRPr="00936967">
        <w:rPr>
          <w:rFonts w:ascii="Verdana" w:hAnsi="Verdana"/>
          <w:sz w:val="17"/>
          <w:szCs w:val="20"/>
          <w:lang w:eastAsia="en-US"/>
        </w:rPr>
        <w:t>Kleibergen</w:t>
      </w:r>
      <w:proofErr w:type="spellEnd"/>
      <w:r w:rsidRPr="00936967">
        <w:rPr>
          <w:rFonts w:ascii="Verdana" w:hAnsi="Verdana"/>
          <w:sz w:val="17"/>
          <w:szCs w:val="20"/>
          <w:lang w:eastAsia="en-US"/>
        </w:rPr>
        <w:t xml:space="preserve"> Holding B.V. alebo sídle spoločnosti TEPEDE EDC s. r. o.</w:t>
      </w:r>
    </w:p>
    <w:p w:rsidR="00936967" w:rsidRDefault="00936967" w:rsidP="00936967">
      <w:pPr>
        <w:jc w:val="both"/>
        <w:rPr>
          <w:rFonts w:ascii="Verdana" w:hAnsi="Verdana"/>
          <w:sz w:val="17"/>
          <w:szCs w:val="20"/>
          <w:highlight w:val="yellow"/>
          <w:lang w:eastAsia="en-US"/>
        </w:rPr>
      </w:pPr>
    </w:p>
    <w:p w:rsidR="00936967" w:rsidRPr="00D36D54" w:rsidRDefault="00936967" w:rsidP="00936967">
      <w:pPr>
        <w:jc w:val="both"/>
        <w:rPr>
          <w:rFonts w:ascii="Verdana" w:hAnsi="Verdana"/>
          <w:sz w:val="17"/>
          <w:szCs w:val="20"/>
          <w:highlight w:val="yellow"/>
          <w:lang w:eastAsia="en-US"/>
        </w:rPr>
      </w:pPr>
    </w:p>
    <w:p w:rsidR="00D36D54" w:rsidRPr="00936967" w:rsidRDefault="00D36D54" w:rsidP="00936967">
      <w:pPr>
        <w:pStyle w:val="Odsekzoznamu"/>
        <w:keepNext/>
        <w:numPr>
          <w:ilvl w:val="0"/>
          <w:numId w:val="39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bookmarkStart w:id="5" w:name="_Ref150575427"/>
      <w:r w:rsidRPr="00936967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POUŽITÉ ÚČTOVNÉ ZÁSADY A ÚČTOVNÉ METÓDY</w:t>
      </w:r>
      <w:bookmarkEnd w:id="5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Účtovná závierka za rok 201</w:t>
      </w:r>
      <w:r w:rsidR="00936967">
        <w:rPr>
          <w:rFonts w:ascii="Verdana" w:hAnsi="Verdana"/>
          <w:sz w:val="17"/>
          <w:szCs w:val="20"/>
          <w:lang w:eastAsia="en-US"/>
        </w:rPr>
        <w:t>3</w:t>
      </w:r>
      <w:r w:rsidRPr="00D36D54">
        <w:rPr>
          <w:rFonts w:ascii="Verdana" w:hAnsi="Verdana"/>
          <w:sz w:val="17"/>
          <w:szCs w:val="20"/>
          <w:lang w:eastAsia="en-US"/>
        </w:rPr>
        <w:t xml:space="preserve"> bola spracovaná za predpokladu nepretržitého pokračovania činnosti. 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Moment zaúčtovania výnosov – výnosy sa účtujú pri splnení dodacích podmienok, nakoľko v tomto okamihu prechádzajú na odberateľa významné riziká a vlastnícke práva.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9"/>
        </w:numPr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bookmarkStart w:id="6" w:name="_Ref150575436"/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Spôsob ocenenia jednotlivých zložiek majetku a záväzkov – prvé ocenenie</w:t>
      </w:r>
      <w:bookmarkEnd w:id="6"/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Pri obstaraní majetku sa uplatňuje princíp obstarávacích cien (t. j. historických cien). Ocenenie jednotlivých položiek majetku a záväzkov je takéto: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(r. 103 súvahy) a krátkodobá časť v ostatných záväzkoch (r. 114 súvahy). Nerealizované finančné náklady, ktoré predstavujú rozdiel medzi celkovou sumou dohodnutých platieb a reálnou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i/>
          <w:color w:val="FF0000"/>
          <w:sz w:val="17"/>
          <w:szCs w:val="20"/>
          <w:lang w:eastAsia="en-US"/>
        </w:rPr>
      </w:pP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Majetok prenajímaný formou finančného prenájmu sa v súvahe vykazuje ako dlhodobé iné pohľadávky (r. 045 súvahy) a krátkodobá časť v krátkodobých iných pohľadávkach (r. 054 súvahy) vo výške istiny (celková suma dohodnutých platieb znížená o nerealizované finančné výnosy). Nerealizované finančné výnosy, ktoré predstavujú rozdiel medzi celkovou sumou dohodnutých platieb a istinou, sa účtujú vo výkaze ziskov a strát počas doby trvania prenájmu použitím metódy efektívnej úrokovej miery.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Zásoby obstarané kúpou:</w:t>
      </w:r>
    </w:p>
    <w:p w:rsidR="00D36D54" w:rsidRPr="00D36D54" w:rsidRDefault="00D36D54" w:rsidP="00D36D54">
      <w:pPr>
        <w:numPr>
          <w:ilvl w:val="0"/>
          <w:numId w:val="12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a prírastku odchýlky na súčte stavu a prírastku zásob.</w:t>
      </w:r>
    </w:p>
    <w:p w:rsidR="00D36D54" w:rsidRPr="00D36D54" w:rsidRDefault="00D36D54" w:rsidP="00D36D54">
      <w:pPr>
        <w:numPr>
          <w:ilvl w:val="0"/>
          <w:numId w:val="12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Nakupovaný tovar – obstarávacou cenou. Pri úbytku rovnakého druhu zásob sa používa metóda váženého aritmetického priemeru. Do vedľajších nákladov patrí prepravné, clo a provízie.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Zásoby vytvorené vlastnou činnosťou:</w:t>
      </w:r>
    </w:p>
    <w:p w:rsidR="00D36D54" w:rsidRPr="00D36D54" w:rsidRDefault="00D36D54" w:rsidP="00D36D54">
      <w:pPr>
        <w:numPr>
          <w:ilvl w:val="0"/>
          <w:numId w:val="13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936967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>Zákazková výroba – v zmluvách o zákazkách sa určujú podmienky a vzťahy jednotlivých zmlúv, ktoré sa uzatvárajú vo fixných cenách alebo v skutočných nákladoch plus fixná marža.</w:t>
      </w: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 xml:space="preserve">Výnosy zo zákazky zahŕňajú cenu dohodnutú v zmluve. Súčasťou týchto výnosov sú aj zmeny ceny dohodnutej v zmluve, ak sa dodatočne dohodne iný rozsah prác, nároky a stimulačné doplatky. Náklady na zákazku na účely účtovania sú priame náklady súvisiace so zákazkou, nepriame náklady, ktoré sa dajú priradiť k zákazke, a iné náklady, napríklad správna réžia, náklady na </w:t>
      </w:r>
      <w:r w:rsidRPr="00936967">
        <w:rPr>
          <w:rFonts w:ascii="Verdana" w:hAnsi="Verdana"/>
          <w:sz w:val="17"/>
          <w:szCs w:val="20"/>
          <w:lang w:eastAsia="en-US"/>
        </w:rPr>
        <w:lastRenderedPageBreak/>
        <w:t xml:space="preserve">výskum a vývoj, ktoré sa dajú priradiť k zákazke odo dňa zabezpečenia zmluvy až po jej úplné splnenie. </w:t>
      </w: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 xml:space="preserve">Na účely účtovania o zákazke sa zostavuje jej rozpočet. Ak sa z uskutočnenia zákazky očakáva strata, pretože rozpočtované náklady na zákazku sú vyššie ako rozpočtované výnosy zo zákazky, zohľadní sa táto strata v účtovnom období, v ktorom sa zákazka začala uskutočňovať, a to vytvorením opravnej položky (do výšky aktivovaných zásob) a rezervy (vo výške straty nad výšku aktivovaných zásob). </w:t>
      </w: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>Výnosy zo zákazky sa účtujú podľa metódy percenta dokončenia zákazky bez ohľadu na to, či doteraz uskutočnené práce už boli fakturované a v akej výške. Percento dokončenia zákazky sa zisťuje ako pomer skutočne vynaložených nákladov na zákazku k celkovým rozpočtovaným nákladom na zákazku.</w:t>
      </w:r>
    </w:p>
    <w:p w:rsidR="00936967" w:rsidRPr="00D36D54" w:rsidRDefault="00936967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Pohľadávky:</w:t>
      </w:r>
    </w:p>
    <w:p w:rsidR="00D36D54" w:rsidRPr="00D36D54" w:rsidRDefault="00D36D54" w:rsidP="00D36D54">
      <w:pPr>
        <w:numPr>
          <w:ilvl w:val="0"/>
          <w:numId w:val="14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ich vzniku alebo bezodplatnom nadobudnutí – menovitou hodnotou,</w:t>
      </w:r>
    </w:p>
    <w:p w:rsidR="00D36D54" w:rsidRPr="00D36D54" w:rsidRDefault="00D36D54" w:rsidP="00D36D54">
      <w:pPr>
        <w:numPr>
          <w:ilvl w:val="0"/>
          <w:numId w:val="14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odplatnom nadobudnutí (postúpení) alebo nadobudnutí vkladom do základného imania – obstarávacou cenou.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Pri dlhodobých pohľadávkach a dlhodobých pôžičkách sa uvádza opravná položka v stĺpci korekcia, čím sa upravuje hodnota tejto pohľadávky a pôžičky na jej súčasnú hodnotu, napríklad metódou efektívnej úrokovej miery. 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Časové rozlíšenie na strane aktív súvahy – očakávanou menovitou hodnotou.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Záväzky:</w:t>
      </w:r>
    </w:p>
    <w:p w:rsidR="00D36D54" w:rsidRPr="00D36D54" w:rsidRDefault="00D36D54" w:rsidP="00D36D54">
      <w:pPr>
        <w:numPr>
          <w:ilvl w:val="0"/>
          <w:numId w:val="15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ich vzniku – menovitou hodnotou,</w:t>
      </w:r>
    </w:p>
    <w:p w:rsidR="00D36D54" w:rsidRPr="00D36D54" w:rsidRDefault="00D36D54" w:rsidP="00D36D54">
      <w:pPr>
        <w:numPr>
          <w:ilvl w:val="0"/>
          <w:numId w:val="15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prevzatí – obstarávacou cenou.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Rezervy – v očakávanej výške záväzku alebo 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poistnomatematickými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 metódami.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Dlhopisy, pôžičky, úvery: </w:t>
      </w:r>
    </w:p>
    <w:p w:rsidR="00D36D54" w:rsidRPr="00D36D54" w:rsidRDefault="00D36D54" w:rsidP="00D36D54">
      <w:pPr>
        <w:numPr>
          <w:ilvl w:val="0"/>
          <w:numId w:val="16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ich vzniku – menovitou hodnotou,</w:t>
      </w:r>
    </w:p>
    <w:p w:rsidR="00D36D54" w:rsidRPr="00D36D54" w:rsidRDefault="00D36D54" w:rsidP="00D36D54">
      <w:pPr>
        <w:numPr>
          <w:ilvl w:val="0"/>
          <w:numId w:val="16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prevzatí – obstarávacou cenou.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Úroky z dlhopisov, pôžičiek a úverov sa účtujú do obdobia, s ktorým časovo a vecne súvisia.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Časové rozlíšenie na strane pasív súvahy – očakávanou menovitou hodnotou.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Deriváty – nakúpené deriváty sa oceňujú obstarávacou cenou.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Prenajatý majetok a majetok obstaraný na základe zmluvy o kúpe prenajatej veci uzatvorenej do 31. decembra 2003 sa v súvahe nevykazuje, je vedený na podsúvahovom účte v obstarávacej cene. Akontácia pri finančnom lízingu sa časovo rozlišuje a rozpúšťa do nákladov počas doby prenájmu.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Majetok obstaraný v privatizácii – zostatkovou cenou z účtovníctva privatizovaného subjektu. Rozdiel medzi vydraženou cenou a účtovnou hodnotou majetku sa zaúčtoval na účet 097 – Opravná položka k nadobudnutému majetku, ktorá sa odpisuje do nákladov pravidelne počas 15 rokov od nadobudnutia majetku.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bookmarkStart w:id="7" w:name="_Ref150575442"/>
      <w:r w:rsidRPr="00D36D54">
        <w:rPr>
          <w:rFonts w:ascii="Verdana" w:hAnsi="Verdana"/>
          <w:sz w:val="17"/>
          <w:szCs w:val="20"/>
          <w:lang w:eastAsia="en-US"/>
        </w:rPr>
        <w:t>Emisné kvóty – pridelené emisné kvóty sa účtujú do krátkodobého finančného majetku so súvzťažným zápisom v prospech výnosov budúcich období, a to v ocenení reprodukčnou obstarávacou cenou v deň ich pripísania na účet kvót v registri. Zúčtovanie výnosov budúcich období sa účtuje v prospech ostatných výnosov z hospodárskej činnosti v časovej a vecnej súvislosti s použitím bezodplatne pridelených emisných kvót.</w:t>
      </w:r>
      <w:bookmarkEnd w:id="7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Daň z príjmov splatná – podľa slovenského zákona o daniach z príjmov sa splatné dane z príjmov určujú z účtovného zisku pri sadzbe 19 % po úpravách o niektoré položky na daňové účely.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19 %.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Dotácie poskytnuté na obstaranie dlhodobého majetku sa účtujú ako výnosy budúcich období a rozpúšťajú sa do výnosov v časovej a vecnej súvislosti so zaúčtovaním odpisov z dlhodobého hmotného majetku, na obstaranie ktorého bola dotácia poskytnutá, od doby zaradenia tohto majetku do užívania. Uvedením do užívania sa rozumie aj vydanie povolenia na predčasné užívanie stavby alebo rozhodnutia o dočasnom užívaní stavby na skúšobnú prevádzku.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524152" w:rsidRDefault="00524152" w:rsidP="00524152">
      <w:pPr>
        <w:pStyle w:val="Nadpis2"/>
        <w:tabs>
          <w:tab w:val="num" w:pos="539"/>
        </w:tabs>
        <w:ind w:left="539" w:hanging="539"/>
        <w:jc w:val="both"/>
        <w:rPr>
          <w:rFonts w:ascii="Verdana" w:hAnsi="Verdana" w:cs="Arial"/>
          <w:iCs/>
          <w:sz w:val="17"/>
          <w:szCs w:val="28"/>
          <w:lang w:eastAsia="en-US"/>
        </w:rPr>
      </w:pPr>
      <w:bookmarkStart w:id="8" w:name="_Ref150575465"/>
      <w:r w:rsidRPr="00524152">
        <w:rPr>
          <w:rFonts w:ascii="Verdana" w:hAnsi="Verdana" w:cs="Arial"/>
          <w:bCs w:val="0"/>
          <w:iCs/>
          <w:sz w:val="17"/>
          <w:szCs w:val="28"/>
          <w:lang w:eastAsia="en-US"/>
        </w:rPr>
        <w:t>10.</w:t>
      </w:r>
      <w:r w:rsidR="00D36D54" w:rsidRPr="00524152">
        <w:rPr>
          <w:rFonts w:ascii="Verdana" w:hAnsi="Verdana" w:cs="Arial"/>
          <w:iCs/>
          <w:sz w:val="17"/>
          <w:szCs w:val="28"/>
          <w:lang w:eastAsia="en-US"/>
        </w:rPr>
        <w:t>Spôsob ocenenia jednotlivých zložiek majetku a záväzkov – nasledujúce ocenenie</w:t>
      </w:r>
      <w:bookmarkEnd w:id="8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bookmarkStart w:id="9" w:name="_Ref150575467"/>
      <w:r w:rsidRPr="00D36D54">
        <w:rPr>
          <w:rFonts w:ascii="Verdana" w:hAnsi="Verdana"/>
          <w:sz w:val="17"/>
          <w:szCs w:val="20"/>
          <w:lang w:eastAsia="en-US"/>
        </w:rPr>
        <w:t>Predpokladané riziká, straty a zníženia hodnoty, ktoré sa týkajú majetku a záväzkov, sa vyjadrujú prostredníctvom rezerv, opravných položiek a odpisov.</w:t>
      </w:r>
      <w:bookmarkEnd w:id="9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7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  <w:u w:val="single"/>
        </w:rPr>
        <w:t>Rezervy</w:t>
      </w:r>
      <w:r w:rsidRPr="00D36D54">
        <w:rPr>
          <w:rFonts w:ascii="Verdana" w:hAnsi="Verdana"/>
          <w:snapToGrid w:val="0"/>
          <w:sz w:val="17"/>
          <w:szCs w:val="20"/>
        </w:rPr>
        <w:t xml:space="preserve"> – účtujú sa v očakávanej výške záväzku. Spoločnosť vytvára rezervu na súdne spory, rezervu na environmentálne záväzky, </w:t>
      </w:r>
      <w:r w:rsidRPr="00D36D54">
        <w:rPr>
          <w:rFonts w:ascii="Verdana" w:hAnsi="Verdana"/>
          <w:snapToGrid w:val="0"/>
          <w:sz w:val="17"/>
          <w:szCs w:val="17"/>
        </w:rPr>
        <w:t>emisné kvóty</w:t>
      </w:r>
      <w:r w:rsidRPr="00D36D54">
        <w:rPr>
          <w:rFonts w:ascii="Verdana" w:hAnsi="Verdana"/>
          <w:snapToGrid w:val="0"/>
          <w:sz w:val="17"/>
          <w:szCs w:val="20"/>
        </w:rPr>
        <w:t xml:space="preserve"> a rezervu na odchodné a iné dlhodobé zamestnanecké požitky. Ku dňu, ku ktorému sa zostavuje účtovná závierka, sa posudzuje ich výška a odôvodnenosť. 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ind w:left="90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Spoločnosť má dlhodobý program zamestnaneckých požitkov pozostávajúcich z jednorazového príspevku pri odchode do dôchodku, vernostného príspevku za odpracované roky a odmeny pri životných jubileách, na ktoré neboli vyčlenené samostatné finančné zdroje. Náklady na zamestnanecké požitky sú stanovené prírastkovou 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poistnomatematickou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 metódou, tzv. „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ProjectedUnitCreditMethod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“. Podľa tejto metódy sa náklady na poskytovanie dôchodkov účtujú do výkazu ziskov a strát tak, aby pravidelne sa opakujúce náklady boli rozložené na dobu trvania pracovného pomeru. Záväzky z poskytovania požitkov sú ocenené v súčasnej hodnote predpokladaných budúcich peňažných výdavkov diskontovaných sadzbou vo výške úrokového výnosu z cenných papierov s fixnou úrokovou mierou, ktorých doba splatnosti sa približne zhoduje s dobou splatnosti daného záväzku. Spoločnosť odvodzuje diskontnú sadzbu od predpokladanej reálnej úrokovej miery 4 % p. a. a očakávanej inflácie slovenskej koruny. Časť 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poistnomatematických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 ziskov a strát prevyšujúca 10 % definovaného záväzku z poskytovania zamestnaneckých požitkov sa odpisuje počas zostávajúcej doby trvania pracovného pomeru zamestnancov skupiny, počnúc nasledujúcim účtovným obdobím.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numPr>
          <w:ilvl w:val="0"/>
          <w:numId w:val="18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  <w:u w:val="single"/>
        </w:rPr>
        <w:t>Opravné položky</w:t>
      </w:r>
      <w:r w:rsidRPr="00D36D54">
        <w:rPr>
          <w:rFonts w:ascii="Verdana" w:hAnsi="Verdana"/>
          <w:snapToGrid w:val="0"/>
          <w:sz w:val="17"/>
          <w:szCs w:val="20"/>
        </w:rPr>
        <w:t xml:space="preserve"> – účtujú sa v sume opodstatneného predpokladu zníženia hodnoty majetku oproti jeho oceneniu v účtovníctve, a to: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k zastaveným investíciám na základe zhodnotenia ich účtovnej hodnoty vo vzťahu k možnej realizovateľnej cene, 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 podielom na základnom imaní v obchodných spoločnostiach na základe metódy vlastného imania,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 zásobám bez obratu nad 360 dní vo výške 80 % podľa posúdenia ich využiteľnosti v spoločnosti alebo možného odpredaja,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 zásobám materiálu, nedokončenej výroby a výrobkov, ktorých trhová cena klesla pod obstarávaciu cenu, resp. pod ocenenie vlastnými nákladmi podľa prepočtu podielu obstarávacej ceny alebo vlastných nákladov na možnej trhovej cene,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 nedokončenej výrobe predstavujúcej zákazkovú výrobu v súvislosti s vyjadrením strát zákazky,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 pohľadávkam po lehote splatnosti nad 360 dní 100 %, nad 180 dní 70 %, z ostatných pohľadávok po lehote splatnosti 5 %.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9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  <w:u w:val="single"/>
        </w:rPr>
        <w:t xml:space="preserve">Plán odpisov </w:t>
      </w:r>
    </w:p>
    <w:p w:rsidR="00D36D54" w:rsidRPr="00D36D54" w:rsidRDefault="00D36D54" w:rsidP="00D36D54">
      <w:pPr>
        <w:ind w:left="900"/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ind w:left="900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D36D54" w:rsidRPr="00D36D54" w:rsidRDefault="00D36D54" w:rsidP="00D36D54">
      <w:pPr>
        <w:ind w:left="900"/>
        <w:jc w:val="both"/>
        <w:rPr>
          <w:rFonts w:ascii="Verdana" w:hAnsi="Verdana"/>
          <w:b/>
          <w:snapToGrid w:val="0"/>
          <w:sz w:val="17"/>
          <w:szCs w:val="20"/>
        </w:rPr>
      </w:pPr>
    </w:p>
    <w:p w:rsidR="00D36D54" w:rsidRPr="00D36D54" w:rsidRDefault="00D36D54" w:rsidP="00D36D54">
      <w:pPr>
        <w:ind w:left="900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Priemerné životnosti podľa plánu odpisov sú: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b/>
          <w:snapToGrid w:val="0"/>
          <w:sz w:val="17"/>
          <w:szCs w:val="20"/>
        </w:rPr>
      </w:pPr>
    </w:p>
    <w:tbl>
      <w:tblPr>
        <w:tblpPr w:leftFromText="141" w:rightFromText="141" w:vertAnchor="text" w:tblpX="968" w:tblpY="1"/>
        <w:tblOverlap w:val="never"/>
        <w:tblW w:w="817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3"/>
        <w:gridCol w:w="2268"/>
        <w:gridCol w:w="2693"/>
      </w:tblGrid>
      <w:tr w:rsidR="00D36D54" w:rsidRPr="00D36D54" w:rsidTr="00D256E1">
        <w:trPr>
          <w:trHeight w:val="257"/>
        </w:trPr>
        <w:tc>
          <w:tcPr>
            <w:tcW w:w="32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Ročná sadzba odpisov</w:t>
            </w:r>
          </w:p>
        </w:tc>
      </w:tr>
      <w:tr w:rsidR="00D36D54" w:rsidRPr="00D36D54" w:rsidTr="00D256E1">
        <w:trPr>
          <w:trHeight w:val="257"/>
        </w:trPr>
        <w:tc>
          <w:tcPr>
            <w:tcW w:w="32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</w:tr>
      <w:tr w:rsidR="00D36D54" w:rsidRPr="00524152" w:rsidTr="00D256E1">
        <w:trPr>
          <w:trHeight w:val="246"/>
        </w:trPr>
        <w:tc>
          <w:tcPr>
            <w:tcW w:w="321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20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5,0 %</w:t>
            </w:r>
          </w:p>
        </w:tc>
      </w:tr>
      <w:tr w:rsidR="00D36D54" w:rsidRPr="00524152" w:rsidTr="00D256E1">
        <w:trPr>
          <w:trHeight w:val="261"/>
        </w:trPr>
        <w:tc>
          <w:tcPr>
            <w:tcW w:w="321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16,7 %</w:t>
            </w:r>
          </w:p>
        </w:tc>
      </w:tr>
      <w:tr w:rsidR="00D36D54" w:rsidRPr="00524152" w:rsidTr="00D256E1">
        <w:trPr>
          <w:trHeight w:val="279"/>
        </w:trPr>
        <w:tc>
          <w:tcPr>
            <w:tcW w:w="321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Dopravné prostriedky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25,0 %</w:t>
            </w:r>
          </w:p>
        </w:tc>
      </w:tr>
      <w:tr w:rsidR="00D36D54" w:rsidRPr="00524152" w:rsidTr="00D256E1">
        <w:trPr>
          <w:trHeight w:val="255"/>
        </w:trPr>
        <w:tc>
          <w:tcPr>
            <w:tcW w:w="321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16,7 %</w:t>
            </w:r>
          </w:p>
        </w:tc>
      </w:tr>
      <w:tr w:rsidR="00D36D54" w:rsidRPr="00524152" w:rsidTr="00D256E1">
        <w:trPr>
          <w:trHeight w:val="259"/>
        </w:trPr>
        <w:tc>
          <w:tcPr>
            <w:tcW w:w="321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25,0 %</w:t>
            </w:r>
          </w:p>
        </w:tc>
      </w:tr>
    </w:tbl>
    <w:p w:rsidR="00D36D54" w:rsidRPr="00524152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524152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ind w:left="900"/>
        <w:jc w:val="both"/>
        <w:rPr>
          <w:rFonts w:ascii="Verdana" w:hAnsi="Verdana"/>
          <w:snapToGrid w:val="0"/>
          <w:sz w:val="17"/>
          <w:szCs w:val="20"/>
        </w:rPr>
      </w:pPr>
      <w:proofErr w:type="spellStart"/>
      <w:r w:rsidRPr="00524152">
        <w:rPr>
          <w:rFonts w:ascii="Verdana" w:hAnsi="Verdana"/>
          <w:snapToGrid w:val="0"/>
          <w:sz w:val="17"/>
          <w:szCs w:val="20"/>
        </w:rPr>
        <w:t>Spoloč</w:t>
      </w:r>
      <w:proofErr w:type="spellEnd"/>
      <w:r w:rsidRPr="00524152">
        <w:rPr>
          <w:rFonts w:ascii="Verdana" w:hAnsi="Verdana"/>
          <w:snapToGrid w:val="0"/>
          <w:sz w:val="17"/>
          <w:szCs w:val="20"/>
        </w:rPr>
        <w:t xml:space="preserve"> S</w:t>
      </w:r>
      <w:r w:rsidRPr="00D36D54">
        <w:rPr>
          <w:rFonts w:ascii="Verdana" w:hAnsi="Verdana"/>
          <w:snapToGrid w:val="0"/>
          <w:sz w:val="17"/>
          <w:szCs w:val="20"/>
        </w:rPr>
        <w:lastRenderedPageBreak/>
        <w:t xml:space="preserve">poločnosť uplatňuje v niektorých prípadoch </w:t>
      </w:r>
      <w:proofErr w:type="spellStart"/>
      <w:r w:rsidRPr="00D36D54">
        <w:rPr>
          <w:rFonts w:ascii="Verdana" w:hAnsi="Verdana"/>
          <w:snapToGrid w:val="0"/>
          <w:sz w:val="17"/>
          <w:szCs w:val="20"/>
        </w:rPr>
        <w:t>komponentný</w:t>
      </w:r>
      <w:proofErr w:type="spellEnd"/>
      <w:r w:rsidRPr="00D36D54">
        <w:rPr>
          <w:rFonts w:ascii="Verdana" w:hAnsi="Verdana"/>
          <w:snapToGrid w:val="0"/>
          <w:sz w:val="17"/>
          <w:szCs w:val="20"/>
        </w:rPr>
        <w:t xml:space="preserve"> spôsob odpisovania, t.j. pri tvorbe odpisového plánu sa zohľadnila rôzna doba použiteľnosti a rôzny priebeh opotrebenia jednotlivých oddeliteľných súčastí dlhodobého majetku. </w:t>
      </w:r>
    </w:p>
    <w:p w:rsidR="00D36D54" w:rsidRPr="00D36D54" w:rsidRDefault="00D36D54" w:rsidP="00D36D54">
      <w:pPr>
        <w:ind w:left="900"/>
        <w:jc w:val="both"/>
        <w:rPr>
          <w:rFonts w:ascii="Verdana" w:hAnsi="Verdana"/>
          <w:snapToGrid w:val="0"/>
          <w:color w:val="FF0000"/>
          <w:sz w:val="17"/>
          <w:szCs w:val="20"/>
        </w:rPr>
      </w:pPr>
    </w:p>
    <w:p w:rsidR="00D36D54" w:rsidRPr="00D36D54" w:rsidRDefault="00D36D54" w:rsidP="00D36D54">
      <w:pPr>
        <w:ind w:left="900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napToGrid w:val="0"/>
          <w:sz w:val="17"/>
          <w:szCs w:val="20"/>
          <w:lang w:eastAsia="en-US"/>
        </w:rPr>
        <w:t>Daňové odpisy sa uplatňujú podľa sadzieb uvedených v zákone o daniach z príjmov platných pre zrýchlené</w:t>
      </w:r>
      <w:r w:rsidRPr="00D36D54">
        <w:rPr>
          <w:rFonts w:ascii="Verdana" w:hAnsi="Verdana"/>
          <w:sz w:val="17"/>
          <w:szCs w:val="20"/>
          <w:lang w:eastAsia="en-US"/>
        </w:rPr>
        <w:t xml:space="preserve"> odpisovanie.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Podiely na základnom imaní v obchodných spoločnostiach sa ponechávajú v pôvodnom ocenení. Metóda vlastného imania sa použila iba pre potrebu výpočtu opravnej položky.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ind w:left="540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Pri cenných papieroch držaných do splatnosti sa ich ocenenie odo dňa vyrovnania nákupu do dňa splatnosti postupne zvyšuje o úrokové výnosy (amortizované náklady).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Cenné papiere určené na obchodovanie a realizovateľné cenné papiere sa oceňujú trhovou cenou.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Deriváty sa oceňujú trhovou cenou.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Majetok a záväzky zabezpečené derivátmi sa oceňujú trhovou cenou.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Emisné kvóty, s ktorými sa obchoduje na verejnom trhu a ktoré spoločnosť nadobudla za účelom ich ďalšieho predaja na verejnom trhu sa účtujú v ocenení reálnou hodnotou. Zmena reálnej hodnoty emisných kvót sa účtuje do výkazu ziskov a strát.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Prepočet údajov v cudzích menách na slovenskú menu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neprepočítavajú. Pri kúpe a predaji cudzej meny za menu euro a pri  prevode peňažných prostriedkov z účtu zriadeného v cudzej mene na účet zriadený v eurách a z účtu zriadeného v eurách na účet zriadený v cudzej mene sa použil kurz, za ktorý boli tieto hodnoty nakúpené alebo predané. Ak sa predaj alebo kúpa cudzej meny uskutoční za iný kurz ako ponúka komerčná banka v kurzovom lístku, použije sa kurz, ktorý komerčná banka v deň 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vysporiadania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 obchodu ponúka v kurzovom lístku. Ak sa kúpa alebo predaj neuskutočňuje s komerčnou bankou, použije sa referenčný výmenný určený a vyhlásený ECB alebo NBS v deň predchádzajúci dňu 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vysporiadania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 obchodu.</w:t>
      </w:r>
    </w:p>
    <w:p w:rsidR="00D36D54" w:rsidRPr="00D36D54" w:rsidRDefault="00D36D54" w:rsidP="00D36D54">
      <w:pPr>
        <w:ind w:left="567"/>
        <w:jc w:val="both"/>
        <w:rPr>
          <w:rFonts w:ascii="Verdana" w:hAnsi="Verdana"/>
          <w:b/>
          <w:snapToGrid w:val="0"/>
          <w:sz w:val="17"/>
          <w:szCs w:val="20"/>
        </w:rPr>
      </w:pPr>
    </w:p>
    <w:p w:rsidR="00D36D54" w:rsidRPr="00D36D54" w:rsidRDefault="00D36D54" w:rsidP="00D36D54">
      <w:pPr>
        <w:ind w:left="567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Zmeny účtovných zásad a účtovných metód 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2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Zmeny postupov účtovania rezerv a opravných položiek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2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Zmeny metódy oceňovania nedokončenej výroby, polotovarov a výrobkov z dôvodov presnejšieho ocenenia.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2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Zmeny postupov účtovania o výskume a vývoji.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2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Zmeny postupov účtovania o zákazkovej výrobe.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br w:type="page"/>
      </w: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ÚDAJE VYKÁZANÉ NA STRANE AKTÍV SÚVAHY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Dlhodobý nehmotný a hmotný majetok (r. 003 a 011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 xml:space="preserve">Pohyby na účtoch dlhodobého nehmotného majetku, oprávok, opravných položiek a zostatkovej hodnoty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10" w:name="_MON_1388991299"/>
    <w:bookmarkStart w:id="11" w:name="_MON_1388991470"/>
    <w:bookmarkStart w:id="12" w:name="_MON_1388991626"/>
    <w:bookmarkStart w:id="13" w:name="_MON_1388991714"/>
    <w:bookmarkStart w:id="14" w:name="_MON_1388992433"/>
    <w:bookmarkStart w:id="15" w:name="_MON_1389009009"/>
    <w:bookmarkStart w:id="16" w:name="_MON_1389009428"/>
    <w:bookmarkStart w:id="17" w:name="_MON_1389009812"/>
    <w:bookmarkStart w:id="18" w:name="_MON_1389009834"/>
    <w:bookmarkStart w:id="19" w:name="_MON_1389010165"/>
    <w:bookmarkStart w:id="20" w:name="_MON_1389010389"/>
    <w:bookmarkStart w:id="21" w:name="_MON_1389077451"/>
    <w:bookmarkStart w:id="22" w:name="_MON_1389767891"/>
    <w:bookmarkStart w:id="23" w:name="_MON_1388990504"/>
    <w:bookmarkStart w:id="24" w:name="_MON_1388990529"/>
    <w:bookmarkStart w:id="25" w:name="_MON_1388990594"/>
    <w:bookmarkStart w:id="26" w:name="_MON_1388990908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Start w:id="27" w:name="_MON_1388991089"/>
    <w:bookmarkEnd w:id="27"/>
    <w:p w:rsidR="00D36D54" w:rsidRPr="00D36D54" w:rsidRDefault="00524152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10360" w:dyaOrig="7305">
          <v:shape id="_x0000_i1026" type="#_x0000_t75" style="width:454.55pt;height:365pt" o:ole="" o:bordertopcolor="this" o:borderleftcolor="this">
            <v:imagedata r:id="rId11" o:title=""/>
            <w10:bordertop type="single" width="4"/>
            <w10:borderleft type="single" width="4"/>
          </v:shape>
          <o:OLEObject Type="Embed" ProgID="Excel.Sheet.8" ShapeID="_x0000_i1026" DrawAspect="Content" ObjectID="_1456418730" r:id="rId12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28" w:name="_MON_1389077618"/>
    <w:bookmarkStart w:id="29" w:name="_MON_1389767843"/>
    <w:bookmarkStart w:id="30" w:name="_MON_1389767938"/>
    <w:bookmarkEnd w:id="28"/>
    <w:bookmarkEnd w:id="29"/>
    <w:bookmarkEnd w:id="30"/>
    <w:bookmarkStart w:id="31" w:name="_MON_1389010810"/>
    <w:bookmarkEnd w:id="31"/>
    <w:p w:rsidR="00D36D54" w:rsidRPr="00D36D54" w:rsidRDefault="00524152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10360" w:dyaOrig="7305">
          <v:shape id="_x0000_i1027" type="#_x0000_t75" style="width:454.55pt;height:365pt" o:ole="" o:bordertopcolor="this" o:borderleftcolor="this">
            <v:imagedata r:id="rId13" o:title=""/>
            <w10:bordertop type="single" width="4"/>
            <w10:borderleft type="single" width="4"/>
          </v:shape>
          <o:OLEObject Type="Embed" ProgID="Excel.Sheet.8" ShapeID="_x0000_i1027" DrawAspect="Content" ObjectID="_1456418731" r:id="rId14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  <w:sectPr w:rsidR="00D36D54" w:rsidRPr="00D36D54" w:rsidSect="00D36D54">
          <w:headerReference w:type="default" r:id="rId15"/>
          <w:footerReference w:type="default" r:id="rId16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lastRenderedPageBreak/>
        <w:t>Pohyby na účtoch dlhodobého hmotného majetku, oprávok, opravných položiek a zostatkovej hodnoty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32" w:name="_MON_1389011222"/>
    <w:bookmarkStart w:id="33" w:name="_MON_1389011443"/>
    <w:bookmarkStart w:id="34" w:name="_MON_1389077686"/>
    <w:bookmarkStart w:id="35" w:name="_MON_1389767637"/>
    <w:bookmarkStart w:id="36" w:name="_MON_1389767944"/>
    <w:bookmarkStart w:id="37" w:name="_MON_1388992557"/>
    <w:bookmarkStart w:id="38" w:name="_MON_1388992577"/>
    <w:bookmarkStart w:id="39" w:name="_MON_1388992763"/>
    <w:bookmarkStart w:id="40" w:name="_MON_1388993494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Start w:id="41" w:name="_MON_1388993518"/>
    <w:bookmarkEnd w:id="41"/>
    <w:p w:rsidR="00D36D54" w:rsidRPr="00D36D54" w:rsidRDefault="00524152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object w:dxaOrig="14217" w:dyaOrig="7421">
          <v:shape id="_x0000_i1028" type="#_x0000_t75" style="width:710.6pt;height:371.25pt" o:ole="" o:bordertopcolor="this" o:borderleftcolor="this">
            <v:imagedata r:id="rId17" o:title=""/>
            <w10:bordertop type="single" width="4"/>
            <w10:borderleft type="single" width="4"/>
          </v:shape>
          <o:OLEObject Type="Embed" ProgID="Excel.Sheet.8" ShapeID="_x0000_i1028" DrawAspect="Content" ObjectID="_1456418732" r:id="rId18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42" w:name="_MON_1389767952"/>
    <w:bookmarkEnd w:id="42"/>
    <w:bookmarkStart w:id="43" w:name="_MON_1389011493"/>
    <w:bookmarkEnd w:id="43"/>
    <w:p w:rsidR="00D36D54" w:rsidRPr="00D36D54" w:rsidRDefault="00524152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object w:dxaOrig="14217" w:dyaOrig="7421">
          <v:shape id="_x0000_i1029" type="#_x0000_t75" style="width:700.6pt;height:365.65pt" o:ole="" o:bordertopcolor="this" o:borderleftcolor="this">
            <v:imagedata r:id="rId19" o:title=""/>
            <w10:bordertop type="single" width="4"/>
            <w10:borderleft type="single" width="4"/>
          </v:shape>
          <o:OLEObject Type="Embed" ProgID="Excel.Sheet.8" ShapeID="_x0000_i1029" DrawAspect="Content" ObjectID="_1456418733" r:id="rId20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  <w:sectPr w:rsidR="00D36D54" w:rsidRPr="00D36D54" w:rsidSect="00D36D54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Spôsob a výška poistenia dlhodobého nehmotného a hmotného majetku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tbl>
      <w:tblPr>
        <w:tblW w:w="921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407"/>
      </w:tblGrid>
      <w:tr w:rsidR="00D36D54" w:rsidRPr="00D36D54" w:rsidTr="00D36D54">
        <w:trPr>
          <w:cantSplit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Výška poistenia (zostatková hodnota poisteného majetku)</w:t>
            </w:r>
          </w:p>
        </w:tc>
        <w:tc>
          <w:tcPr>
            <w:tcW w:w="240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Názov a sídlo poisťovne</w:t>
            </w:r>
          </w:p>
        </w:tc>
      </w:tr>
      <w:tr w:rsidR="00D36D54" w:rsidRPr="00D36D54" w:rsidTr="00D36D54">
        <w:trPr>
          <w:cantSplit/>
          <w:trHeight w:val="283"/>
        </w:trPr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</w:p>
        </w:tc>
        <w:tc>
          <w:tcPr>
            <w:tcW w:w="28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201</w:t>
            </w:r>
            <w:r w:rsidR="00D256E1">
              <w:rPr>
                <w:rFonts w:ascii="Verdana" w:hAnsi="Verdana"/>
                <w:b/>
                <w:sz w:val="15"/>
                <w:szCs w:val="15"/>
                <w:lang w:eastAsia="en-US"/>
              </w:rPr>
              <w:t>3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201</w:t>
            </w:r>
            <w:r w:rsidR="00D256E1">
              <w:rPr>
                <w:rFonts w:ascii="Verdana" w:hAnsi="Verdana"/>
                <w:b/>
                <w:sz w:val="15"/>
                <w:szCs w:val="15"/>
                <w:lang w:eastAsia="en-US"/>
              </w:rPr>
              <w:t>2</w:t>
            </w:r>
          </w:p>
        </w:tc>
        <w:tc>
          <w:tcPr>
            <w:tcW w:w="240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cantSplit/>
          <w:trHeight w:val="245"/>
        </w:trPr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10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d</w:t>
            </w:r>
          </w:p>
        </w:tc>
        <w:tc>
          <w:tcPr>
            <w:tcW w:w="2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e</w:t>
            </w:r>
          </w:p>
        </w:tc>
      </w:tr>
      <w:tr w:rsidR="00D36D54" w:rsidRPr="00D36D54" w:rsidTr="00D36D54">
        <w:trPr>
          <w:cantSplit/>
          <w:trHeight w:val="307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ind w:left="142" w:hanging="142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Osobné automobily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ind w:left="142" w:hanging="142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12" w:space="0" w:color="auto"/>
            </w:tcBorders>
            <w:vAlign w:val="center"/>
          </w:tcPr>
          <w:p w:rsidR="00D36D54" w:rsidRPr="00990770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105 000</w:t>
            </w:r>
          </w:p>
        </w:tc>
        <w:tc>
          <w:tcPr>
            <w:tcW w:w="1079" w:type="dxa"/>
            <w:tcBorders>
              <w:top w:val="single" w:sz="12" w:space="0" w:color="auto"/>
            </w:tcBorders>
            <w:vAlign w:val="center"/>
          </w:tcPr>
          <w:p w:rsidR="00D36D54" w:rsidRPr="00990770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110 000</w:t>
            </w:r>
          </w:p>
        </w:tc>
        <w:tc>
          <w:tcPr>
            <w:tcW w:w="24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proofErr w:type="spellStart"/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Kooperativa</w:t>
            </w:r>
            <w:proofErr w:type="spellEnd"/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, Bratislava</w:t>
            </w:r>
          </w:p>
        </w:tc>
      </w:tr>
      <w:tr w:rsidR="00D36D54" w:rsidRPr="00D36D54" w:rsidTr="00D36D54">
        <w:trPr>
          <w:cantSplit/>
          <w:trHeight w:val="255"/>
        </w:trPr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ind w:left="142" w:hanging="142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Technológia a budovy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990770" w:rsidRDefault="00D36D54" w:rsidP="00D36D54">
            <w:pPr>
              <w:ind w:left="142" w:hanging="142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poistenie proti živelným pohromám</w:t>
            </w:r>
          </w:p>
        </w:tc>
        <w:tc>
          <w:tcPr>
            <w:tcW w:w="1047" w:type="dxa"/>
            <w:tcBorders>
              <w:bottom w:val="single" w:sz="12" w:space="0" w:color="auto"/>
            </w:tcBorders>
            <w:vAlign w:val="center"/>
          </w:tcPr>
          <w:p w:rsidR="00D36D54" w:rsidRPr="00990770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2 234 000</w:t>
            </w:r>
          </w:p>
        </w:tc>
        <w:tc>
          <w:tcPr>
            <w:tcW w:w="1079" w:type="dxa"/>
            <w:tcBorders>
              <w:bottom w:val="single" w:sz="12" w:space="0" w:color="auto"/>
            </w:tcBorders>
            <w:vAlign w:val="center"/>
          </w:tcPr>
          <w:p w:rsidR="00D36D54" w:rsidRPr="00990770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2 250 000</w:t>
            </w:r>
          </w:p>
        </w:tc>
        <w:tc>
          <w:tcPr>
            <w:tcW w:w="24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proofErr w:type="spellStart"/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Kooperativa</w:t>
            </w:r>
            <w:proofErr w:type="spellEnd"/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, Bratislava</w:t>
            </w: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Záložné právo a obmedzenie disponovania s dlhodobým nehmotným a hmotným majetkom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Default="008E6C3E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>
        <w:rPr>
          <w:rFonts w:ascii="Verdana" w:hAnsi="Verdana"/>
          <w:sz w:val="17"/>
          <w:szCs w:val="20"/>
          <w:lang w:eastAsia="en-US"/>
        </w:rPr>
        <w:t>Na základe zmluvy o úvere zo dňa 1.8.2009 Spoločnosť založila podnik v prospech veriteľa – materskej spoločnosti.</w:t>
      </w:r>
    </w:p>
    <w:p w:rsidR="008E6C3E" w:rsidRDefault="008E6C3E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8E6C3E" w:rsidRDefault="00B14F57" w:rsidP="00B14F57">
      <w:pPr>
        <w:tabs>
          <w:tab w:val="left" w:pos="3667"/>
        </w:tabs>
        <w:jc w:val="both"/>
        <w:rPr>
          <w:rFonts w:ascii="Verdana" w:hAnsi="Verdana"/>
          <w:sz w:val="17"/>
          <w:szCs w:val="20"/>
          <w:lang w:eastAsia="en-US"/>
        </w:rPr>
      </w:pPr>
      <w:r>
        <w:rPr>
          <w:rFonts w:ascii="Verdana" w:hAnsi="Verdana"/>
          <w:sz w:val="17"/>
          <w:szCs w:val="20"/>
          <w:lang w:eastAsia="en-US"/>
        </w:rPr>
        <w:tab/>
      </w: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Zásoby (r. 031 súvahy)</w:t>
      </w:r>
      <w:bookmarkStart w:id="44" w:name="_GoBack"/>
      <w:bookmarkEnd w:id="44"/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8E6C3E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  <w:r w:rsidRPr="008E6C3E">
        <w:rPr>
          <w:rFonts w:ascii="Verdana" w:hAnsi="Verdana"/>
          <w:snapToGrid w:val="0"/>
          <w:sz w:val="17"/>
          <w:szCs w:val="20"/>
        </w:rPr>
        <w:t>S</w:t>
      </w:r>
      <w:r>
        <w:rPr>
          <w:rFonts w:ascii="Verdana" w:hAnsi="Verdana"/>
          <w:snapToGrid w:val="0"/>
          <w:sz w:val="17"/>
          <w:szCs w:val="20"/>
        </w:rPr>
        <w:t>poločnosť má na zásobách tovar v hodnote 345 700 Eur.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Pohľadávky (r. 038 a 046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Členenie pohľadávok celkom, vrátane skupiny: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45" w:name="_MON_1389000388"/>
    <w:bookmarkStart w:id="46" w:name="_MON_1389000608"/>
    <w:bookmarkStart w:id="47" w:name="_MON_1389768268"/>
    <w:bookmarkEnd w:id="45"/>
    <w:bookmarkEnd w:id="46"/>
    <w:bookmarkEnd w:id="47"/>
    <w:bookmarkStart w:id="48" w:name="_MON_1389000367"/>
    <w:bookmarkEnd w:id="48"/>
    <w:p w:rsidR="00D36D54" w:rsidRPr="00D36D54" w:rsidRDefault="008E6C3E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316" w:dyaOrig="7277">
          <v:shape id="_x0000_i1030" type="#_x0000_t75" style="width:455.15pt;height:363.75pt" o:ole="" o:bordertopcolor="this" o:borderleftcolor="this">
            <v:imagedata r:id="rId21" o:title=""/>
            <w10:bordertop type="single" width="4"/>
            <w10:borderleft type="single" width="4"/>
          </v:shape>
          <o:OLEObject Type="Embed" ProgID="Excel.Sheet.8" ShapeID="_x0000_i1030" DrawAspect="Content" ObjectID="_1456418734" r:id="rId22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Bežná lehota splatnosti pohľadávok je </w:t>
      </w:r>
      <w:r w:rsidR="008E6C3E">
        <w:rPr>
          <w:rFonts w:ascii="Verdana" w:hAnsi="Verdana"/>
          <w:snapToGrid w:val="0"/>
          <w:sz w:val="17"/>
          <w:szCs w:val="20"/>
        </w:rPr>
        <w:t>60</w:t>
      </w:r>
      <w:r w:rsidRPr="00D36D54">
        <w:rPr>
          <w:rFonts w:ascii="Verdana" w:hAnsi="Verdana"/>
          <w:snapToGrid w:val="0"/>
          <w:sz w:val="17"/>
          <w:szCs w:val="20"/>
        </w:rPr>
        <w:t xml:space="preserve"> dní.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bookmarkStart w:id="49" w:name="_MON_1389768287"/>
    <w:bookmarkStart w:id="50" w:name="_MON_1389000897"/>
    <w:bookmarkStart w:id="51" w:name="_MON_1389001018"/>
    <w:bookmarkStart w:id="52" w:name="_MON_1389001043"/>
    <w:bookmarkStart w:id="53" w:name="_MON_1389001129"/>
    <w:bookmarkEnd w:id="49"/>
    <w:bookmarkEnd w:id="50"/>
    <w:bookmarkEnd w:id="51"/>
    <w:bookmarkEnd w:id="52"/>
    <w:bookmarkEnd w:id="53"/>
    <w:bookmarkStart w:id="54" w:name="_MON_1389001153"/>
    <w:bookmarkEnd w:id="54"/>
    <w:p w:rsidR="00D36D54" w:rsidRPr="00D36D54" w:rsidRDefault="008E6C3E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364" w:dyaOrig="3088">
          <v:shape id="_x0000_i1031" type="#_x0000_t75" style="width:455.15pt;height:154.65pt" o:ole="" o:bordertopcolor="this" o:borderleftcolor="this">
            <v:imagedata r:id="rId23" o:title=""/>
            <w10:bordertop type="single" width="4"/>
            <w10:borderleft type="single" width="4"/>
          </v:shape>
          <o:OLEObject Type="Embed" ProgID="Excel.Sheet.8" ShapeID="_x0000_i1031" DrawAspect="Content" ObjectID="_1456418735" r:id="rId24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Finančné účty (r. 055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Spoločnosť má finančný majetok v štruktúre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55" w:name="_MON_1389002251"/>
    <w:bookmarkStart w:id="56" w:name="_MON_1389002272"/>
    <w:bookmarkStart w:id="57" w:name="_MON_1389768316"/>
    <w:bookmarkEnd w:id="55"/>
    <w:bookmarkEnd w:id="56"/>
    <w:bookmarkEnd w:id="57"/>
    <w:bookmarkStart w:id="58" w:name="_MON_1389002136"/>
    <w:bookmarkEnd w:id="58"/>
    <w:p w:rsidR="00D36D54" w:rsidRPr="00D36D54" w:rsidRDefault="00472E0C" w:rsidP="0016690A">
      <w:pPr>
        <w:jc w:val="both"/>
        <w:rPr>
          <w:rFonts w:ascii="Verdana" w:hAnsi="Verdana"/>
          <w:snapToGrid w:val="0"/>
          <w:sz w:val="18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203" w:dyaOrig="2129">
          <v:shape id="_x0000_i1032" type="#_x0000_t75" style="width:455.15pt;height:106.45pt" o:ole="" o:bordertopcolor="this" o:borderleftcolor="this">
            <v:imagedata r:id="rId25" o:title=""/>
            <w10:bordertop type="single" width="4"/>
            <w10:borderleft type="single" width="4"/>
          </v:shape>
          <o:OLEObject Type="Embed" ProgID="Excel.Sheet.8" ShapeID="_x0000_i1032" DrawAspect="Content" ObjectID="_1456418736" r:id="rId26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Časové rozlíšenie (r. 061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tbl>
      <w:tblPr>
        <w:tblW w:w="492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9"/>
        <w:gridCol w:w="2533"/>
        <w:gridCol w:w="2398"/>
      </w:tblGrid>
      <w:tr w:rsidR="00D36D54" w:rsidRPr="00D36D54" w:rsidTr="00D36D54">
        <w:trPr>
          <w:trHeight w:val="659"/>
          <w:jc w:val="center"/>
        </w:trPr>
        <w:tc>
          <w:tcPr>
            <w:tcW w:w="41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Opis položky časového rozlíšenia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23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D36D54">
        <w:trPr>
          <w:trHeight w:val="243"/>
          <w:jc w:val="center"/>
        </w:trPr>
        <w:tc>
          <w:tcPr>
            <w:tcW w:w="41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Cs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2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Cs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239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Cs/>
                <w:sz w:val="15"/>
                <w:szCs w:val="15"/>
                <w:lang w:eastAsia="en-US"/>
              </w:rPr>
              <w:t>c</w:t>
            </w: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 xml:space="preserve">Náklady budúcich období dlhodobé,  z toho: 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>Náklady budúcich období krátkodobé,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16690A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sz w:val="15"/>
                <w:szCs w:val="15"/>
                <w:lang w:eastAsia="en-US"/>
              </w:rPr>
              <w:t>103</w:t>
            </w: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16690A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sz w:val="15"/>
                <w:szCs w:val="15"/>
                <w:lang w:eastAsia="en-US"/>
              </w:rPr>
              <w:t>863</w:t>
            </w: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>Príjmy budúcich období dlhodobé,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>Príjmy budúcich období krátkodobé,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</w:tbl>
    <w:p w:rsidR="00D36D54" w:rsidRDefault="00D36D54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p w:rsidR="00FE22AE" w:rsidRPr="00D36D54" w:rsidRDefault="00FE22AE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ÚDAJE VYKÁZANÉ NA STRANE PASÍV SÚVAHY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Vlastné imanie (r. 067 súvahy)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Informácie o vlastnom imaní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Základné imanie bolo celé upísané a splatené.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0C3C1A">
        <w:rPr>
          <w:rFonts w:ascii="Verdana" w:hAnsi="Verdana" w:cs="Arial"/>
          <w:bCs/>
          <w:sz w:val="17"/>
          <w:szCs w:val="26"/>
          <w:u w:val="single"/>
          <w:lang w:eastAsia="en-US"/>
        </w:rPr>
        <w:t>Rozdelenie účtovného zisku alebo vyrovnanie straty za rok 201</w:t>
      </w:r>
      <w:r w:rsidR="0016690A" w:rsidRPr="000C3C1A">
        <w:rPr>
          <w:rFonts w:ascii="Verdana" w:hAnsi="Verdana" w:cs="Arial"/>
          <w:bCs/>
          <w:sz w:val="17"/>
          <w:szCs w:val="26"/>
          <w:u w:val="single"/>
          <w:lang w:eastAsia="en-US"/>
        </w:rPr>
        <w:t>2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59" w:name="_MON_1389768393"/>
    <w:bookmarkStart w:id="60" w:name="_MON_1389004638"/>
    <w:bookmarkEnd w:id="59"/>
    <w:bookmarkEnd w:id="60"/>
    <w:bookmarkStart w:id="61" w:name="_MON_1389004781"/>
    <w:bookmarkEnd w:id="61"/>
    <w:p w:rsidR="00D36D54" w:rsidRPr="00D36D54" w:rsidRDefault="000C3C1A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333" w:dyaOrig="3553">
          <v:shape id="_x0000_i1033" type="#_x0000_t75" style="width:454.55pt;height:177.8pt" o:ole="" o:bordertopcolor="this" o:borderleftcolor="this">
            <v:imagedata r:id="rId27" o:title=""/>
            <w10:bordertop type="single" width="4"/>
            <w10:borderleft type="single" width="4"/>
          </v:shape>
          <o:OLEObject Type="Embed" ProgID="Excel.Sheet.8" ShapeID="_x0000_i1033" DrawAspect="Content" ObjectID="_1456418737" r:id="rId28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62" w:name="_MON_1389004849"/>
    <w:bookmarkStart w:id="63" w:name="_MON_1389005038"/>
    <w:bookmarkStart w:id="64" w:name="_MON_1389768405"/>
    <w:bookmarkEnd w:id="62"/>
    <w:bookmarkEnd w:id="63"/>
    <w:bookmarkEnd w:id="64"/>
    <w:bookmarkStart w:id="65" w:name="_MON_1389004838"/>
    <w:bookmarkEnd w:id="65"/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803" w:dyaOrig="3041">
          <v:shape id="_x0000_i1034" type="#_x0000_t75" style="width:453.9pt;height:152.15pt" o:ole="" o:bordertopcolor="this" o:borderleftcolor="this">
            <v:imagedata r:id="rId29" o:title=""/>
            <w10:bordertop type="single" width="4"/>
            <w10:borderleft type="single" width="4"/>
          </v:shape>
          <o:OLEObject Type="Embed" ProgID="Excel.Sheet.8" ShapeID="_x0000_i1034" DrawAspect="Content" ObjectID="_1456418738" r:id="rId30"/>
        </w:object>
      </w:r>
    </w:p>
    <w:p w:rsidR="0016690A" w:rsidRDefault="0016690A">
      <w:pPr>
        <w:rPr>
          <w:rFonts w:ascii="Verdana" w:hAnsi="Verdana" w:cs="Arial"/>
          <w:b/>
          <w:bCs/>
          <w:iCs/>
          <w:sz w:val="17"/>
          <w:szCs w:val="28"/>
          <w:lang w:eastAsia="en-US"/>
        </w:rPr>
        <w:sectPr w:rsidR="0016690A" w:rsidSect="00D30075">
          <w:footerReference w:type="default" r:id="rId31"/>
          <w:headerReference w:type="first" r:id="rId32"/>
          <w:pgSz w:w="11907" w:h="16840" w:code="9"/>
          <w:pgMar w:top="1418" w:right="1418" w:bottom="1418" w:left="1418" w:header="567" w:footer="567" w:gutter="0"/>
          <w:cols w:space="708"/>
          <w:docGrid w:linePitch="326"/>
        </w:sect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lastRenderedPageBreak/>
        <w:t>Rezervy (r. 089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66" w:name="_MON_1389768421"/>
    <w:bookmarkEnd w:id="66"/>
    <w:bookmarkStart w:id="67" w:name="_MON_1389005097"/>
    <w:bookmarkEnd w:id="67"/>
    <w:p w:rsidR="0005664C" w:rsidRDefault="0005664C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319" w:dyaOrig="4518">
          <v:shape id="_x0000_i1035" type="#_x0000_t75" style="width:455.15pt;height:226pt" o:ole="" o:bordertopcolor="this" o:borderleftcolor="this">
            <v:imagedata r:id="rId33" o:title=""/>
            <w10:bordertop type="single" width="4"/>
            <w10:borderleft type="single" width="4"/>
          </v:shape>
          <o:OLEObject Type="Embed" ProgID="Excel.Sheet.8" ShapeID="_x0000_i1035" DrawAspect="Content" ObjectID="_1456418739" r:id="rId34"/>
        </w:object>
      </w:r>
    </w:p>
    <w:p w:rsidR="0005664C" w:rsidRDefault="0005664C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68" w:name="_MON_1389768438"/>
    <w:bookmarkStart w:id="69" w:name="_MON_1389768493"/>
    <w:bookmarkStart w:id="70" w:name="_MON_1389768499"/>
    <w:bookmarkEnd w:id="68"/>
    <w:bookmarkEnd w:id="69"/>
    <w:bookmarkEnd w:id="70"/>
    <w:bookmarkStart w:id="71" w:name="_MON_1389016115"/>
    <w:bookmarkEnd w:id="71"/>
    <w:p w:rsidR="00D36D54" w:rsidRPr="00D36D54" w:rsidRDefault="0005664C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319" w:dyaOrig="4518">
          <v:shape id="_x0000_i1036" type="#_x0000_t75" style="width:455.15pt;height:226pt" o:ole="" o:bordertopcolor="this" o:borderleftcolor="this">
            <v:imagedata r:id="rId35" o:title=""/>
            <w10:bordertop type="single" width="4"/>
            <w10:borderleft type="single" width="4"/>
          </v:shape>
          <o:OLEObject Type="Embed" ProgID="Excel.Sheet.8" ShapeID="_x0000_i1036" DrawAspect="Content" ObjectID="_1456418740" r:id="rId36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br w:type="page"/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lastRenderedPageBreak/>
        <w:t>Záväzky (r. 094 a 106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Členenie záväzkov celkom, vrátane skupiny: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bookmarkStart w:id="72" w:name="_MON_1389174470"/>
    <w:bookmarkStart w:id="73" w:name="_MON_1389768457"/>
    <w:bookmarkStart w:id="74" w:name="_MON_1389768487"/>
    <w:bookmarkStart w:id="75" w:name="_MON_1389005635"/>
    <w:bookmarkStart w:id="76" w:name="_MON_1389005908"/>
    <w:bookmarkStart w:id="77" w:name="_MON_1389006057"/>
    <w:bookmarkStart w:id="78" w:name="_MON_1389006123"/>
    <w:bookmarkEnd w:id="72"/>
    <w:bookmarkEnd w:id="73"/>
    <w:bookmarkEnd w:id="74"/>
    <w:bookmarkEnd w:id="75"/>
    <w:bookmarkEnd w:id="76"/>
    <w:bookmarkEnd w:id="77"/>
    <w:bookmarkEnd w:id="78"/>
    <w:bookmarkStart w:id="79" w:name="_MON_1389016163"/>
    <w:bookmarkEnd w:id="79"/>
    <w:p w:rsidR="00D36D54" w:rsidRPr="00D36D54" w:rsidRDefault="0017369E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302" w:dyaOrig="9282">
          <v:shape id="_x0000_i1037" type="#_x0000_t75" style="width:453.9pt;height:463.95pt" o:ole="" o:bordertopcolor="this" o:borderleftcolor="this">
            <v:imagedata r:id="rId37" o:title=""/>
            <w10:bordertop type="single" width="4"/>
            <w10:borderleft type="single" width="4"/>
          </v:shape>
          <o:OLEObject Type="Embed" ProgID="Excel.Sheet.8" ShapeID="_x0000_i1037" DrawAspect="Content" ObjectID="_1456418741" r:id="rId38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Bežná lehota splatnosti záväzkov je </w:t>
      </w:r>
      <w:r w:rsidR="0017369E">
        <w:rPr>
          <w:rFonts w:ascii="Verdana" w:hAnsi="Verdana"/>
          <w:snapToGrid w:val="0"/>
          <w:sz w:val="17"/>
          <w:szCs w:val="20"/>
        </w:rPr>
        <w:t>14</w:t>
      </w:r>
      <w:r w:rsidRPr="00D36D54">
        <w:rPr>
          <w:rFonts w:ascii="Verdana" w:hAnsi="Verdana"/>
          <w:snapToGrid w:val="0"/>
          <w:sz w:val="17"/>
          <w:szCs w:val="20"/>
        </w:rPr>
        <w:t xml:space="preserve"> dní.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  <w:u w:val="single"/>
        </w:rPr>
        <w:br w:type="page"/>
      </w:r>
      <w:bookmarkStart w:id="80" w:name="_MON_1389768474"/>
      <w:bookmarkStart w:id="81" w:name="_MON_1389006230"/>
      <w:bookmarkStart w:id="82" w:name="_MON_1389006285"/>
      <w:bookmarkStart w:id="83" w:name="_MON_1389006413"/>
      <w:bookmarkStart w:id="84" w:name="_MON_1389016276"/>
      <w:bookmarkEnd w:id="80"/>
      <w:bookmarkEnd w:id="81"/>
      <w:bookmarkEnd w:id="82"/>
      <w:bookmarkEnd w:id="83"/>
      <w:bookmarkEnd w:id="84"/>
      <w:bookmarkStart w:id="85" w:name="_MON_1389016315"/>
      <w:bookmarkEnd w:id="85"/>
      <w:r w:rsidR="0017369E" w:rsidRPr="00D36D54">
        <w:rPr>
          <w:rFonts w:ascii="Verdana" w:hAnsi="Verdana"/>
          <w:snapToGrid w:val="0"/>
          <w:sz w:val="17"/>
          <w:szCs w:val="20"/>
        </w:rPr>
        <w:object w:dxaOrig="9458" w:dyaOrig="2958">
          <v:shape id="_x0000_i1038" type="#_x0000_t75" style="width:453.9pt;height:147.75pt" o:ole="" o:bordertopcolor="this" o:borderleftcolor="this">
            <v:imagedata r:id="rId39" o:title=""/>
            <w10:bordertop type="single" width="4"/>
            <w10:borderleft type="single" width="4"/>
          </v:shape>
          <o:OLEObject Type="Embed" ProgID="Excel.Sheet.8" ShapeID="_x0000_i1038" DrawAspect="Content" ObjectID="_1456418742" r:id="rId40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  <w:lang w:eastAsia="en-US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Záväzky zo sociálneho fondu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86" w:name="_MON_1389016462"/>
    <w:bookmarkStart w:id="87" w:name="_MON_1389016498"/>
    <w:bookmarkStart w:id="88" w:name="_MON_1389768509"/>
    <w:bookmarkStart w:id="89" w:name="_MON_1389006672"/>
    <w:bookmarkStart w:id="90" w:name="_MON_1389006838"/>
    <w:bookmarkStart w:id="91" w:name="_MON_1389006893"/>
    <w:bookmarkStart w:id="92" w:name="_MON_1389006904"/>
    <w:bookmarkEnd w:id="86"/>
    <w:bookmarkEnd w:id="87"/>
    <w:bookmarkEnd w:id="88"/>
    <w:bookmarkEnd w:id="89"/>
    <w:bookmarkEnd w:id="90"/>
    <w:bookmarkEnd w:id="91"/>
    <w:bookmarkEnd w:id="92"/>
    <w:bookmarkStart w:id="93" w:name="_MON_1389016405"/>
    <w:bookmarkEnd w:id="93"/>
    <w:p w:rsidR="00D36D54" w:rsidRPr="00D36D54" w:rsidRDefault="0017369E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object w:dxaOrig="9836" w:dyaOrig="3146">
          <v:shape id="_x0000_i1039" type="#_x0000_t75" style="width:453.9pt;height:157.15pt" o:ole="" o:bordertopcolor="this" o:borderleftcolor="this">
            <v:imagedata r:id="rId41" o:title=""/>
            <w10:bordertop type="single" width="4"/>
            <w10:borderleft type="single" width="4"/>
          </v:shape>
          <o:OLEObject Type="Embed" ProgID="Excel.Sheet.8" ShapeID="_x0000_i1039" DrawAspect="Content" ObjectID="_1456418743" r:id="rId42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Pôžičky a krátkodobé finančné výpomoci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tbl>
      <w:tblPr>
        <w:tblW w:w="4851" w:type="pct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21"/>
        <w:gridCol w:w="789"/>
        <w:gridCol w:w="914"/>
        <w:gridCol w:w="1083"/>
        <w:gridCol w:w="1687"/>
        <w:gridCol w:w="1816"/>
      </w:tblGrid>
      <w:tr w:rsidR="00D36D54" w:rsidRPr="00D36D54" w:rsidTr="00D36D54">
        <w:trPr>
          <w:trHeight w:val="990"/>
        </w:trPr>
        <w:tc>
          <w:tcPr>
            <w:tcW w:w="2721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 xml:space="preserve">Úrok </w:t>
            </w: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br/>
              <w:t xml:space="preserve">p. a. </w:t>
            </w:r>
          </w:p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Suma istiny v príslušnej mene za bežné účtovné obdobie</w:t>
            </w:r>
          </w:p>
        </w:tc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Suma istiny v príslušnej mene za bezprostredne predchádzajúce účtovné obdobie</w:t>
            </w:r>
          </w:p>
        </w:tc>
      </w:tr>
      <w:tr w:rsidR="00D36D54" w:rsidRPr="00D36D54" w:rsidTr="00D36D54">
        <w:trPr>
          <w:trHeight w:val="330"/>
        </w:trPr>
        <w:tc>
          <w:tcPr>
            <w:tcW w:w="2721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Cs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e</w:t>
            </w:r>
          </w:p>
        </w:tc>
        <w:tc>
          <w:tcPr>
            <w:tcW w:w="181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f</w:t>
            </w:r>
          </w:p>
        </w:tc>
      </w:tr>
      <w:tr w:rsidR="00D36D54" w:rsidRPr="00D36D54" w:rsidTr="00D36D54">
        <w:trPr>
          <w:trHeight w:val="330"/>
        </w:trPr>
        <w:tc>
          <w:tcPr>
            <w:tcW w:w="901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both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Dlhodobé pôžičky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72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  <w:proofErr w:type="spellStart"/>
            <w:r w:rsidR="00825633" w:rsidRPr="00990770">
              <w:rPr>
                <w:rFonts w:ascii="Verdana" w:hAnsi="Verdana"/>
                <w:sz w:val="15"/>
                <w:szCs w:val="15"/>
                <w:lang w:eastAsia="en-US"/>
              </w:rPr>
              <w:t>Kleibergen</w:t>
            </w:r>
            <w:proofErr w:type="spellEnd"/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D36D54" w:rsidRPr="00D36D54" w:rsidRDefault="0082563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808425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816" w:type="dxa"/>
            <w:tcBorders>
              <w:top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721" w:type="dxa"/>
            <w:tcBorders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14" w:type="dxa"/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83" w:type="dxa"/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687" w:type="dxa"/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816" w:type="dxa"/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721" w:type="dxa"/>
            <w:tcBorders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14" w:type="dxa"/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83" w:type="dxa"/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687" w:type="dxa"/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816" w:type="dxa"/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901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both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Krátkodobé pôžičky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72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816" w:type="dxa"/>
            <w:tcBorders>
              <w:top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721" w:type="dxa"/>
            <w:tcBorders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14" w:type="dxa"/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83" w:type="dxa"/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687" w:type="dxa"/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816" w:type="dxa"/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721" w:type="dxa"/>
            <w:tcBorders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14" w:type="dxa"/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83" w:type="dxa"/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687" w:type="dxa"/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816" w:type="dxa"/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901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both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Krátkodobé finančné výpomoci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72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990770" w:rsidRDefault="009008CC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proofErr w:type="spellStart"/>
            <w:r w:rsidRPr="00990770">
              <w:rPr>
                <w:rFonts w:ascii="Verdana" w:hAnsi="Verdana"/>
                <w:sz w:val="15"/>
                <w:szCs w:val="15"/>
                <w:lang w:eastAsia="en-US"/>
              </w:rPr>
              <w:t>Kleibergen</w:t>
            </w:r>
            <w:proofErr w:type="spellEnd"/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36D54" w:rsidRPr="00990770" w:rsidRDefault="009008CC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z w:val="15"/>
                <w:szCs w:val="15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D36D54" w:rsidRPr="00990770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D36D54" w:rsidRPr="00990770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D36D54" w:rsidRPr="00990770" w:rsidRDefault="009008CC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z w:val="15"/>
                <w:szCs w:val="15"/>
                <w:lang w:eastAsia="en-US"/>
              </w:rPr>
              <w:t>440000</w:t>
            </w:r>
          </w:p>
        </w:tc>
        <w:tc>
          <w:tcPr>
            <w:tcW w:w="1816" w:type="dxa"/>
            <w:tcBorders>
              <w:top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5"/>
        </w:trPr>
        <w:tc>
          <w:tcPr>
            <w:tcW w:w="272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687" w:type="dxa"/>
            <w:tcBorders>
              <w:bottom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816" w:type="dxa"/>
            <w:tcBorders>
              <w:bottom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napToGrid w:val="0"/>
          <w:sz w:val="15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lastRenderedPageBreak/>
        <w:t>Časové rozlíšenie (r. 121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val="en-GB"/>
        </w:rPr>
      </w:pPr>
    </w:p>
    <w:tbl>
      <w:tblPr>
        <w:tblW w:w="4851" w:type="pct"/>
        <w:tblInd w:w="108" w:type="dxa"/>
        <w:tblLook w:val="04A0" w:firstRow="1" w:lastRow="0" w:firstColumn="1" w:lastColumn="0" w:noHBand="0" w:noVBand="1"/>
      </w:tblPr>
      <w:tblGrid>
        <w:gridCol w:w="4217"/>
        <w:gridCol w:w="2528"/>
        <w:gridCol w:w="2265"/>
      </w:tblGrid>
      <w:tr w:rsidR="00D36D54" w:rsidRPr="00D36D54" w:rsidTr="00D36D54">
        <w:trPr>
          <w:trHeight w:val="772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Názov položky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12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Výdavky budúcich období dlhodobé,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Výdavky budúcich období krátkodobé,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9008CC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120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Výnosy budúcich období dlhodobé,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Výnosy budúcich období krátkodobé,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bCs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bCs/>
          <w:sz w:val="17"/>
          <w:szCs w:val="20"/>
          <w:lang w:eastAsia="en-US"/>
        </w:rPr>
      </w:pPr>
    </w:p>
    <w:p w:rsidR="00D36D54" w:rsidRPr="00D36D54" w:rsidRDefault="00D36D54" w:rsidP="009008C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br w:type="page"/>
      </w: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Výnosy</w:t>
      </w:r>
    </w:p>
    <w:p w:rsidR="00D36D54" w:rsidRPr="00D36D54" w:rsidRDefault="00D36D54" w:rsidP="00D36D54">
      <w:pPr>
        <w:jc w:val="both"/>
        <w:rPr>
          <w:rFonts w:ascii="Verdana" w:hAnsi="Verdana"/>
          <w:sz w:val="14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Výnosy z hospodárskej činnosti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sz w:val="14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Tržby z predaja tovaru, vlastných výrobkov a služieb (r. 01 a 05 výkazu ziskov a strát)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17"/>
        </w:rPr>
      </w:pPr>
    </w:p>
    <w:bookmarkStart w:id="94" w:name="_MON_1389007952"/>
    <w:bookmarkStart w:id="95" w:name="_MON_1389008160"/>
    <w:bookmarkStart w:id="96" w:name="_MON_1389008176"/>
    <w:bookmarkStart w:id="97" w:name="_MON_1389768574"/>
    <w:bookmarkEnd w:id="94"/>
    <w:bookmarkEnd w:id="95"/>
    <w:bookmarkEnd w:id="96"/>
    <w:bookmarkEnd w:id="97"/>
    <w:bookmarkStart w:id="98" w:name="_MON_1389768599"/>
    <w:bookmarkEnd w:id="98"/>
    <w:p w:rsidR="00D36D54" w:rsidRPr="00D36D54" w:rsidRDefault="009008CC" w:rsidP="00D36D54">
      <w:pPr>
        <w:jc w:val="both"/>
        <w:rPr>
          <w:rFonts w:ascii="Verdana" w:hAnsi="Verdana"/>
          <w:snapToGrid w:val="0"/>
          <w:sz w:val="17"/>
          <w:szCs w:val="17"/>
        </w:rPr>
      </w:pPr>
      <w:r w:rsidRPr="00D36D54">
        <w:rPr>
          <w:rFonts w:ascii="Verdana" w:hAnsi="Verdana"/>
          <w:snapToGrid w:val="0"/>
          <w:sz w:val="17"/>
          <w:szCs w:val="17"/>
        </w:rPr>
        <w:object w:dxaOrig="9600" w:dyaOrig="3033">
          <v:shape id="_x0000_i1040" type="#_x0000_t75" style="width:455.15pt;height:151.5pt" o:ole="" o:bordertopcolor="this" o:borderleftcolor="this">
            <v:imagedata r:id="rId43" o:title=""/>
            <w10:bordertop type="single" width="4"/>
            <w10:borderleft type="single" width="4"/>
          </v:shape>
          <o:OLEObject Type="Embed" ProgID="Excel.Sheet.8" ShapeID="_x0000_i1040" DrawAspect="Content" ObjectID="_1456418744" r:id="rId44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17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17"/>
        </w:rPr>
      </w:pPr>
    </w:p>
    <w:p w:rsidR="00D36D54" w:rsidRPr="00990770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990770">
        <w:rPr>
          <w:rFonts w:ascii="Verdana" w:hAnsi="Verdana" w:cs="Arial"/>
          <w:b/>
          <w:bCs/>
          <w:iCs/>
          <w:sz w:val="17"/>
          <w:szCs w:val="28"/>
          <w:lang w:eastAsia="en-US"/>
        </w:rPr>
        <w:t>Výnosy pri aktivácií nákladov, ostatné výnosy z hospodárskej činnosti, výnosy z finančnej a mimoriadnej činnosti</w:t>
      </w:r>
    </w:p>
    <w:p w:rsidR="00D36D54" w:rsidRPr="00990770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tbl>
      <w:tblPr>
        <w:tblW w:w="4897" w:type="pct"/>
        <w:tblInd w:w="108" w:type="dxa"/>
        <w:tblLook w:val="04A0" w:firstRow="1" w:lastRow="0" w:firstColumn="1" w:lastColumn="0" w:noHBand="0" w:noVBand="1"/>
      </w:tblPr>
      <w:tblGrid>
        <w:gridCol w:w="5963"/>
        <w:gridCol w:w="1541"/>
        <w:gridCol w:w="1592"/>
      </w:tblGrid>
      <w:tr w:rsidR="00D36D54" w:rsidRPr="00D36D54" w:rsidTr="00D36D54">
        <w:trPr>
          <w:trHeight w:val="884"/>
        </w:trPr>
        <w:tc>
          <w:tcPr>
            <w:tcW w:w="32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990770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Názov položky</w:t>
            </w:r>
          </w:p>
        </w:tc>
        <w:tc>
          <w:tcPr>
            <w:tcW w:w="8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Významné položky pri aktivácii nákladov, z toho: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Ostatné významné položky výnosov z hospodárskej činnosti, z toho: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Finančné výnosy, z toho:</w:t>
            </w: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Kurzové zisky, z toho: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766C6B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i/>
                <w:sz w:val="15"/>
                <w:szCs w:val="15"/>
                <w:lang w:eastAsia="en-US"/>
              </w:rPr>
              <w:t>2417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kurzové zisky ku dňu, ku ktorému sa zostavuje účtovná závierka</w:t>
            </w: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2417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Ostatné významné položky finančných výnosov, z toho:</w:t>
            </w: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766C6B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i/>
                <w:sz w:val="15"/>
                <w:szCs w:val="15"/>
                <w:lang w:eastAsia="en-US"/>
              </w:rPr>
              <w:t>1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Výnosové úroky</w:t>
            </w: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45"/>
        </w:trPr>
        <w:tc>
          <w:tcPr>
            <w:tcW w:w="327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Mimoriadne výnosy, z toho:</w:t>
            </w: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5"/>
        </w:trPr>
        <w:tc>
          <w:tcPr>
            <w:tcW w:w="32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FE22AE" w:rsidRDefault="00FE22AE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FE22AE" w:rsidRPr="00D36D54" w:rsidRDefault="00FE22AE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66C6B" w:rsidRPr="00D36D54" w:rsidRDefault="00766C6B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napToGrid w:val="0"/>
          <w:sz w:val="17"/>
          <w:szCs w:val="28"/>
        </w:rPr>
      </w:pPr>
      <w:r w:rsidRPr="00D36D54">
        <w:rPr>
          <w:rFonts w:ascii="Verdana" w:hAnsi="Verdana" w:cs="Arial"/>
          <w:b/>
          <w:bCs/>
          <w:iCs/>
          <w:snapToGrid w:val="0"/>
          <w:sz w:val="17"/>
          <w:szCs w:val="28"/>
        </w:rPr>
        <w:lastRenderedPageBreak/>
        <w:t>Čistý obrat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</w:rPr>
      </w:pPr>
    </w:p>
    <w:bookmarkStart w:id="99" w:name="_MON_1389768630"/>
    <w:bookmarkStart w:id="100" w:name="_MON_1389768639"/>
    <w:bookmarkStart w:id="101" w:name="_MON_1389768644"/>
    <w:bookmarkEnd w:id="99"/>
    <w:bookmarkEnd w:id="100"/>
    <w:bookmarkEnd w:id="101"/>
    <w:bookmarkStart w:id="102" w:name="_MON_1389008348"/>
    <w:bookmarkEnd w:id="102"/>
    <w:p w:rsidR="00D36D54" w:rsidRPr="00D36D54" w:rsidRDefault="00766C6B" w:rsidP="00D36D54">
      <w:pPr>
        <w:jc w:val="both"/>
        <w:rPr>
          <w:rFonts w:ascii="Verdana" w:hAnsi="Verdana"/>
          <w:sz w:val="17"/>
          <w:szCs w:val="20"/>
        </w:rPr>
      </w:pPr>
      <w:r w:rsidRPr="00D36D54">
        <w:rPr>
          <w:rFonts w:ascii="Verdana" w:hAnsi="Verdana"/>
          <w:sz w:val="17"/>
          <w:szCs w:val="20"/>
        </w:rPr>
        <w:object w:dxaOrig="9222" w:dyaOrig="2799">
          <v:shape id="_x0000_i1041" type="#_x0000_t75" style="width:455.15pt;height:140.25pt" o:ole="" o:bordertopcolor="this" o:borderleftcolor="this">
            <v:imagedata r:id="rId45" o:title=""/>
            <w10:bordertop type="single" width="4"/>
            <w10:borderleft type="single" width="4"/>
          </v:shape>
          <o:OLEObject Type="Embed" ProgID="Excel.Sheet.8" ShapeID="_x0000_i1041" DrawAspect="Content" ObjectID="_1456418745" r:id="rId46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br w:type="page"/>
      </w: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NÁKLADY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tbl>
      <w:tblPr>
        <w:tblW w:w="4897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5704"/>
        <w:gridCol w:w="1777"/>
        <w:gridCol w:w="1615"/>
      </w:tblGrid>
      <w:tr w:rsidR="00D36D54" w:rsidRPr="00D36D54" w:rsidTr="00D36D54">
        <w:trPr>
          <w:trHeight w:val="1005"/>
        </w:trPr>
        <w:tc>
          <w:tcPr>
            <w:tcW w:w="3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Názov položky</w:t>
            </w:r>
          </w:p>
        </w:tc>
        <w:tc>
          <w:tcPr>
            <w:tcW w:w="9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D36D54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Náklady za poskytnuté služby,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2107050</w:t>
            </w:r>
          </w:p>
        </w:tc>
      </w:tr>
      <w:tr w:rsidR="00D36D54" w:rsidRPr="00D36D54" w:rsidTr="00D36D54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Náklady voči audítorovi, audítorskej spoločnosti,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 </w:t>
            </w:r>
            <w:r w:rsidR="00766C6B">
              <w:rPr>
                <w:rFonts w:ascii="Verdana" w:hAnsi="Verdana"/>
                <w:i/>
                <w:sz w:val="15"/>
                <w:szCs w:val="15"/>
                <w:lang w:eastAsia="en-US"/>
              </w:rPr>
              <w:t>2027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náklady za overenie individuálnej účtovnej závierky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  <w:r w:rsidR="00766C6B">
              <w:rPr>
                <w:rFonts w:ascii="Verdana" w:hAnsi="Verdana"/>
                <w:sz w:val="15"/>
                <w:szCs w:val="15"/>
                <w:lang w:eastAsia="en-US"/>
              </w:rPr>
              <w:t>2027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 xml:space="preserve">iné </w:t>
            </w:r>
            <w:proofErr w:type="spellStart"/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uisťovacie</w:t>
            </w:r>
            <w:proofErr w:type="spellEnd"/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 xml:space="preserve"> audítorské služby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súvisiace audítorské služby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daňové poradenstvo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ostatné neaudítorské služby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Ostatné významné položky nákladov za poskytnuté služby, z toho: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i/>
                <w:sz w:val="15"/>
                <w:szCs w:val="15"/>
                <w:lang w:eastAsia="en-US"/>
              </w:rPr>
              <w:t>109364</w:t>
            </w:r>
            <w:r w:rsidR="00D36D54"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 </w:t>
            </w:r>
            <w:r w:rsidR="00766C6B">
              <w:rPr>
                <w:rFonts w:ascii="Verdana" w:hAnsi="Verdana"/>
                <w:i/>
                <w:sz w:val="15"/>
                <w:szCs w:val="15"/>
                <w:lang w:eastAsia="en-US"/>
              </w:rPr>
              <w:t>97377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Opravy a udržiavanie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278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86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Cestovné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5221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8992</w:t>
            </w:r>
          </w:p>
        </w:tc>
      </w:tr>
      <w:tr w:rsidR="00766C6B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Náklady na reprezentáciu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1051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1464</w:t>
            </w:r>
          </w:p>
        </w:tc>
      </w:tr>
      <w:tr w:rsidR="00766C6B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Provízie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2098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229</w:t>
            </w:r>
          </w:p>
        </w:tc>
      </w:tr>
      <w:tr w:rsidR="00766C6B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Prenájom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6868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7052</w:t>
            </w:r>
          </w:p>
        </w:tc>
      </w:tr>
      <w:tr w:rsidR="00766C6B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Skladné a manipulácia s tovarom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63481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64924</w:t>
            </w:r>
          </w:p>
        </w:tc>
      </w:tr>
      <w:tr w:rsidR="00766C6B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Internetové pripojenie, server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5530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5521</w:t>
            </w:r>
          </w:p>
        </w:tc>
      </w:tr>
      <w:tr w:rsidR="00C1502E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Právne a účtovné služby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12732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5402</w:t>
            </w:r>
          </w:p>
        </w:tc>
      </w:tr>
      <w:tr w:rsidR="00C1502E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Náklady na telefón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2507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1996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Ostatné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C1502E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9605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1711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Ostatné významné položky nákladov z hospodárskej činnosti</w:t>
            </w: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23243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20371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Manká a škody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30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9208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Iné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23213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11163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Finančné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Kurzové straty,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i/>
                <w:sz w:val="15"/>
                <w:szCs w:val="15"/>
                <w:lang w:eastAsia="en-US"/>
              </w:rPr>
              <w:t>14506</w:t>
            </w:r>
            <w:r w:rsidR="00D36D54"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i/>
                <w:sz w:val="15"/>
                <w:szCs w:val="15"/>
                <w:lang w:eastAsia="en-US"/>
              </w:rPr>
              <w:t>8110</w:t>
            </w:r>
            <w:r w:rsidR="00D36D54"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29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kurzové straty ku dňu, ku ktorému sa zostavuje účtovná závierka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Ostatné významné položky finančných nákladov, z toho: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 </w:t>
            </w:r>
            <w:r w:rsidR="00AB1BCE">
              <w:rPr>
                <w:rFonts w:ascii="Verdana" w:hAnsi="Verdana"/>
                <w:i/>
                <w:sz w:val="15"/>
                <w:szCs w:val="15"/>
                <w:lang w:eastAsia="en-US"/>
              </w:rPr>
              <w:t>19477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i/>
                <w:sz w:val="15"/>
                <w:szCs w:val="15"/>
                <w:lang w:eastAsia="en-US"/>
              </w:rPr>
              <w:t>1843</w:t>
            </w:r>
            <w:r w:rsidR="00D36D54"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Nákladové úroky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1524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108</w:t>
            </w:r>
          </w:p>
        </w:tc>
      </w:tr>
      <w:tr w:rsidR="00D36D54" w:rsidRPr="00D36D54" w:rsidTr="00D36D54">
        <w:trPr>
          <w:trHeight w:val="383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Bankové poplatky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3446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1735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Mimoriadne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DAŇ Z PRÍJMOV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Sadzba dane z príjmov pre rok 201</w:t>
      </w:r>
      <w:r w:rsidR="00AB1BCE">
        <w:rPr>
          <w:rFonts w:ascii="Verdana" w:hAnsi="Verdana"/>
          <w:snapToGrid w:val="0"/>
          <w:sz w:val="17"/>
          <w:szCs w:val="20"/>
        </w:rPr>
        <w:t>3</w:t>
      </w:r>
      <w:r w:rsidRPr="00D36D54">
        <w:rPr>
          <w:rFonts w:ascii="Verdana" w:hAnsi="Verdana"/>
          <w:snapToGrid w:val="0"/>
          <w:sz w:val="17"/>
          <w:szCs w:val="20"/>
        </w:rPr>
        <w:t xml:space="preserve"> je </w:t>
      </w:r>
      <w:r w:rsidR="00AB1BCE">
        <w:rPr>
          <w:rFonts w:ascii="Verdana" w:hAnsi="Verdana"/>
          <w:snapToGrid w:val="0"/>
          <w:sz w:val="17"/>
          <w:szCs w:val="20"/>
        </w:rPr>
        <w:t>23</w:t>
      </w:r>
      <w:r w:rsidRPr="00D36D54">
        <w:rPr>
          <w:rFonts w:ascii="Verdana" w:hAnsi="Verdana"/>
          <w:snapToGrid w:val="0"/>
          <w:sz w:val="17"/>
          <w:szCs w:val="20"/>
        </w:rPr>
        <w:t xml:space="preserve"> %. Spoločnosť nemala žiadne úľavy z daní. Štruktúra výpočtu splatnej dane z príjmov za rok 2011 je uvedená v prílohe v tabuľke č. 2. </w:t>
      </w:r>
    </w:p>
    <w:p w:rsidR="00D36D54" w:rsidRPr="00D36D54" w:rsidRDefault="00D36D54" w:rsidP="00AB1BCE">
      <w:pPr>
        <w:jc w:val="right"/>
        <w:rPr>
          <w:rFonts w:ascii="Verdana" w:hAnsi="Verdana"/>
          <w:snapToGrid w:val="0"/>
          <w:sz w:val="18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  <w:r w:rsidRPr="00AB1BCE">
        <w:rPr>
          <w:rFonts w:ascii="Verdana" w:hAnsi="Verdana"/>
          <w:snapToGrid w:val="0"/>
          <w:sz w:val="17"/>
          <w:szCs w:val="20"/>
          <w:highlight w:val="yellow"/>
          <w:u w:val="single"/>
        </w:rPr>
        <w:t>Odsúhlasenie dane z príjmov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tbl>
      <w:tblPr>
        <w:tblW w:w="4961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2412"/>
        <w:gridCol w:w="1516"/>
        <w:gridCol w:w="1145"/>
        <w:gridCol w:w="712"/>
        <w:gridCol w:w="1548"/>
        <w:gridCol w:w="1047"/>
        <w:gridCol w:w="835"/>
      </w:tblGrid>
      <w:tr w:rsidR="00D36D54" w:rsidRPr="00D36D54" w:rsidTr="00AB1BCE">
        <w:trPr>
          <w:trHeight w:val="642"/>
        </w:trPr>
        <w:tc>
          <w:tcPr>
            <w:tcW w:w="24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Názov položky</w:t>
            </w:r>
          </w:p>
        </w:tc>
        <w:tc>
          <w:tcPr>
            <w:tcW w:w="33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34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AB1BCE">
        <w:trPr>
          <w:trHeight w:val="345"/>
        </w:trPr>
        <w:tc>
          <w:tcPr>
            <w:tcW w:w="241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Základ dane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Daň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Daň v %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Základ dane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Daň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Daň v %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151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  <w:tc>
          <w:tcPr>
            <w:tcW w:w="7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d</w:t>
            </w:r>
          </w:p>
        </w:tc>
        <w:tc>
          <w:tcPr>
            <w:tcW w:w="15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e</w:t>
            </w:r>
          </w:p>
        </w:tc>
        <w:tc>
          <w:tcPr>
            <w:tcW w:w="10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f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g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Výsledok hospodárenia pred  zdanením, z toho: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6542</w:t>
            </w:r>
          </w:p>
        </w:tc>
        <w:tc>
          <w:tcPr>
            <w:tcW w:w="11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2207</w:t>
            </w:r>
          </w:p>
        </w:tc>
        <w:tc>
          <w:tcPr>
            <w:tcW w:w="10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8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 xml:space="preserve">teoretická daň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1504</w:t>
            </w:r>
          </w:p>
        </w:tc>
        <w:tc>
          <w:tcPr>
            <w:tcW w:w="71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23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419</w:t>
            </w:r>
          </w:p>
        </w:tc>
        <w:tc>
          <w:tcPr>
            <w:tcW w:w="83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19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Daňovo neuznané náklady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3FB2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3 079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AB1BCE" w:rsidP="00AB1BCE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6411</w:t>
            </w: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1218</w:t>
            </w: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55,19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Výnosy nepodliehajúce dani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3FB2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  <w:r w:rsidR="00AB1BCE">
              <w:rPr>
                <w:rFonts w:ascii="Verdana" w:hAnsi="Verdana"/>
                <w:sz w:val="15"/>
                <w:szCs w:val="15"/>
                <w:lang w:eastAsia="en-US"/>
              </w:rPr>
              <w:t>-1072</w:t>
            </w: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-204</w:t>
            </w: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-9,24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Umorenie daňovej straty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3FB2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9 620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  <w:r w:rsidR="00AB1BCE">
              <w:rPr>
                <w:rFonts w:ascii="Verdana" w:hAnsi="Verdana"/>
                <w:sz w:val="15"/>
                <w:szCs w:val="15"/>
                <w:lang w:eastAsia="en-US"/>
              </w:rPr>
              <w:t>-7546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-1434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-64,98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Spolu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Splatná daň z 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Odložená daň z 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</w:p>
        </w:tc>
      </w:tr>
      <w:tr w:rsidR="00D36D54" w:rsidRPr="00D36D54" w:rsidTr="00AB1BCE">
        <w:trPr>
          <w:trHeight w:val="345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 xml:space="preserve">Celková daň z príjmov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b/>
          <w:bCs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b/>
          <w:bCs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br w:type="page"/>
      </w: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PODSÚVAHOVÉ ÚČTY</w:t>
      </w:r>
    </w:p>
    <w:p w:rsidR="00D36D54" w:rsidRDefault="00D36D54" w:rsidP="00D36D54">
      <w:pPr>
        <w:jc w:val="both"/>
        <w:rPr>
          <w:rFonts w:ascii="Verdana" w:hAnsi="Verdana"/>
          <w:sz w:val="14"/>
          <w:szCs w:val="20"/>
          <w:lang w:eastAsia="en-US"/>
        </w:rPr>
      </w:pPr>
    </w:p>
    <w:p w:rsidR="00AB1BCE" w:rsidRPr="00D36D54" w:rsidRDefault="00AB1BCE" w:rsidP="00D36D54">
      <w:pPr>
        <w:jc w:val="both"/>
        <w:rPr>
          <w:rFonts w:ascii="Verdana" w:hAnsi="Verdana"/>
          <w:sz w:val="14"/>
          <w:szCs w:val="20"/>
          <w:lang w:eastAsia="en-US"/>
        </w:rPr>
      </w:pPr>
      <w:r>
        <w:rPr>
          <w:rFonts w:ascii="Verdana" w:hAnsi="Verdana"/>
          <w:sz w:val="14"/>
          <w:szCs w:val="20"/>
          <w:lang w:eastAsia="en-US"/>
        </w:rPr>
        <w:t>Spoločnosť nemá.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INÉ AKTÍVA A INÉ PASÍVA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Podmienené záväzky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eastAsia="en-US"/>
        </w:rPr>
      </w:pPr>
      <w:r w:rsidRPr="00D36D54">
        <w:rPr>
          <w:rFonts w:ascii="Verdana" w:hAnsi="Verdana"/>
          <w:snapToGrid w:val="0"/>
          <w:sz w:val="17"/>
          <w:szCs w:val="20"/>
          <w:lang w:eastAsia="en-US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2011 daňové priznania spoločnosti za roky 2007 až 2011 otvorené a môžu sa stať predmetom kontroly.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Emisné kvóty</w:t>
      </w:r>
    </w:p>
    <w:p w:rsidR="00AB1BCE" w:rsidRDefault="00AB1BCE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AB1BCE" w:rsidRPr="00AB1BCE" w:rsidRDefault="00AB1BCE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Cs/>
          <w:iCs/>
          <w:sz w:val="17"/>
          <w:szCs w:val="28"/>
          <w:lang w:eastAsia="en-US"/>
        </w:rPr>
      </w:pPr>
      <w:r w:rsidRPr="00AB1BCE">
        <w:rPr>
          <w:rFonts w:ascii="Verdana" w:hAnsi="Verdana" w:cs="Arial"/>
          <w:bCs/>
          <w:iCs/>
          <w:sz w:val="17"/>
          <w:szCs w:val="28"/>
          <w:lang w:eastAsia="en-US"/>
        </w:rPr>
        <w:t xml:space="preserve">Spoločnosť nemá. </w:t>
      </w:r>
    </w:p>
    <w:p w:rsidR="00AB1BCE" w:rsidRDefault="00AB1BCE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Budúce práva a</w:t>
      </w:r>
      <w:r w:rsidRPr="00D36D54">
        <w:rPr>
          <w:rFonts w:ascii="Verdana" w:hAnsi="Verdana" w:cs="Arial" w:hint="eastAsia"/>
          <w:b/>
          <w:bCs/>
          <w:iCs/>
          <w:sz w:val="17"/>
          <w:szCs w:val="28"/>
          <w:lang w:eastAsia="en-US"/>
        </w:rPr>
        <w:t> 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povinnosti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AB1BCE" w:rsidRDefault="00AB1BCE" w:rsidP="00D36D54">
      <w:pPr>
        <w:jc w:val="both"/>
        <w:rPr>
          <w:rFonts w:ascii="Verdana" w:hAnsi="Verdana" w:cs="Arial"/>
          <w:color w:val="000000" w:themeColor="text1"/>
          <w:sz w:val="17"/>
          <w:szCs w:val="20"/>
          <w:lang w:eastAsia="en-US"/>
        </w:rPr>
      </w:pPr>
      <w:r w:rsidRPr="00AB1BCE">
        <w:rPr>
          <w:rFonts w:ascii="Verdana" w:hAnsi="Verdana" w:cs="Arial"/>
          <w:i/>
          <w:color w:val="000000" w:themeColor="text1"/>
          <w:sz w:val="17"/>
          <w:szCs w:val="20"/>
          <w:lang w:eastAsia="en-US"/>
        </w:rPr>
        <w:t>Netýka sa spoločnosti.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Podmienený majetok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AB1BCE" w:rsidRPr="00AB1BCE" w:rsidRDefault="00AB1BCE" w:rsidP="00AB1BCE">
      <w:pPr>
        <w:jc w:val="both"/>
        <w:rPr>
          <w:rFonts w:ascii="Verdana" w:hAnsi="Verdana" w:cs="Arial"/>
          <w:color w:val="000000" w:themeColor="text1"/>
          <w:sz w:val="17"/>
          <w:szCs w:val="20"/>
          <w:lang w:eastAsia="en-US"/>
        </w:rPr>
      </w:pPr>
      <w:r w:rsidRPr="00AB1BCE">
        <w:rPr>
          <w:rFonts w:ascii="Verdana" w:hAnsi="Verdana" w:cs="Arial"/>
          <w:i/>
          <w:color w:val="000000" w:themeColor="text1"/>
          <w:sz w:val="17"/>
          <w:szCs w:val="20"/>
          <w:lang w:eastAsia="en-US"/>
        </w:rPr>
        <w:t>Netýka sa spoločnosti.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PRÍJMY A VÝHODY ČLENOV ŠTATUTÁRNYCH, DOZORNÝCH A INÝCH ORGÁNOV SPOLOČNOSTI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AB1BCE" w:rsidRPr="00AB1BCE" w:rsidRDefault="00AB1BCE" w:rsidP="00AB1BCE">
      <w:pPr>
        <w:jc w:val="both"/>
        <w:rPr>
          <w:rFonts w:ascii="Verdana" w:hAnsi="Verdana" w:cs="Arial"/>
          <w:color w:val="000000" w:themeColor="text1"/>
          <w:sz w:val="17"/>
          <w:szCs w:val="20"/>
          <w:lang w:eastAsia="en-US"/>
        </w:rPr>
      </w:pPr>
      <w:r w:rsidRPr="00AB1BCE">
        <w:rPr>
          <w:rFonts w:ascii="Verdana" w:hAnsi="Verdana" w:cs="Arial"/>
          <w:i/>
          <w:color w:val="000000" w:themeColor="text1"/>
          <w:sz w:val="17"/>
          <w:szCs w:val="20"/>
          <w:lang w:eastAsia="en-US"/>
        </w:rPr>
        <w:t>Netýka sa spoločnosti.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</w:rPr>
      </w:pPr>
    </w:p>
    <w:p w:rsidR="00D36D54" w:rsidRPr="00990770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990770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SPRIAZNENÉ OSOBY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color w:val="00000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</w:rPr>
      </w:pPr>
      <w:r w:rsidRPr="00D36D54">
        <w:rPr>
          <w:rFonts w:ascii="Verdana" w:hAnsi="Verdana"/>
          <w:snapToGrid w:val="0"/>
          <w:color w:val="000000"/>
          <w:sz w:val="17"/>
          <w:szCs w:val="20"/>
        </w:rPr>
        <w:t>Medzi spriaznené osoby patria akcionári, členovia predstavenstva, sesterské spoločnosti a spoločnosti, v ktorých podiel na základnom imaní presahuje 20 % (dcérske a pridružené spoločnosti a spoločné podniky).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color w:val="00000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Obchody medzi týmito osobami a spoločnosťou sa uskutočňujú za obvyklých podmienok a za obvyklé ceny. O obchodoch so spriaznenými osobami rozhoduje predstavenstvo. Komentár k týmto obchodom je v jednotlivých častiach poznámok.</w:t>
      </w:r>
    </w:p>
    <w:p w:rsid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2145CD" w:rsidRDefault="002145CD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tbl>
      <w:tblPr>
        <w:tblW w:w="8123" w:type="dxa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82"/>
        <w:gridCol w:w="2861"/>
        <w:gridCol w:w="2480"/>
      </w:tblGrid>
      <w:tr w:rsidR="002145CD" w:rsidRPr="002145CD" w:rsidTr="002145CD">
        <w:trPr>
          <w:trHeight w:val="398"/>
        </w:trPr>
        <w:tc>
          <w:tcPr>
            <w:tcW w:w="2782" w:type="dxa"/>
          </w:tcPr>
          <w:p w:rsidR="002145CD" w:rsidRPr="002145CD" w:rsidRDefault="002145CD" w:rsidP="002145CD">
            <w:pPr>
              <w:jc w:val="center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Obchodné meno </w:t>
            </w:r>
          </w:p>
        </w:tc>
        <w:tc>
          <w:tcPr>
            <w:tcW w:w="2861" w:type="dxa"/>
          </w:tcPr>
          <w:p w:rsidR="002145CD" w:rsidRPr="002145CD" w:rsidRDefault="002145CD" w:rsidP="002145CD">
            <w:pPr>
              <w:jc w:val="center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Sídlo, resp. trvalý pobyt</w:t>
            </w:r>
          </w:p>
        </w:tc>
        <w:tc>
          <w:tcPr>
            <w:tcW w:w="2480" w:type="dxa"/>
          </w:tcPr>
          <w:p w:rsidR="002145CD" w:rsidRPr="002145CD" w:rsidRDefault="002145CD" w:rsidP="002145CD">
            <w:pPr>
              <w:jc w:val="center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Charakteristika</w:t>
            </w:r>
          </w:p>
        </w:tc>
      </w:tr>
      <w:tr w:rsidR="002145CD" w:rsidRPr="002145CD" w:rsidTr="002145CD">
        <w:trPr>
          <w:trHeight w:val="398"/>
        </w:trPr>
        <w:tc>
          <w:tcPr>
            <w:tcW w:w="2782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Kleibergen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Holding B.V.</w:t>
            </w:r>
          </w:p>
        </w:tc>
        <w:tc>
          <w:tcPr>
            <w:tcW w:w="2861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Rotterdamse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Rijweg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203, Rotterdam 3042AP, Holandsko</w:t>
            </w:r>
          </w:p>
        </w:tc>
        <w:tc>
          <w:tcPr>
            <w:tcW w:w="2480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materská spoločnosť</w:t>
            </w:r>
          </w:p>
        </w:tc>
      </w:tr>
      <w:tr w:rsidR="002145CD" w:rsidRPr="002145CD" w:rsidTr="002145CD">
        <w:trPr>
          <w:trHeight w:val="398"/>
        </w:trPr>
        <w:tc>
          <w:tcPr>
            <w:tcW w:w="2782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Bulgaria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Ltd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.</w:t>
            </w:r>
          </w:p>
        </w:tc>
        <w:tc>
          <w:tcPr>
            <w:tcW w:w="2861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20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th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April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Street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11, 1606 Sofia, Bulharsko</w:t>
            </w:r>
          </w:p>
        </w:tc>
        <w:tc>
          <w:tcPr>
            <w:tcW w:w="2480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sesterská spoločnosť</w:t>
            </w:r>
          </w:p>
        </w:tc>
      </w:tr>
      <w:tr w:rsidR="002145CD" w:rsidRPr="002145CD" w:rsidTr="002145CD">
        <w:trPr>
          <w:trHeight w:val="398"/>
        </w:trPr>
        <w:tc>
          <w:tcPr>
            <w:tcW w:w="2782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TEPEDE CZ spol. s r.o.</w:t>
            </w:r>
          </w:p>
        </w:tc>
        <w:tc>
          <w:tcPr>
            <w:tcW w:w="2861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Výstavní 170/10, 149 00 Praha 4, Česká republika</w:t>
            </w:r>
          </w:p>
        </w:tc>
        <w:tc>
          <w:tcPr>
            <w:tcW w:w="2480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sesterská spoločnosť</w:t>
            </w:r>
          </w:p>
        </w:tc>
      </w:tr>
      <w:tr w:rsidR="002145CD" w:rsidRPr="002145CD" w:rsidTr="002145CD">
        <w:trPr>
          <w:trHeight w:val="398"/>
        </w:trPr>
        <w:tc>
          <w:tcPr>
            <w:tcW w:w="2782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d.o.o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.</w:t>
            </w:r>
          </w:p>
        </w:tc>
        <w:tc>
          <w:tcPr>
            <w:tcW w:w="2861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Vodovodna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20 a, 100 00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Zagreb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, Chorvátsko</w:t>
            </w:r>
          </w:p>
        </w:tc>
        <w:tc>
          <w:tcPr>
            <w:tcW w:w="2480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sesterská spoločnosť</w:t>
            </w:r>
          </w:p>
        </w:tc>
      </w:tr>
      <w:tr w:rsidR="002145CD" w:rsidRPr="002145CD" w:rsidTr="002145CD">
        <w:trPr>
          <w:trHeight w:val="398"/>
        </w:trPr>
        <w:tc>
          <w:tcPr>
            <w:tcW w:w="2782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Graphics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Ltd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.</w:t>
            </w:r>
          </w:p>
        </w:tc>
        <w:tc>
          <w:tcPr>
            <w:tcW w:w="2861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12 Laura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House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,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Jengers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Mead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,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Billingshurst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, Veľká Británia</w:t>
            </w:r>
          </w:p>
        </w:tc>
        <w:tc>
          <w:tcPr>
            <w:tcW w:w="2480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sesterská spoločnosť</w:t>
            </w:r>
          </w:p>
        </w:tc>
      </w:tr>
      <w:tr w:rsidR="002145CD" w:rsidRPr="002145CD" w:rsidTr="002145CD">
        <w:trPr>
          <w:trHeight w:val="398"/>
        </w:trPr>
        <w:tc>
          <w:tcPr>
            <w:tcW w:w="2782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Hungaria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Kft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.</w:t>
            </w:r>
          </w:p>
        </w:tc>
        <w:tc>
          <w:tcPr>
            <w:tcW w:w="2861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Késmárk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u. 9, 1158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Budapest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, Maďarsko</w:t>
            </w:r>
          </w:p>
        </w:tc>
        <w:tc>
          <w:tcPr>
            <w:tcW w:w="2480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sesterská spoločnosť</w:t>
            </w:r>
          </w:p>
        </w:tc>
      </w:tr>
      <w:tr w:rsidR="002145CD" w:rsidRPr="002145CD" w:rsidTr="002145CD">
        <w:trPr>
          <w:trHeight w:val="398"/>
        </w:trPr>
        <w:tc>
          <w:tcPr>
            <w:tcW w:w="2782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TEPEDE Export s.r.o.</w:t>
            </w:r>
          </w:p>
        </w:tc>
        <w:tc>
          <w:tcPr>
            <w:tcW w:w="2861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Pluhová 2, 831 03  Bratislava, Slovenská republika</w:t>
            </w:r>
          </w:p>
        </w:tc>
        <w:tc>
          <w:tcPr>
            <w:tcW w:w="2480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sesterská spoločnosť</w:t>
            </w:r>
          </w:p>
        </w:tc>
      </w:tr>
      <w:tr w:rsidR="002145CD" w:rsidRPr="002145CD" w:rsidTr="002145CD">
        <w:trPr>
          <w:trHeight w:val="398"/>
        </w:trPr>
        <w:tc>
          <w:tcPr>
            <w:tcW w:w="2782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TEPEDE Slovakia s.r.o.</w:t>
            </w:r>
          </w:p>
        </w:tc>
        <w:tc>
          <w:tcPr>
            <w:tcW w:w="2861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Pluhová 2, 831 03  Bratislava, Slovenská republika</w:t>
            </w:r>
          </w:p>
        </w:tc>
        <w:tc>
          <w:tcPr>
            <w:tcW w:w="2480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sesterská spoločnosť</w:t>
            </w:r>
          </w:p>
        </w:tc>
      </w:tr>
    </w:tbl>
    <w:p w:rsidR="002145CD" w:rsidRPr="00D36D54" w:rsidRDefault="002145CD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BC4CF8" w:rsidRPr="00BC4CF8" w:rsidRDefault="00BC4CF8" w:rsidP="00BC4CF8">
      <w:pPr>
        <w:ind w:left="426"/>
        <w:jc w:val="both"/>
        <w:rPr>
          <w:sz w:val="18"/>
          <w:szCs w:val="20"/>
          <w:lang w:eastAsia="en-US"/>
        </w:rPr>
      </w:pPr>
    </w:p>
    <w:tbl>
      <w:tblPr>
        <w:tblW w:w="8897" w:type="dxa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2268"/>
        <w:gridCol w:w="1843"/>
        <w:gridCol w:w="1843"/>
      </w:tblGrid>
      <w:tr w:rsidR="00BC4CF8" w:rsidRPr="00BC4CF8" w:rsidTr="00DF3E8C">
        <w:tc>
          <w:tcPr>
            <w:tcW w:w="2943" w:type="dxa"/>
          </w:tcPr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Zoznam obchodov (na výstupe)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Názov spriaznenej osoby</w:t>
            </w:r>
          </w:p>
        </w:tc>
        <w:tc>
          <w:tcPr>
            <w:tcW w:w="1843" w:type="dxa"/>
          </w:tcPr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Hodnotové vyjadrenie obchodu absolútne</w:t>
            </w:r>
          </w:p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201</w:t>
            </w:r>
            <w:r>
              <w:rPr>
                <w:b/>
                <w:sz w:val="18"/>
                <w:szCs w:val="20"/>
                <w:lang w:eastAsia="en-US"/>
              </w:rPr>
              <w:t>3</w:t>
            </w:r>
          </w:p>
        </w:tc>
        <w:tc>
          <w:tcPr>
            <w:tcW w:w="1843" w:type="dxa"/>
          </w:tcPr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Hodnotové vyjadrenie obchodu absolútne</w:t>
            </w:r>
          </w:p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201</w:t>
            </w:r>
            <w:r>
              <w:rPr>
                <w:b/>
                <w:sz w:val="18"/>
                <w:szCs w:val="20"/>
                <w:lang w:eastAsia="en-US"/>
              </w:rPr>
              <w:t>2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347B57" w:rsidP="00BC4CF8">
            <w:pPr>
              <w:jc w:val="both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 xml:space="preserve">Predaj 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Bulgaria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Ltd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>.</w:t>
            </w:r>
          </w:p>
        </w:tc>
        <w:tc>
          <w:tcPr>
            <w:tcW w:w="1843" w:type="dxa"/>
          </w:tcPr>
          <w:p w:rsidR="00BC4CF8" w:rsidRPr="00BC4CF8" w:rsidRDefault="00347B57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206 543</w:t>
            </w:r>
          </w:p>
        </w:tc>
        <w:tc>
          <w:tcPr>
            <w:tcW w:w="1843" w:type="dxa"/>
          </w:tcPr>
          <w:p w:rsidR="00BC4CF8" w:rsidRPr="00BC4CF8" w:rsidRDefault="00BC4CF8" w:rsidP="00DF3E8C">
            <w:pPr>
              <w:jc w:val="center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186 185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347B57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Predaj 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TEPEDE CZ spol. s r.o.</w:t>
            </w:r>
          </w:p>
        </w:tc>
        <w:tc>
          <w:tcPr>
            <w:tcW w:w="1843" w:type="dxa"/>
          </w:tcPr>
          <w:p w:rsidR="00BC4CF8" w:rsidRPr="00BC4CF8" w:rsidRDefault="00347B57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350 159</w:t>
            </w:r>
          </w:p>
        </w:tc>
        <w:tc>
          <w:tcPr>
            <w:tcW w:w="1843" w:type="dxa"/>
          </w:tcPr>
          <w:p w:rsidR="00BC4CF8" w:rsidRPr="00BC4CF8" w:rsidRDefault="00347B57" w:rsidP="00DF3E8C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279 964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347B57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Predaj 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d.o.o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>.</w:t>
            </w:r>
          </w:p>
        </w:tc>
        <w:tc>
          <w:tcPr>
            <w:tcW w:w="1843" w:type="dxa"/>
          </w:tcPr>
          <w:p w:rsidR="00BC4CF8" w:rsidRPr="00BC4CF8" w:rsidRDefault="00347B57" w:rsidP="00347B57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525 101</w:t>
            </w:r>
          </w:p>
        </w:tc>
        <w:tc>
          <w:tcPr>
            <w:tcW w:w="1843" w:type="dxa"/>
          </w:tcPr>
          <w:p w:rsidR="00BC4CF8" w:rsidRPr="00BC4CF8" w:rsidRDefault="00BC4CF8" w:rsidP="00DF3E8C">
            <w:pPr>
              <w:jc w:val="center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574 317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347B57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Predaj 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Graphics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Ltd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>.</w:t>
            </w:r>
          </w:p>
        </w:tc>
        <w:tc>
          <w:tcPr>
            <w:tcW w:w="1843" w:type="dxa"/>
          </w:tcPr>
          <w:p w:rsidR="00BC4CF8" w:rsidRPr="00BC4CF8" w:rsidRDefault="00347B57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105 918</w:t>
            </w:r>
          </w:p>
        </w:tc>
        <w:tc>
          <w:tcPr>
            <w:tcW w:w="1843" w:type="dxa"/>
          </w:tcPr>
          <w:p w:rsidR="00BC4CF8" w:rsidRPr="00BC4CF8" w:rsidRDefault="00347B57" w:rsidP="00DF3E8C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64 188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347B57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Predaj 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Hungaria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Kft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>.</w:t>
            </w:r>
          </w:p>
        </w:tc>
        <w:tc>
          <w:tcPr>
            <w:tcW w:w="1843" w:type="dxa"/>
          </w:tcPr>
          <w:p w:rsidR="00BC4CF8" w:rsidRPr="00BC4CF8" w:rsidRDefault="00347B57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265 298</w:t>
            </w:r>
          </w:p>
        </w:tc>
        <w:tc>
          <w:tcPr>
            <w:tcW w:w="1843" w:type="dxa"/>
          </w:tcPr>
          <w:p w:rsidR="00BC4CF8" w:rsidRPr="00BC4CF8" w:rsidRDefault="00BC4CF8" w:rsidP="00DF3E8C">
            <w:pPr>
              <w:jc w:val="center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212 841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347B57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Predaj 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TEPEDE Export s.r.o.</w:t>
            </w:r>
          </w:p>
        </w:tc>
        <w:tc>
          <w:tcPr>
            <w:tcW w:w="1843" w:type="dxa"/>
          </w:tcPr>
          <w:p w:rsidR="00BC4CF8" w:rsidRPr="00BC4CF8" w:rsidRDefault="00347B57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64 472</w:t>
            </w:r>
          </w:p>
        </w:tc>
        <w:tc>
          <w:tcPr>
            <w:tcW w:w="1843" w:type="dxa"/>
          </w:tcPr>
          <w:p w:rsidR="00BC4CF8" w:rsidRPr="00BC4CF8" w:rsidRDefault="00BC4CF8" w:rsidP="00DF3E8C">
            <w:pPr>
              <w:jc w:val="center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38 410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347B57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Predaj 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TEPEDE Slovakia s.r.o.</w:t>
            </w:r>
          </w:p>
        </w:tc>
        <w:tc>
          <w:tcPr>
            <w:tcW w:w="1843" w:type="dxa"/>
          </w:tcPr>
          <w:p w:rsidR="00BC4CF8" w:rsidRPr="00BC4CF8" w:rsidRDefault="00347B57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543 538</w:t>
            </w:r>
          </w:p>
        </w:tc>
        <w:tc>
          <w:tcPr>
            <w:tcW w:w="1843" w:type="dxa"/>
          </w:tcPr>
          <w:p w:rsidR="00BC4CF8" w:rsidRPr="00BC4CF8" w:rsidRDefault="00BC4CF8" w:rsidP="00347B57">
            <w:pPr>
              <w:jc w:val="center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45</w:t>
            </w:r>
            <w:r w:rsidR="00347B57">
              <w:rPr>
                <w:sz w:val="18"/>
                <w:szCs w:val="20"/>
                <w:lang w:eastAsia="en-US"/>
              </w:rPr>
              <w:t>1</w:t>
            </w:r>
            <w:r w:rsidRPr="00BC4CF8">
              <w:rPr>
                <w:sz w:val="18"/>
                <w:szCs w:val="20"/>
                <w:lang w:eastAsia="en-US"/>
              </w:rPr>
              <w:t xml:space="preserve"> </w:t>
            </w:r>
            <w:r w:rsidR="00347B57">
              <w:rPr>
                <w:sz w:val="18"/>
                <w:szCs w:val="20"/>
                <w:lang w:eastAsia="en-US"/>
              </w:rPr>
              <w:t>2</w:t>
            </w:r>
            <w:r w:rsidRPr="00BC4CF8">
              <w:rPr>
                <w:sz w:val="18"/>
                <w:szCs w:val="20"/>
                <w:lang w:eastAsia="en-US"/>
              </w:rPr>
              <w:t>64</w:t>
            </w:r>
          </w:p>
        </w:tc>
      </w:tr>
    </w:tbl>
    <w:p w:rsidR="00BC4CF8" w:rsidRPr="00BC4CF8" w:rsidRDefault="00BC4CF8" w:rsidP="00BC4CF8">
      <w:pPr>
        <w:ind w:left="426"/>
        <w:jc w:val="both"/>
        <w:rPr>
          <w:sz w:val="18"/>
          <w:szCs w:val="20"/>
          <w:lang w:eastAsia="en-US"/>
        </w:rPr>
      </w:pPr>
    </w:p>
    <w:p w:rsidR="00BC4CF8" w:rsidRPr="00BC4CF8" w:rsidRDefault="00BC4CF8" w:rsidP="00BC4CF8">
      <w:pPr>
        <w:ind w:left="426"/>
        <w:jc w:val="both"/>
        <w:rPr>
          <w:sz w:val="18"/>
          <w:szCs w:val="20"/>
          <w:lang w:eastAsia="en-US"/>
        </w:rPr>
      </w:pPr>
    </w:p>
    <w:p w:rsidR="00BC4CF8" w:rsidRPr="00BC4CF8" w:rsidRDefault="00BC4CF8" w:rsidP="00BC4CF8">
      <w:pPr>
        <w:ind w:left="426"/>
        <w:jc w:val="both"/>
        <w:rPr>
          <w:sz w:val="18"/>
          <w:szCs w:val="20"/>
          <w:lang w:eastAsia="en-US"/>
        </w:rPr>
      </w:pPr>
    </w:p>
    <w:tbl>
      <w:tblPr>
        <w:tblW w:w="8897" w:type="dxa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2268"/>
        <w:gridCol w:w="1843"/>
        <w:gridCol w:w="1843"/>
      </w:tblGrid>
      <w:tr w:rsidR="00BC4CF8" w:rsidRPr="00BC4CF8" w:rsidTr="00DF3E8C">
        <w:tc>
          <w:tcPr>
            <w:tcW w:w="2943" w:type="dxa"/>
          </w:tcPr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Zoznam obchodov (na vstupe)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Názov spriaznenej osoby</w:t>
            </w:r>
          </w:p>
        </w:tc>
        <w:tc>
          <w:tcPr>
            <w:tcW w:w="1843" w:type="dxa"/>
          </w:tcPr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Hodnotové vyjadrenie obchodu absolútne</w:t>
            </w:r>
          </w:p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201</w:t>
            </w:r>
            <w:r>
              <w:rPr>
                <w:b/>
                <w:sz w:val="18"/>
                <w:szCs w:val="20"/>
                <w:lang w:eastAsia="en-US"/>
              </w:rPr>
              <w:t>3</w:t>
            </w:r>
          </w:p>
        </w:tc>
        <w:tc>
          <w:tcPr>
            <w:tcW w:w="1843" w:type="dxa"/>
          </w:tcPr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Hodnotové vyjadrenie obchodu absolútne</w:t>
            </w:r>
          </w:p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201</w:t>
            </w:r>
            <w:r>
              <w:rPr>
                <w:b/>
                <w:sz w:val="18"/>
                <w:szCs w:val="20"/>
                <w:lang w:eastAsia="en-US"/>
              </w:rPr>
              <w:t>2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Kúpa tovaru 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Bulgaria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Ltd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>.</w:t>
            </w:r>
          </w:p>
        </w:tc>
        <w:tc>
          <w:tcPr>
            <w:tcW w:w="1843" w:type="dxa"/>
          </w:tcPr>
          <w:p w:rsidR="00BC4CF8" w:rsidRPr="00BC4CF8" w:rsidRDefault="00BC4CF8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157</w:t>
            </w:r>
          </w:p>
        </w:tc>
        <w:tc>
          <w:tcPr>
            <w:tcW w:w="1843" w:type="dxa"/>
          </w:tcPr>
          <w:p w:rsidR="00BC4CF8" w:rsidRPr="00BC4CF8" w:rsidRDefault="00BC4CF8" w:rsidP="00DF3E8C">
            <w:pPr>
              <w:jc w:val="center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114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Kúpa tovaru 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Graphics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Ltd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>.</w:t>
            </w:r>
          </w:p>
        </w:tc>
        <w:tc>
          <w:tcPr>
            <w:tcW w:w="1843" w:type="dxa"/>
          </w:tcPr>
          <w:p w:rsidR="00BC4CF8" w:rsidRPr="00BC4CF8" w:rsidRDefault="0095092B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-</w:t>
            </w:r>
          </w:p>
        </w:tc>
        <w:tc>
          <w:tcPr>
            <w:tcW w:w="1843" w:type="dxa"/>
          </w:tcPr>
          <w:p w:rsidR="00BC4CF8" w:rsidRPr="00BC4CF8" w:rsidRDefault="00BC4CF8" w:rsidP="00DF3E8C">
            <w:pPr>
              <w:jc w:val="center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2 563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Kúpa tovaru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TEPEDE Slovakia s.r.o.</w:t>
            </w:r>
          </w:p>
        </w:tc>
        <w:tc>
          <w:tcPr>
            <w:tcW w:w="1843" w:type="dxa"/>
          </w:tcPr>
          <w:p w:rsidR="00BC4CF8" w:rsidRPr="00BC4CF8" w:rsidRDefault="0095092B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3842</w:t>
            </w:r>
          </w:p>
        </w:tc>
        <w:tc>
          <w:tcPr>
            <w:tcW w:w="1843" w:type="dxa"/>
          </w:tcPr>
          <w:p w:rsidR="00BC4CF8" w:rsidRPr="00BC4CF8" w:rsidRDefault="00BC4CF8" w:rsidP="00DF3E8C">
            <w:pPr>
              <w:jc w:val="center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-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Kúpa tovaru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d.o.o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>.</w:t>
            </w:r>
          </w:p>
        </w:tc>
        <w:tc>
          <w:tcPr>
            <w:tcW w:w="1843" w:type="dxa"/>
          </w:tcPr>
          <w:p w:rsidR="00BC4CF8" w:rsidRPr="00BC4CF8" w:rsidRDefault="0095092B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-</w:t>
            </w:r>
          </w:p>
        </w:tc>
        <w:tc>
          <w:tcPr>
            <w:tcW w:w="1843" w:type="dxa"/>
          </w:tcPr>
          <w:p w:rsidR="00BC4CF8" w:rsidRPr="00BC4CF8" w:rsidRDefault="00BC4CF8" w:rsidP="00DF3E8C">
            <w:pPr>
              <w:jc w:val="center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0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Dopravné náklady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TEPEDE CZ spol. s r.o.</w:t>
            </w:r>
          </w:p>
        </w:tc>
        <w:tc>
          <w:tcPr>
            <w:tcW w:w="1843" w:type="dxa"/>
          </w:tcPr>
          <w:p w:rsidR="00BC4CF8" w:rsidRPr="00BC4CF8" w:rsidRDefault="0095092B" w:rsidP="00BC4CF8">
            <w:pPr>
              <w:ind w:left="786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-</w:t>
            </w:r>
          </w:p>
        </w:tc>
        <w:tc>
          <w:tcPr>
            <w:tcW w:w="1843" w:type="dxa"/>
          </w:tcPr>
          <w:p w:rsidR="00BC4CF8" w:rsidRPr="00BC4CF8" w:rsidRDefault="00BC4CF8" w:rsidP="00DF3E8C">
            <w:pPr>
              <w:ind w:left="786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-3 189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proofErr w:type="spellStart"/>
            <w:r w:rsidRPr="00BC4CF8">
              <w:rPr>
                <w:sz w:val="18"/>
                <w:szCs w:val="20"/>
                <w:lang w:eastAsia="en-US"/>
              </w:rPr>
              <w:t>Refakturácia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 xml:space="preserve"> ubytovania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d.o.o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>.</w:t>
            </w:r>
          </w:p>
        </w:tc>
        <w:tc>
          <w:tcPr>
            <w:tcW w:w="1843" w:type="dxa"/>
          </w:tcPr>
          <w:p w:rsidR="00BC4CF8" w:rsidRPr="00BC4CF8" w:rsidRDefault="0095092B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-</w:t>
            </w:r>
          </w:p>
        </w:tc>
        <w:tc>
          <w:tcPr>
            <w:tcW w:w="1843" w:type="dxa"/>
          </w:tcPr>
          <w:p w:rsidR="00BC4CF8" w:rsidRPr="00BC4CF8" w:rsidRDefault="00BC4CF8" w:rsidP="00DF3E8C">
            <w:pPr>
              <w:jc w:val="center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-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Úroky z dlhodobej pôžičky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proofErr w:type="spellStart"/>
            <w:r w:rsidRPr="00BC4CF8">
              <w:rPr>
                <w:sz w:val="18"/>
                <w:szCs w:val="20"/>
                <w:lang w:eastAsia="en-US"/>
              </w:rPr>
              <w:t>Kleibergen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 xml:space="preserve"> Holding B.V.</w:t>
            </w:r>
          </w:p>
        </w:tc>
        <w:tc>
          <w:tcPr>
            <w:tcW w:w="1843" w:type="dxa"/>
          </w:tcPr>
          <w:p w:rsidR="00BC4CF8" w:rsidRPr="00BC4CF8" w:rsidRDefault="0095092B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-</w:t>
            </w:r>
          </w:p>
        </w:tc>
        <w:tc>
          <w:tcPr>
            <w:tcW w:w="1843" w:type="dxa"/>
          </w:tcPr>
          <w:p w:rsidR="00BC4CF8" w:rsidRPr="00BC4CF8" w:rsidRDefault="00BC4CF8" w:rsidP="00DF3E8C">
            <w:pPr>
              <w:jc w:val="center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-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Kúpa tovaru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TEPEDE Slovakia s. r. o.</w:t>
            </w:r>
          </w:p>
        </w:tc>
        <w:tc>
          <w:tcPr>
            <w:tcW w:w="1843" w:type="dxa"/>
          </w:tcPr>
          <w:p w:rsidR="00BC4CF8" w:rsidRPr="00BC4CF8" w:rsidRDefault="0095092B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-</w:t>
            </w:r>
          </w:p>
        </w:tc>
        <w:tc>
          <w:tcPr>
            <w:tcW w:w="1843" w:type="dxa"/>
          </w:tcPr>
          <w:p w:rsidR="00BC4CF8" w:rsidRPr="00BC4CF8" w:rsidRDefault="00BC4CF8" w:rsidP="00DF3E8C">
            <w:pPr>
              <w:jc w:val="center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510</w:t>
            </w:r>
          </w:p>
        </w:tc>
      </w:tr>
    </w:tbl>
    <w:p w:rsidR="00BC4CF8" w:rsidRPr="00BC4CF8" w:rsidRDefault="00BC4CF8" w:rsidP="00BC4CF8">
      <w:pPr>
        <w:ind w:left="426"/>
        <w:jc w:val="both"/>
        <w:rPr>
          <w:sz w:val="18"/>
          <w:szCs w:val="20"/>
          <w:lang w:eastAsia="en-US"/>
        </w:rPr>
      </w:pPr>
    </w:p>
    <w:p w:rsidR="00BC4CF8" w:rsidRPr="00BC4CF8" w:rsidRDefault="00BC4CF8" w:rsidP="00BC4CF8">
      <w:pPr>
        <w:ind w:left="426"/>
        <w:jc w:val="both"/>
        <w:rPr>
          <w:sz w:val="18"/>
          <w:szCs w:val="20"/>
          <w:lang w:eastAsia="en-US"/>
        </w:rPr>
      </w:pPr>
    </w:p>
    <w:p w:rsidR="00BC4CF8" w:rsidRPr="00BC4CF8" w:rsidRDefault="00BC4CF8" w:rsidP="00BC4CF8">
      <w:pPr>
        <w:ind w:left="426"/>
        <w:jc w:val="both"/>
        <w:rPr>
          <w:sz w:val="18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SKUTOČNOSTI, KTORÉ NASTALI PO DNI, KU KTORÉMU SA ZOSTAVUJE ÚČTOVNÁ ZÁVIERKA, A DO DŇA ZOSTAVENIA ÚČTOVNEJ ZÁVIERKY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u w:val="single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Po 31. decembri 201</w:t>
      </w:r>
      <w:r w:rsidR="00AB1BCE">
        <w:rPr>
          <w:rFonts w:ascii="Verdana" w:hAnsi="Verdana"/>
          <w:snapToGrid w:val="0"/>
          <w:sz w:val="17"/>
          <w:szCs w:val="20"/>
        </w:rPr>
        <w:t>3</w:t>
      </w:r>
      <w:r w:rsidRPr="00D36D54">
        <w:rPr>
          <w:rFonts w:ascii="Verdana" w:hAnsi="Verdana"/>
          <w:snapToGrid w:val="0"/>
          <w:sz w:val="17"/>
          <w:szCs w:val="20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AB1BCE" w:rsidRDefault="00AB1BCE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3FB2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3FB2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PREHĽAD ZMIEN VLASTNÉHO IMANIA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103" w:name="_MON_1389609379"/>
    <w:bookmarkStart w:id="104" w:name="_MON_1389608253"/>
    <w:bookmarkStart w:id="105" w:name="_MON_1389608483"/>
    <w:bookmarkStart w:id="106" w:name="_MON_1389608588"/>
    <w:bookmarkStart w:id="107" w:name="_MON_1389609220"/>
    <w:bookmarkEnd w:id="103"/>
    <w:bookmarkEnd w:id="104"/>
    <w:bookmarkEnd w:id="105"/>
    <w:bookmarkEnd w:id="106"/>
    <w:bookmarkEnd w:id="107"/>
    <w:bookmarkStart w:id="108" w:name="_MON_1389609372"/>
    <w:bookmarkEnd w:id="108"/>
    <w:p w:rsidR="00D36D54" w:rsidRPr="00D36D54" w:rsidRDefault="00D33FB2" w:rsidP="00D36D54">
      <w:pPr>
        <w:jc w:val="both"/>
        <w:rPr>
          <w:rFonts w:ascii="Verdana" w:hAnsi="Verdana"/>
          <w:snapToGrid w:val="0"/>
          <w:color w:val="000000"/>
          <w:sz w:val="17"/>
          <w:szCs w:val="20"/>
        </w:rPr>
      </w:pPr>
      <w:r w:rsidRPr="00D36D54">
        <w:rPr>
          <w:rFonts w:ascii="Verdana" w:hAnsi="Verdana"/>
          <w:snapToGrid w:val="0"/>
          <w:color w:val="000000"/>
          <w:sz w:val="17"/>
          <w:szCs w:val="20"/>
        </w:rPr>
        <w:object w:dxaOrig="9698" w:dyaOrig="7752">
          <v:shape id="_x0000_i1042" type="#_x0000_t75" style="width:454.55pt;height:387.55pt" o:ole="" o:bordertopcolor="this" o:borderleftcolor="this">
            <v:imagedata r:id="rId47" o:title=""/>
            <w10:bordertop type="single" width="4"/>
            <w10:borderleft type="single" width="4"/>
          </v:shape>
          <o:OLEObject Type="Embed" ProgID="Excel.Sheet.8" ShapeID="_x0000_i1042" DrawAspect="Content" ObjectID="_1456418746" r:id="rId48"/>
        </w:object>
      </w:r>
    </w:p>
    <w:bookmarkStart w:id="109" w:name="_MON_1389609428"/>
    <w:bookmarkStart w:id="110" w:name="_MON_1389608632"/>
    <w:bookmarkEnd w:id="109"/>
    <w:bookmarkEnd w:id="110"/>
    <w:bookmarkStart w:id="111" w:name="_MON_1389609402"/>
    <w:bookmarkEnd w:id="111"/>
    <w:p w:rsidR="00D36D54" w:rsidRPr="00D36D54" w:rsidRDefault="0049510B" w:rsidP="00D36D54">
      <w:pPr>
        <w:jc w:val="both"/>
        <w:rPr>
          <w:rFonts w:ascii="Verdana" w:hAnsi="Verdana"/>
          <w:snapToGrid w:val="0"/>
          <w:color w:val="000000"/>
          <w:sz w:val="17"/>
          <w:szCs w:val="20"/>
          <w:u w:val="single"/>
        </w:rPr>
      </w:pPr>
      <w:r w:rsidRPr="00D36D54">
        <w:rPr>
          <w:rFonts w:ascii="Verdana" w:hAnsi="Verdana"/>
          <w:snapToGrid w:val="0"/>
          <w:color w:val="000000"/>
          <w:sz w:val="17"/>
          <w:szCs w:val="20"/>
        </w:rPr>
        <w:object w:dxaOrig="9713" w:dyaOrig="7760">
          <v:shape id="_x0000_i1043" type="#_x0000_t75" style="width:455.15pt;height:388.15pt" o:ole="" o:bordertopcolor="this" o:borderleftcolor="this">
            <v:imagedata r:id="rId49" o:title=""/>
            <w10:bordertop type="single" width="4"/>
            <w10:borderleft type="single" width="4"/>
          </v:shape>
          <o:OLEObject Type="Embed" ProgID="Excel.Sheet.8" ShapeID="_x0000_i1043" DrawAspect="Content" ObjectID="_1456418747" r:id="rId50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  <w:u w:val="single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PREHĽAD PEŇAŽNÝCH TOKOV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</w:rPr>
      </w:pPr>
      <w:r w:rsidRPr="00D36D54">
        <w:rPr>
          <w:rFonts w:ascii="Verdana" w:hAnsi="Verdana"/>
          <w:snapToGrid w:val="0"/>
          <w:color w:val="000000"/>
          <w:sz w:val="17"/>
          <w:szCs w:val="20"/>
        </w:rPr>
        <w:t>Prehľad peňažných tokov je uvedený v prílohe, tabuľka č. 1.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eastAsia="en-US"/>
        </w:rPr>
      </w:pPr>
      <w:r w:rsidRPr="00D36D54">
        <w:rPr>
          <w:rFonts w:ascii="Verdana" w:hAnsi="Verdana"/>
          <w:snapToGrid w:val="0"/>
          <w:sz w:val="17"/>
          <w:szCs w:val="20"/>
          <w:lang w:eastAsia="en-US"/>
        </w:rPr>
        <w:t>Štruktúra peňažných prostriedkov a peňažných ekvivalentov: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eastAsia="en-US"/>
        </w:rPr>
      </w:pPr>
    </w:p>
    <w:tbl>
      <w:tblPr>
        <w:tblW w:w="9284" w:type="dxa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65"/>
        <w:gridCol w:w="992"/>
        <w:gridCol w:w="1843"/>
        <w:gridCol w:w="1984"/>
      </w:tblGrid>
      <w:tr w:rsidR="00D36D54" w:rsidRPr="00D36D54" w:rsidTr="0049510B">
        <w:trPr>
          <w:trHeight w:val="305"/>
        </w:trPr>
        <w:tc>
          <w:tcPr>
            <w:tcW w:w="44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Položka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Účet</w:t>
            </w:r>
          </w:p>
        </w:tc>
        <w:tc>
          <w:tcPr>
            <w:tcW w:w="1843" w:type="dxa"/>
            <w:tcBorders>
              <w:top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20"/>
                <w:lang w:val="en-GB"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1984" w:type="dxa"/>
            <w:tcBorders>
              <w:top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20"/>
                <w:lang w:val="en-GB"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49510B">
        <w:trPr>
          <w:trHeight w:val="305"/>
        </w:trPr>
        <w:tc>
          <w:tcPr>
            <w:tcW w:w="446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1843" w:type="dxa"/>
            <w:tcBorders>
              <w:top w:val="nil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val="en-GB"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val="en-GB" w:eastAsia="en-US"/>
              </w:rPr>
              <w:t>c</w:t>
            </w:r>
          </w:p>
        </w:tc>
        <w:tc>
          <w:tcPr>
            <w:tcW w:w="1984" w:type="dxa"/>
            <w:tcBorders>
              <w:top w:val="nil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val="en-GB"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val="en-GB" w:eastAsia="en-US"/>
              </w:rPr>
              <w:t>d</w:t>
            </w:r>
          </w:p>
        </w:tc>
      </w:tr>
      <w:tr w:rsidR="00D36D54" w:rsidRPr="00D36D54" w:rsidTr="0049510B">
        <w:trPr>
          <w:trHeight w:val="263"/>
        </w:trPr>
        <w:tc>
          <w:tcPr>
            <w:tcW w:w="44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Peniaze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36D54" w:rsidRPr="00D36D54" w:rsidRDefault="006F0F0D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53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D36D54" w:rsidRPr="00D36D54" w:rsidRDefault="006F0F0D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197</w:t>
            </w:r>
          </w:p>
        </w:tc>
      </w:tr>
      <w:tr w:rsidR="00D36D54" w:rsidRPr="00D36D54" w:rsidTr="0049510B">
        <w:trPr>
          <w:trHeight w:val="253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Ceniny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213</w:t>
            </w:r>
          </w:p>
        </w:tc>
        <w:tc>
          <w:tcPr>
            <w:tcW w:w="1843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</w:tr>
      <w:tr w:rsidR="00D36D54" w:rsidRPr="00D36D54" w:rsidTr="0049510B">
        <w:trPr>
          <w:trHeight w:val="270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Účty v bankách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221</w:t>
            </w:r>
          </w:p>
        </w:tc>
        <w:tc>
          <w:tcPr>
            <w:tcW w:w="1843" w:type="dxa"/>
            <w:vAlign w:val="center"/>
          </w:tcPr>
          <w:p w:rsidR="00D36D54" w:rsidRPr="00D36D54" w:rsidRDefault="006F0F0D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41138</w:t>
            </w:r>
          </w:p>
        </w:tc>
        <w:tc>
          <w:tcPr>
            <w:tcW w:w="1984" w:type="dxa"/>
            <w:vAlign w:val="center"/>
          </w:tcPr>
          <w:p w:rsidR="006F0F0D" w:rsidRPr="00D36D54" w:rsidRDefault="006F0F0D" w:rsidP="006F0F0D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16705</w:t>
            </w:r>
          </w:p>
        </w:tc>
      </w:tr>
      <w:tr w:rsidR="00D36D54" w:rsidRPr="00D36D54" w:rsidTr="0049510B">
        <w:trPr>
          <w:trHeight w:val="275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Kontokorentný účet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D36D54" w:rsidRPr="00D36D54" w:rsidRDefault="00D36D54" w:rsidP="00FE22AE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221</w:t>
            </w:r>
          </w:p>
        </w:tc>
        <w:tc>
          <w:tcPr>
            <w:tcW w:w="1843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</w:tr>
      <w:tr w:rsidR="00D36D54" w:rsidRPr="00D36D54" w:rsidTr="0049510B">
        <w:trPr>
          <w:trHeight w:val="251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Krátkodobý finančný majetok – akcie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D36D54" w:rsidRPr="00D36D54" w:rsidRDefault="00D36D54" w:rsidP="00FE22AE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251</w:t>
            </w:r>
          </w:p>
        </w:tc>
        <w:tc>
          <w:tcPr>
            <w:tcW w:w="1843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</w:tr>
      <w:tr w:rsidR="00D36D54" w:rsidRPr="00D36D54" w:rsidTr="0049510B">
        <w:trPr>
          <w:trHeight w:val="269"/>
        </w:trPr>
        <w:tc>
          <w:tcPr>
            <w:tcW w:w="44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Krátkodobý finančný majetok – dlhopisy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FE22AE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</w:tr>
      <w:tr w:rsidR="00D36D54" w:rsidRPr="00D36D54" w:rsidTr="0049510B">
        <w:trPr>
          <w:trHeight w:val="258"/>
        </w:trPr>
        <w:tc>
          <w:tcPr>
            <w:tcW w:w="44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  <w:t>Spolu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FE22AE" w:rsidP="00D36D54">
            <w:pPr>
              <w:jc w:val="right"/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  <w:t>41191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FE22AE" w:rsidP="00D36D54">
            <w:pPr>
              <w:jc w:val="right"/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  <w:t>16902</w:t>
            </w:r>
          </w:p>
        </w:tc>
      </w:tr>
    </w:tbl>
    <w:p w:rsidR="0049510B" w:rsidRDefault="0049510B" w:rsidP="00990770">
      <w:pPr>
        <w:spacing w:after="120"/>
        <w:rPr>
          <w:rFonts w:ascii="Arial" w:hAnsi="Arial" w:cs="Arial"/>
          <w:sz w:val="22"/>
          <w:szCs w:val="22"/>
        </w:rPr>
      </w:pPr>
    </w:p>
    <w:sectPr w:rsidR="0049510B" w:rsidSect="00D30075"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6A21" w:rsidRDefault="00B46A21">
      <w:r>
        <w:separator/>
      </w:r>
    </w:p>
  </w:endnote>
  <w:endnote w:type="continuationSeparator" w:id="0">
    <w:p w:rsidR="00B46A21" w:rsidRDefault="00B46A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0770" w:rsidRDefault="00990770" w:rsidP="00D36D5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256E1">
      <w:rPr>
        <w:rStyle w:val="slostrany"/>
        <w:noProof/>
      </w:rPr>
      <w:t>11</w:t>
    </w:r>
    <w:r>
      <w:rPr>
        <w:rStyle w:val="slostrany"/>
      </w:rPr>
      <w:fldChar w:fldCharType="end"/>
    </w:r>
  </w:p>
  <w:p w:rsidR="00990770" w:rsidRDefault="00990770" w:rsidP="00D36D54">
    <w:pPr>
      <w:pStyle w:val="Pta"/>
      <w:pBdr>
        <w:top w:val="single" w:sz="4" w:space="1" w:color="auto"/>
      </w:pBd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0770" w:rsidRDefault="0099077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56E1">
      <w:rPr>
        <w:noProof/>
      </w:rPr>
      <w:t>12</w:t>
    </w:r>
    <w:r>
      <w:rPr>
        <w:noProof/>
      </w:rPr>
      <w:fldChar w:fldCharType="end"/>
    </w:r>
  </w:p>
  <w:p w:rsidR="00990770" w:rsidRDefault="00990770">
    <w:pPr>
      <w:pStyle w:val="Pta"/>
    </w:pPr>
  </w:p>
  <w:p w:rsidR="00990770" w:rsidRDefault="00990770"/>
  <w:p w:rsidR="00990770" w:rsidRDefault="0099077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6A21" w:rsidRDefault="00B46A21">
      <w:r>
        <w:separator/>
      </w:r>
    </w:p>
  </w:footnote>
  <w:footnote w:type="continuationSeparator" w:id="0">
    <w:p w:rsidR="00B46A21" w:rsidRDefault="00B46A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990770" w:rsidRPr="0093379F" w:rsidTr="00D36D5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90770" w:rsidRPr="0093379F" w:rsidRDefault="00990770" w:rsidP="00D36D54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0770" w:rsidRPr="0093379F" w:rsidRDefault="00990770" w:rsidP="00D36D54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0770" w:rsidRPr="0093379F" w:rsidRDefault="00990770" w:rsidP="00D36D54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770" w:rsidRPr="0093379F" w:rsidRDefault="00990770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 xml:space="preserve">2 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770" w:rsidRPr="0093379F" w:rsidRDefault="00990770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770" w:rsidRPr="0093379F" w:rsidRDefault="00990770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770" w:rsidRPr="0093379F" w:rsidRDefault="00990770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770" w:rsidRPr="0093379F" w:rsidRDefault="00990770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770" w:rsidRPr="0093379F" w:rsidRDefault="00990770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770" w:rsidRPr="0093379F" w:rsidRDefault="00990770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770" w:rsidRPr="0093379F" w:rsidRDefault="00990770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770" w:rsidRPr="0093379F" w:rsidRDefault="00990770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770" w:rsidRPr="0093379F" w:rsidRDefault="00990770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990770" w:rsidRPr="00D36D54" w:rsidRDefault="00990770" w:rsidP="00D36D5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9077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90770" w:rsidRPr="003F477D" w:rsidRDefault="0099077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0770" w:rsidRPr="003F477D" w:rsidRDefault="0099077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0770" w:rsidRPr="003F477D" w:rsidRDefault="0099077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770" w:rsidRPr="003F477D" w:rsidRDefault="0099077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770" w:rsidRPr="003F477D" w:rsidRDefault="0099077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770" w:rsidRPr="003F477D" w:rsidRDefault="0099077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770" w:rsidRPr="003F477D" w:rsidRDefault="0099077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770" w:rsidRPr="003F477D" w:rsidRDefault="0099077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770" w:rsidRPr="003F477D" w:rsidRDefault="0099077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770" w:rsidRPr="003F477D" w:rsidRDefault="0099077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770" w:rsidRPr="003F477D" w:rsidRDefault="0099077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770" w:rsidRPr="003F477D" w:rsidRDefault="0099077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0770" w:rsidRPr="003F477D" w:rsidRDefault="0099077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90770" w:rsidRDefault="0099077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7CA34EA"/>
    <w:multiLevelType w:val="hybridMultilevel"/>
    <w:tmpl w:val="FF24B516"/>
    <w:lvl w:ilvl="0" w:tplc="840EADDA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30B66A9"/>
    <w:multiLevelType w:val="hybridMultilevel"/>
    <w:tmpl w:val="B06A6D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9686D7C"/>
    <w:multiLevelType w:val="multilevel"/>
    <w:tmpl w:val="67C8E190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"/>
  </w:num>
  <w:num w:numId="3">
    <w:abstractNumId w:val="17"/>
  </w:num>
  <w:num w:numId="4">
    <w:abstractNumId w:val="37"/>
  </w:num>
  <w:num w:numId="5">
    <w:abstractNumId w:val="19"/>
  </w:num>
  <w:num w:numId="6">
    <w:abstractNumId w:val="36"/>
  </w:num>
  <w:num w:numId="7">
    <w:abstractNumId w:val="15"/>
  </w:num>
  <w:num w:numId="8">
    <w:abstractNumId w:val="22"/>
  </w:num>
  <w:num w:numId="9">
    <w:abstractNumId w:val="36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7"/>
  </w:num>
  <w:num w:numId="12">
    <w:abstractNumId w:val="20"/>
  </w:num>
  <w:num w:numId="13">
    <w:abstractNumId w:val="10"/>
  </w:num>
  <w:num w:numId="14">
    <w:abstractNumId w:val="9"/>
  </w:num>
  <w:num w:numId="15">
    <w:abstractNumId w:val="24"/>
  </w:num>
  <w:num w:numId="16">
    <w:abstractNumId w:val="18"/>
  </w:num>
  <w:num w:numId="17">
    <w:abstractNumId w:val="34"/>
  </w:num>
  <w:num w:numId="18">
    <w:abstractNumId w:val="0"/>
  </w:num>
  <w:num w:numId="19">
    <w:abstractNumId w:val="16"/>
  </w:num>
  <w:num w:numId="20">
    <w:abstractNumId w:val="35"/>
  </w:num>
  <w:num w:numId="21">
    <w:abstractNumId w:val="8"/>
  </w:num>
  <w:num w:numId="22">
    <w:abstractNumId w:val="5"/>
  </w:num>
  <w:num w:numId="23">
    <w:abstractNumId w:val="21"/>
  </w:num>
  <w:num w:numId="24">
    <w:abstractNumId w:val="28"/>
  </w:num>
  <w:num w:numId="25">
    <w:abstractNumId w:val="4"/>
  </w:num>
  <w:num w:numId="26">
    <w:abstractNumId w:val="25"/>
  </w:num>
  <w:num w:numId="27">
    <w:abstractNumId w:val="13"/>
  </w:num>
  <w:num w:numId="28">
    <w:abstractNumId w:val="27"/>
  </w:num>
  <w:num w:numId="29">
    <w:abstractNumId w:val="31"/>
  </w:num>
  <w:num w:numId="30">
    <w:abstractNumId w:val="23"/>
  </w:num>
  <w:num w:numId="31">
    <w:abstractNumId w:val="3"/>
  </w:num>
  <w:num w:numId="32">
    <w:abstractNumId w:val="12"/>
  </w:num>
  <w:num w:numId="33">
    <w:abstractNumId w:val="14"/>
  </w:num>
  <w:num w:numId="34">
    <w:abstractNumId w:val="11"/>
  </w:num>
  <w:num w:numId="35">
    <w:abstractNumId w:val="2"/>
  </w:num>
  <w:num w:numId="36">
    <w:abstractNumId w:val="26"/>
  </w:num>
  <w:num w:numId="37">
    <w:abstractNumId w:val="33"/>
  </w:num>
  <w:num w:numId="38">
    <w:abstractNumId w:val="30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664C"/>
    <w:rsid w:val="00057E69"/>
    <w:rsid w:val="00066BE0"/>
    <w:rsid w:val="00070129"/>
    <w:rsid w:val="00070DC9"/>
    <w:rsid w:val="00080329"/>
    <w:rsid w:val="000A46AB"/>
    <w:rsid w:val="000B1BA1"/>
    <w:rsid w:val="000B252C"/>
    <w:rsid w:val="000B2961"/>
    <w:rsid w:val="000C3C1A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6690A"/>
    <w:rsid w:val="00171D3D"/>
    <w:rsid w:val="0017369E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45CD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47B57"/>
    <w:rsid w:val="00355441"/>
    <w:rsid w:val="00362212"/>
    <w:rsid w:val="0036452C"/>
    <w:rsid w:val="00391A1E"/>
    <w:rsid w:val="003961BC"/>
    <w:rsid w:val="003974CA"/>
    <w:rsid w:val="003B22E0"/>
    <w:rsid w:val="003B28F4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72E0C"/>
    <w:rsid w:val="00482574"/>
    <w:rsid w:val="00484634"/>
    <w:rsid w:val="00487167"/>
    <w:rsid w:val="00487CB2"/>
    <w:rsid w:val="0049510B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4152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18BA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0F0D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6C6B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25633"/>
    <w:rsid w:val="00832FF0"/>
    <w:rsid w:val="0084070B"/>
    <w:rsid w:val="00861401"/>
    <w:rsid w:val="00861803"/>
    <w:rsid w:val="00867392"/>
    <w:rsid w:val="00884A8C"/>
    <w:rsid w:val="00890711"/>
    <w:rsid w:val="008A1671"/>
    <w:rsid w:val="008A2E88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E6C3E"/>
    <w:rsid w:val="008F7BD4"/>
    <w:rsid w:val="009008CC"/>
    <w:rsid w:val="00925C6F"/>
    <w:rsid w:val="0093379F"/>
    <w:rsid w:val="00936967"/>
    <w:rsid w:val="00940C7E"/>
    <w:rsid w:val="00945CB3"/>
    <w:rsid w:val="0095092B"/>
    <w:rsid w:val="0095296D"/>
    <w:rsid w:val="00952C06"/>
    <w:rsid w:val="0095638F"/>
    <w:rsid w:val="00967EF0"/>
    <w:rsid w:val="0099077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28AA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BCE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14F57"/>
    <w:rsid w:val="00B23F82"/>
    <w:rsid w:val="00B46883"/>
    <w:rsid w:val="00B46A21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C4CF8"/>
    <w:rsid w:val="00BD2F98"/>
    <w:rsid w:val="00BD55A8"/>
    <w:rsid w:val="00BF1944"/>
    <w:rsid w:val="00BF51A4"/>
    <w:rsid w:val="00C035C7"/>
    <w:rsid w:val="00C0603C"/>
    <w:rsid w:val="00C1502E"/>
    <w:rsid w:val="00C15E63"/>
    <w:rsid w:val="00C20AE6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56E1"/>
    <w:rsid w:val="00D30075"/>
    <w:rsid w:val="00D319A0"/>
    <w:rsid w:val="00D33FB2"/>
    <w:rsid w:val="00D343DA"/>
    <w:rsid w:val="00D35100"/>
    <w:rsid w:val="00D36D54"/>
    <w:rsid w:val="00D404F7"/>
    <w:rsid w:val="00D47EBF"/>
    <w:rsid w:val="00D65F08"/>
    <w:rsid w:val="00D82CA0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DF3E8C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400B"/>
    <w:rsid w:val="00E81C52"/>
    <w:rsid w:val="00E90529"/>
    <w:rsid w:val="00EB5BB2"/>
    <w:rsid w:val="00ED17D4"/>
    <w:rsid w:val="00ED7779"/>
    <w:rsid w:val="00EE2A3E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E22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nhideWhenUsed/>
    <w:qFormat/>
    <w:locked/>
    <w:rsid w:val="00EE2A3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nhideWhenUsed/>
    <w:qFormat/>
    <w:locked/>
    <w:rsid w:val="00EE2A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qFormat/>
    <w:locked/>
    <w:rsid w:val="00D36D54"/>
    <w:pPr>
      <w:tabs>
        <w:tab w:val="num" w:pos="1008"/>
      </w:tabs>
      <w:spacing w:before="240" w:after="60"/>
      <w:ind w:left="1008" w:hanging="1008"/>
      <w:jc w:val="both"/>
      <w:outlineLvl w:val="4"/>
    </w:pPr>
    <w:rPr>
      <w:rFonts w:ascii="Verdana" w:hAnsi="Verdana"/>
      <w:b/>
      <w:bCs/>
      <w:i/>
      <w:iCs/>
      <w:sz w:val="17"/>
      <w:szCs w:val="26"/>
      <w:lang w:eastAsia="en-US"/>
    </w:rPr>
  </w:style>
  <w:style w:type="paragraph" w:styleId="Nadpis6">
    <w:name w:val="heading 6"/>
    <w:basedOn w:val="Normlny"/>
    <w:next w:val="Normlny"/>
    <w:link w:val="Nadpis6Char"/>
    <w:qFormat/>
    <w:locked/>
    <w:rsid w:val="00D36D54"/>
    <w:pPr>
      <w:tabs>
        <w:tab w:val="num" w:pos="1152"/>
      </w:tabs>
      <w:spacing w:before="240" w:after="60"/>
      <w:ind w:left="1152" w:hanging="1152"/>
      <w:jc w:val="both"/>
      <w:outlineLvl w:val="5"/>
    </w:pPr>
    <w:rPr>
      <w:rFonts w:ascii="Verdana" w:hAnsi="Verdana"/>
      <w:b/>
      <w:bCs/>
      <w:sz w:val="17"/>
      <w:szCs w:val="22"/>
      <w:lang w:eastAsia="en-US"/>
    </w:rPr>
  </w:style>
  <w:style w:type="paragraph" w:styleId="Nadpis7">
    <w:name w:val="heading 7"/>
    <w:basedOn w:val="Normlny"/>
    <w:next w:val="Normlny"/>
    <w:link w:val="Nadpis7Char"/>
    <w:qFormat/>
    <w:locked/>
    <w:rsid w:val="00D36D54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locked/>
    <w:rsid w:val="00D36D54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locked/>
    <w:rsid w:val="00D36D54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7400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sid w:val="00E7400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7400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locked/>
    <w:rsid w:val="00E7400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EE2A3E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Nadpis4Char">
    <w:name w:val="Nadpis 4 Char"/>
    <w:basedOn w:val="Predvolenpsmoodseku"/>
    <w:link w:val="Nadpis4"/>
    <w:rsid w:val="00EE2A3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adpis5Char">
    <w:name w:val="Nadpis 5 Char"/>
    <w:basedOn w:val="Predvolenpsmoodseku"/>
    <w:link w:val="Nadpis5"/>
    <w:rsid w:val="00D36D54"/>
    <w:rPr>
      <w:rFonts w:ascii="Verdana" w:hAnsi="Verdana"/>
      <w:b/>
      <w:bCs/>
      <w:i/>
      <w:iCs/>
      <w:sz w:val="17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rsid w:val="00D36D54"/>
    <w:rPr>
      <w:rFonts w:ascii="Verdana" w:hAnsi="Verdana"/>
      <w:b/>
      <w:bCs/>
      <w:sz w:val="17"/>
      <w:szCs w:val="22"/>
      <w:lang w:eastAsia="en-US"/>
    </w:rPr>
  </w:style>
  <w:style w:type="character" w:customStyle="1" w:styleId="Nadpis7Char">
    <w:name w:val="Nadpis 7 Char"/>
    <w:basedOn w:val="Predvolenpsmoodseku"/>
    <w:link w:val="Nadpis7"/>
    <w:rsid w:val="00D36D54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D36D54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D36D54"/>
    <w:rPr>
      <w:rFonts w:ascii="Verdana" w:hAnsi="Verdana" w:cs="Arial"/>
      <w:sz w:val="17"/>
      <w:szCs w:val="22"/>
      <w:lang w:eastAsia="en-US"/>
    </w:rPr>
  </w:style>
  <w:style w:type="numbering" w:customStyle="1" w:styleId="Bezzoznamu1">
    <w:name w:val="Bez zoznamu1"/>
    <w:next w:val="Bezzoznamu"/>
    <w:semiHidden/>
    <w:unhideWhenUsed/>
    <w:rsid w:val="00D36D54"/>
  </w:style>
  <w:style w:type="table" w:customStyle="1" w:styleId="Mriekatabuky1">
    <w:name w:val="Mriežka tabuľky1"/>
    <w:basedOn w:val="Normlnatabuka"/>
    <w:next w:val="Mriekatabuky"/>
    <w:rsid w:val="00D36D54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0">
    <w:name w:val="Body Text"/>
    <w:basedOn w:val="Normlny"/>
    <w:link w:val="ZkladntextChar"/>
    <w:rsid w:val="00D36D54"/>
    <w:pPr>
      <w:jc w:val="both"/>
    </w:pPr>
    <w:rPr>
      <w:rFonts w:ascii="Verdana" w:hAnsi="Verdana"/>
      <w:snapToGrid w:val="0"/>
      <w:szCs w:val="20"/>
      <w:lang w:val="cs-CZ"/>
    </w:rPr>
  </w:style>
  <w:style w:type="character" w:customStyle="1" w:styleId="ZkladntextChar">
    <w:name w:val="Základný text Char"/>
    <w:basedOn w:val="Predvolenpsmoodseku"/>
    <w:link w:val="Zkladntext0"/>
    <w:rsid w:val="00D36D54"/>
    <w:rPr>
      <w:rFonts w:ascii="Verdana" w:hAnsi="Verdana"/>
      <w:snapToGrid w:val="0"/>
      <w:sz w:val="24"/>
      <w:lang w:val="cs-CZ"/>
    </w:rPr>
  </w:style>
  <w:style w:type="paragraph" w:styleId="Textbubliny">
    <w:name w:val="Balloon Text"/>
    <w:basedOn w:val="Normlny"/>
    <w:link w:val="TextbublinyChar"/>
    <w:rsid w:val="00D36D54"/>
    <w:pPr>
      <w:jc w:val="both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D36D54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rsid w:val="00D36D54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D36D54"/>
    <w:pPr>
      <w:jc w:val="both"/>
    </w:pPr>
    <w:rPr>
      <w:rFonts w:ascii="Verdana" w:hAnsi="Verdana"/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rsid w:val="00D36D54"/>
    <w:rPr>
      <w:rFonts w:ascii="Verdana" w:hAnsi="Verdana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D36D5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D36D54"/>
    <w:rPr>
      <w:rFonts w:ascii="Verdana" w:hAnsi="Verdana"/>
      <w:b/>
      <w:bCs/>
      <w:lang w:eastAsia="en-US"/>
    </w:rPr>
  </w:style>
  <w:style w:type="paragraph" w:customStyle="1" w:styleId="tableheader">
    <w:name w:val="table header"/>
    <w:basedOn w:val="Normlny"/>
    <w:rsid w:val="00D36D54"/>
    <w:pPr>
      <w:jc w:val="center"/>
    </w:pPr>
    <w:rPr>
      <w:rFonts w:ascii="Times New Roman Bold" w:hAnsi="Times New Roman Bold"/>
      <w:b/>
      <w:i/>
      <w:snapToGrid w:val="0"/>
      <w:sz w:val="20"/>
      <w:szCs w:val="20"/>
    </w:rPr>
  </w:style>
  <w:style w:type="paragraph" w:styleId="Revzia">
    <w:name w:val="Revision"/>
    <w:hidden/>
    <w:uiPriority w:val="99"/>
    <w:semiHidden/>
    <w:rsid w:val="00D36D54"/>
    <w:rPr>
      <w:rFonts w:ascii="Verdana" w:hAnsi="Verdana"/>
      <w:sz w:val="17"/>
      <w:lang w:eastAsia="en-US"/>
    </w:rPr>
  </w:style>
  <w:style w:type="character" w:customStyle="1" w:styleId="ra">
    <w:name w:val="ra"/>
    <w:basedOn w:val="Predvolenpsmoodseku"/>
    <w:rsid w:val="00D36D54"/>
  </w:style>
  <w:style w:type="paragraph" w:styleId="Odsekzoznamu">
    <w:name w:val="List Paragraph"/>
    <w:basedOn w:val="Normlny"/>
    <w:uiPriority w:val="34"/>
    <w:qFormat/>
    <w:rsid w:val="00D36D5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nhideWhenUsed/>
    <w:qFormat/>
    <w:locked/>
    <w:rsid w:val="00EE2A3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nhideWhenUsed/>
    <w:qFormat/>
    <w:locked/>
    <w:rsid w:val="00EE2A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qFormat/>
    <w:locked/>
    <w:rsid w:val="00D36D54"/>
    <w:pPr>
      <w:tabs>
        <w:tab w:val="num" w:pos="1008"/>
      </w:tabs>
      <w:spacing w:before="240" w:after="60"/>
      <w:ind w:left="1008" w:hanging="1008"/>
      <w:jc w:val="both"/>
      <w:outlineLvl w:val="4"/>
    </w:pPr>
    <w:rPr>
      <w:rFonts w:ascii="Verdana" w:hAnsi="Verdana"/>
      <w:b/>
      <w:bCs/>
      <w:i/>
      <w:iCs/>
      <w:sz w:val="17"/>
      <w:szCs w:val="26"/>
      <w:lang w:eastAsia="en-US"/>
    </w:rPr>
  </w:style>
  <w:style w:type="paragraph" w:styleId="Nadpis6">
    <w:name w:val="heading 6"/>
    <w:basedOn w:val="Normlny"/>
    <w:next w:val="Normlny"/>
    <w:link w:val="Nadpis6Char"/>
    <w:qFormat/>
    <w:locked/>
    <w:rsid w:val="00D36D54"/>
    <w:pPr>
      <w:tabs>
        <w:tab w:val="num" w:pos="1152"/>
      </w:tabs>
      <w:spacing w:before="240" w:after="60"/>
      <w:ind w:left="1152" w:hanging="1152"/>
      <w:jc w:val="both"/>
      <w:outlineLvl w:val="5"/>
    </w:pPr>
    <w:rPr>
      <w:rFonts w:ascii="Verdana" w:hAnsi="Verdana"/>
      <w:b/>
      <w:bCs/>
      <w:sz w:val="17"/>
      <w:szCs w:val="22"/>
      <w:lang w:eastAsia="en-US"/>
    </w:rPr>
  </w:style>
  <w:style w:type="paragraph" w:styleId="Nadpis7">
    <w:name w:val="heading 7"/>
    <w:basedOn w:val="Normlny"/>
    <w:next w:val="Normlny"/>
    <w:link w:val="Nadpis7Char"/>
    <w:qFormat/>
    <w:locked/>
    <w:rsid w:val="00D36D54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locked/>
    <w:rsid w:val="00D36D54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locked/>
    <w:rsid w:val="00D36D54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7400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sid w:val="00E7400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7400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locked/>
    <w:rsid w:val="00E7400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EE2A3E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Nadpis4Char">
    <w:name w:val="Nadpis 4 Char"/>
    <w:basedOn w:val="Predvolenpsmoodseku"/>
    <w:link w:val="Nadpis4"/>
    <w:rsid w:val="00EE2A3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adpis5Char">
    <w:name w:val="Nadpis 5 Char"/>
    <w:basedOn w:val="Predvolenpsmoodseku"/>
    <w:link w:val="Nadpis5"/>
    <w:rsid w:val="00D36D54"/>
    <w:rPr>
      <w:rFonts w:ascii="Verdana" w:hAnsi="Verdana"/>
      <w:b/>
      <w:bCs/>
      <w:i/>
      <w:iCs/>
      <w:sz w:val="17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rsid w:val="00D36D54"/>
    <w:rPr>
      <w:rFonts w:ascii="Verdana" w:hAnsi="Verdana"/>
      <w:b/>
      <w:bCs/>
      <w:sz w:val="17"/>
      <w:szCs w:val="22"/>
      <w:lang w:eastAsia="en-US"/>
    </w:rPr>
  </w:style>
  <w:style w:type="character" w:customStyle="1" w:styleId="Nadpis7Char">
    <w:name w:val="Nadpis 7 Char"/>
    <w:basedOn w:val="Predvolenpsmoodseku"/>
    <w:link w:val="Nadpis7"/>
    <w:rsid w:val="00D36D54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D36D54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D36D54"/>
    <w:rPr>
      <w:rFonts w:ascii="Verdana" w:hAnsi="Verdana" w:cs="Arial"/>
      <w:sz w:val="17"/>
      <w:szCs w:val="22"/>
      <w:lang w:eastAsia="en-US"/>
    </w:rPr>
  </w:style>
  <w:style w:type="numbering" w:customStyle="1" w:styleId="Bezzoznamu1">
    <w:name w:val="Bez zoznamu1"/>
    <w:next w:val="Bezzoznamu"/>
    <w:semiHidden/>
    <w:unhideWhenUsed/>
    <w:rsid w:val="00D36D54"/>
  </w:style>
  <w:style w:type="table" w:customStyle="1" w:styleId="Mriekatabuky1">
    <w:name w:val="Mriežka tabuľky1"/>
    <w:basedOn w:val="Normlnatabuka"/>
    <w:next w:val="Mriekatabuky"/>
    <w:rsid w:val="00D36D54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0">
    <w:name w:val="Body Text"/>
    <w:basedOn w:val="Normlny"/>
    <w:link w:val="ZkladntextChar"/>
    <w:rsid w:val="00D36D54"/>
    <w:pPr>
      <w:jc w:val="both"/>
    </w:pPr>
    <w:rPr>
      <w:rFonts w:ascii="Verdana" w:hAnsi="Verdana"/>
      <w:snapToGrid w:val="0"/>
      <w:szCs w:val="20"/>
      <w:lang w:val="cs-CZ"/>
    </w:rPr>
  </w:style>
  <w:style w:type="character" w:customStyle="1" w:styleId="ZkladntextChar">
    <w:name w:val="Základný text Char"/>
    <w:basedOn w:val="Predvolenpsmoodseku"/>
    <w:link w:val="Zkladntext0"/>
    <w:rsid w:val="00D36D54"/>
    <w:rPr>
      <w:rFonts w:ascii="Verdana" w:hAnsi="Verdana"/>
      <w:snapToGrid w:val="0"/>
      <w:sz w:val="24"/>
      <w:lang w:val="cs-CZ"/>
    </w:rPr>
  </w:style>
  <w:style w:type="paragraph" w:styleId="Textbubliny">
    <w:name w:val="Balloon Text"/>
    <w:basedOn w:val="Normlny"/>
    <w:link w:val="TextbublinyChar"/>
    <w:rsid w:val="00D36D54"/>
    <w:pPr>
      <w:jc w:val="both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D36D54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rsid w:val="00D36D54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D36D54"/>
    <w:pPr>
      <w:jc w:val="both"/>
    </w:pPr>
    <w:rPr>
      <w:rFonts w:ascii="Verdana" w:hAnsi="Verdana"/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rsid w:val="00D36D54"/>
    <w:rPr>
      <w:rFonts w:ascii="Verdana" w:hAnsi="Verdana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D36D5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D36D54"/>
    <w:rPr>
      <w:rFonts w:ascii="Verdana" w:hAnsi="Verdana"/>
      <w:b/>
      <w:bCs/>
      <w:lang w:eastAsia="en-US"/>
    </w:rPr>
  </w:style>
  <w:style w:type="paragraph" w:customStyle="1" w:styleId="tableheader">
    <w:name w:val="table header"/>
    <w:basedOn w:val="Normlny"/>
    <w:rsid w:val="00D36D54"/>
    <w:pPr>
      <w:jc w:val="center"/>
    </w:pPr>
    <w:rPr>
      <w:rFonts w:ascii="Times New Roman Bold" w:hAnsi="Times New Roman Bold"/>
      <w:b/>
      <w:i/>
      <w:snapToGrid w:val="0"/>
      <w:sz w:val="20"/>
      <w:szCs w:val="20"/>
    </w:rPr>
  </w:style>
  <w:style w:type="paragraph" w:styleId="Revzia">
    <w:name w:val="Revision"/>
    <w:hidden/>
    <w:uiPriority w:val="99"/>
    <w:semiHidden/>
    <w:rsid w:val="00D36D54"/>
    <w:rPr>
      <w:rFonts w:ascii="Verdana" w:hAnsi="Verdana"/>
      <w:sz w:val="17"/>
      <w:lang w:eastAsia="en-US"/>
    </w:rPr>
  </w:style>
  <w:style w:type="character" w:customStyle="1" w:styleId="ra">
    <w:name w:val="ra"/>
    <w:basedOn w:val="Predvolenpsmoodseku"/>
    <w:rsid w:val="00D36D54"/>
  </w:style>
  <w:style w:type="paragraph" w:styleId="Odsekzoznamu">
    <w:name w:val="List Paragraph"/>
    <w:basedOn w:val="Normlny"/>
    <w:uiPriority w:val="34"/>
    <w:qFormat/>
    <w:rsid w:val="00D36D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4.xls"/><Relationship Id="rId26" Type="http://schemas.openxmlformats.org/officeDocument/2006/relationships/oleObject" Target="embeddings/Microsoft_Excel_97-2003_Worksheet8.xls"/><Relationship Id="rId39" Type="http://schemas.openxmlformats.org/officeDocument/2006/relationships/image" Target="media/image14.emf"/><Relationship Id="rId21" Type="http://schemas.openxmlformats.org/officeDocument/2006/relationships/image" Target="media/image6.emf"/><Relationship Id="rId34" Type="http://schemas.openxmlformats.org/officeDocument/2006/relationships/oleObject" Target="embeddings/Microsoft_Excel_97-2003_Worksheet11.xls"/><Relationship Id="rId42" Type="http://schemas.openxmlformats.org/officeDocument/2006/relationships/oleObject" Target="embeddings/Microsoft_Excel_97-2003_Worksheet15.xls"/><Relationship Id="rId47" Type="http://schemas.openxmlformats.org/officeDocument/2006/relationships/image" Target="media/image18.emf"/><Relationship Id="rId50" Type="http://schemas.openxmlformats.org/officeDocument/2006/relationships/oleObject" Target="embeddings/Microsoft_Excel_97-2003_Worksheet19.xls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9" Type="http://schemas.openxmlformats.org/officeDocument/2006/relationships/image" Target="media/image10.emf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7.xls"/><Relationship Id="rId32" Type="http://schemas.openxmlformats.org/officeDocument/2006/relationships/header" Target="header2.xml"/><Relationship Id="rId37" Type="http://schemas.openxmlformats.org/officeDocument/2006/relationships/image" Target="media/image13.emf"/><Relationship Id="rId40" Type="http://schemas.openxmlformats.org/officeDocument/2006/relationships/oleObject" Target="embeddings/Microsoft_Excel_97-2003_Worksheet14.xls"/><Relationship Id="rId45" Type="http://schemas.openxmlformats.org/officeDocument/2006/relationships/image" Target="media/image17.emf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23" Type="http://schemas.openxmlformats.org/officeDocument/2006/relationships/image" Target="media/image7.emf"/><Relationship Id="rId28" Type="http://schemas.openxmlformats.org/officeDocument/2006/relationships/oleObject" Target="embeddings/Microsoft_Excel_97-2003_Worksheet9.xls"/><Relationship Id="rId36" Type="http://schemas.openxmlformats.org/officeDocument/2006/relationships/oleObject" Target="embeddings/Microsoft_Excel_97-2003_Worksheet12.xls"/><Relationship Id="rId49" Type="http://schemas.openxmlformats.org/officeDocument/2006/relationships/image" Target="media/image19.emf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5.emf"/><Relationship Id="rId31" Type="http://schemas.openxmlformats.org/officeDocument/2006/relationships/footer" Target="footer2.xml"/><Relationship Id="rId44" Type="http://schemas.openxmlformats.org/officeDocument/2006/relationships/oleObject" Target="embeddings/Microsoft_Excel_97-2003_Worksheet16.xls"/><Relationship Id="rId52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oleObject" Target="embeddings/Microsoft_Excel_97-2003_Worksheet6.xls"/><Relationship Id="rId27" Type="http://schemas.openxmlformats.org/officeDocument/2006/relationships/image" Target="media/image9.emf"/><Relationship Id="rId30" Type="http://schemas.openxmlformats.org/officeDocument/2006/relationships/oleObject" Target="embeddings/Microsoft_Excel_97-2003_Worksheet10.xls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oleObject" Target="embeddings/Microsoft_Excel_97-2003_Worksheet18.xls"/><Relationship Id="rId8" Type="http://schemas.openxmlformats.org/officeDocument/2006/relationships/endnotes" Target="endnotes.xml"/><Relationship Id="rId51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4.emf"/><Relationship Id="rId25" Type="http://schemas.openxmlformats.org/officeDocument/2006/relationships/image" Target="media/image8.emf"/><Relationship Id="rId33" Type="http://schemas.openxmlformats.org/officeDocument/2006/relationships/image" Target="media/image11.emf"/><Relationship Id="rId38" Type="http://schemas.openxmlformats.org/officeDocument/2006/relationships/oleObject" Target="embeddings/Microsoft_Excel_97-2003_Worksheet13.xls"/><Relationship Id="rId46" Type="http://schemas.openxmlformats.org/officeDocument/2006/relationships/oleObject" Target="embeddings/Microsoft_Excel_97-2003_Worksheet17.xls"/><Relationship Id="rId20" Type="http://schemas.openxmlformats.org/officeDocument/2006/relationships/oleObject" Target="embeddings/Microsoft_Excel_97-2003_Worksheet5.xls"/><Relationship Id="rId41" Type="http://schemas.openxmlformats.org/officeDocument/2006/relationships/image" Target="media/image15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8E6D3A-A5D5-42E8-B9D6-C568BD23A1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4286</Words>
  <Characters>24436</Characters>
  <Application>Microsoft Office Word</Application>
  <DocSecurity>0</DocSecurity>
  <Lines>203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28665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Margit Dubjelova</cp:lastModifiedBy>
  <cp:revision>2</cp:revision>
  <cp:lastPrinted>2010-04-22T15:02:00Z</cp:lastPrinted>
  <dcterms:created xsi:type="dcterms:W3CDTF">2014-03-15T18:59:00Z</dcterms:created>
  <dcterms:modified xsi:type="dcterms:W3CDTF">2014-03-15T18:59:00Z</dcterms:modified>
</cp:coreProperties>
</file>