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AVEFLOR SK, s.r.o.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Pezinská 18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901 01 Malacky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  <w:t xml:space="preserve">ČO: 36793221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  <w:t xml:space="preserve">Poznámky 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  <w:t xml:space="preserve">k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  <w:t xml:space="preserve">čtovnej závierke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  <w:t xml:space="preserve">k 31.12.2013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Poznámky sú vyplnené v celých EUR s výnimkou údajov v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časti J – údaje z daňového priznania.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A. 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JEDNOTKE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"/>
        </w:numPr>
        <w:tabs>
          <w:tab w:val="left" w:pos="3600" w:leader="none"/>
        </w:tabs>
        <w:suppressAutoHyphens w:val="true"/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 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AVEFLOR SK, s.r.o.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Vajnorská 100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831 04  Bratislava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ČO: 36793221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AVEFLOR SK, s.r.o.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(ďalej len „Spoločnosť“) bola do obchodného registra zapísaná 19.6.2007 (Obchodný register Obvodného súdu Bratislava I v Bratislave, oddiel Sro, vložka 46541/B). Identifikačné číslo organizácie (IČO) je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36793221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8"/>
        </w:numPr>
        <w:tabs>
          <w:tab w:val="left" w:pos="3600" w:leader="none"/>
        </w:tabs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sú :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konečnému spotrebiteľovi (maloobchod)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iným prevádzkovateľom živnosti (veľkoobchod)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ľská činnosť v rozsahu voľnej živnosti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reklamná, propaga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čná a výstavnícka činnosť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organizovanie kurzov a školení v rozsahu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ľnej živnosti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vydávanie periodických a neperiodických publikácií v rozsahu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ľnej živnosti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poskytovanie software - predaj hotových programov na základe dohody s autorom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automatizované spracovanie údajov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obstarávanie služieb spojených so správou nehnute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ľností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prenájom strojov, prístrojov, zariadení, výpo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čtovej techniky a dopravných prostriedkov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leasingová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v rozsahu voľnej živnosti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administratívne, kopírovacie a rozmnožovacie práce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prieskum trhu a verejnej mienky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podnikate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ľské poradenstvo v rozsahu voľnej živnosti</w:t>
      </w:r>
    </w:p>
    <w:p>
      <w:pPr>
        <w:numPr>
          <w:ilvl w:val="0"/>
          <w:numId w:val="8"/>
        </w:numPr>
        <w:suppressAutoHyphens w:val="true"/>
        <w:spacing w:before="0" w:after="0" w:line="240"/>
        <w:ind w:right="0" w:left="2289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organizačných a ekonomických poradcov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1"/>
        </w:numPr>
        <w:tabs>
          <w:tab w:val="left" w:pos="3600" w:leader="none"/>
        </w:tabs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Priemerný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čet zamestnancov Spoločnosti v roku 2013 -  2.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"/>
        </w:numPr>
        <w:tabs>
          <w:tab w:val="left" w:pos="3600" w:leader="none"/>
        </w:tabs>
        <w:suppressAutoHyphens w:val="true"/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čtovná závierka Spoločnosti k 31. decembru 2012 je zostavená ako riadna účtovná závierka podľa § 17 ods. 6 zákona NR SR č. 431/2002 Z. z. o účtovníctve, za účtovné obdobie od 1.1. 2013 do 31. decembra 2013.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B. INFORMÁCIE O ORGÁNOCH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ľ:</w:t>
        <w:tab/>
        <w:tab/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Ján Zubatý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Argonská 470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Ji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čín 506 01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Česko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Vznik funkcie: 23.08.2007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ľ:</w:t>
        <w:tab/>
        <w:tab/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  <w:tab/>
        <w:t xml:space="preserve">Ing. Emil Andrej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čák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Rovná 12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Stupava 900 31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Vznik funkcie: 01.07.2011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C. INFORMÁCIE 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ČNÍKOCH ÚČTOVNEJ JEDNOTKY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 xml:space="preserve">Štruktúra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čníkov Spoločnosti 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AVEFLOR, a.s.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Vklad: 72 500 EUR Splatené: 72 500 EUR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Ing. Emil Andrej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čák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Vklad: 72 500 EUR Splatené: 72 500 EUR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Základné imanie sa v priebehu roka 2013 nemenilo.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D. INFORMÁCIE O KONSOLIDOVANOM CELKU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sa nezahrňuje do žiadnej konsolidovanej účtovnej závierky, nie je spoločníkom žiadnej inej Spoločnosti.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E. 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ČTOVNÝCH ZÁSADÁCH a ÚČTOVNÝCH METÓDACH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a/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čtovná závierka bola zostavená za predpokladu nepretržitého trvania spoločnosti.     </w:t>
      </w:r>
    </w:p>
    <w:p>
      <w:pPr>
        <w:suppressAutoHyphens w:val="true"/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čtovné metódy a všeobecné účtovné zásady neboli počas účtovného obdobia menené.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b/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nehmotný a dlhodobý hmotný majetok</w:t>
      </w:r>
    </w:p>
    <w:p>
      <w:pPr>
        <w:suppressAutoHyphens w:val="true"/>
        <w:spacing w:before="0" w:after="0" w:line="240"/>
        <w:ind w:right="0" w:left="754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obstarávacou cenou, ktorá zahŕňa cenu obstarania a náklady súvisiace      s obstaraním – clo, preprava, montáž poistné. Súčasťou obstarávacej ceny dlhodobého nehmotného majetku nie    sú úroky z cudzích zdrojov. Súčasťou obstarávacej ceny dlhodobého  hmotného majetku nie sú úroky z cudzích  zdrojov ani realizované kurzové rozdiely. Dlhodobý hmotný a dlhodobý nehmotný majetok obstaraný zámenou  sa oceňuje reálnou hodnotou.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nehmotného majetku sú stanovené vychádzajúc z predpokladanej doby jeho používania.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začína prvým dňom mesiaca nasledujúceho po uvedení dlhodobého majetku do používania.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 dlhodobom nehmotnom  majetku, ktorého obstarávacia cena je 2 400 EUR a menej,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priamo do nákladov. 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 predpokladanej doby jeho používania a   predpokladaného 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začína prvým dňom  mesiaca nasledujúceho po uvedení dlhodobého majetku do používania. Odpisy účtovné sú zhodné  s daňovými odpismi. O dlhodobom hmotnom majetku, ktorého obstarávacia cena je  1 700 EUR a nižšia, sa účtuje priamo do nákladov. 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čtovná jednotka účtuje o zásobách tovaru.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c/</w:t>
        <w:tab/>
        <w:t xml:space="preserve">Cenné papiere a podiely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 roku 2013 neúčtovala o cenných papieroch a podieloch.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d/</w:t>
        <w:tab/>
        <w:t xml:space="preserve">Zásoby 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čtovná jednotka v roku 2013 účtuje o zásobách tovaru. Výška zásob bola overená fyzickou inventúrou, ktorá sa prevádzala k 31. 12. 2013. Rozdiely boli preúčtované v účtovnej uzávierke roku 2013. 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e/</w:t>
        <w:tab/>
        <w:tab/>
        <w:t xml:space="preserve">Zákazková výroba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neuskutočňuje zákazkovú výrobu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f/</w:t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ľadávky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ľadávky sa pri ich vzniku oceňujú ich menovitou hodnotou; postúpené pohľadávky sa oceňujú obstarávacou cenou, vrátane nákladov súvisiacich s obstaraním. Toto ocenenie sa znižuje o pochybné a nevymožiteľné pohľadávky prostredníctvom opravných položiek.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g/</w:t>
        <w:tab/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ňažné prostriedky a ceniny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ňažné prostriedky a ceniny sa oceňujú ich menovitou hodnotou. Zníženie ich hodnoty sa vyjadruje opravnou položkou.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h/</w:t>
        <w:tab/>
        <w:t xml:space="preserve">Náklady budúcich období a príjmy budúcich období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výške, ktorá je potrebná na dodržanie zásady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súvislosti s účtovným obdobím.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i/</w:t>
        <w:tab/>
        <w:tab/>
        <w:t xml:space="preserve">Rezervy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čitým časovým vymedzením alebo výškou, tvoria sa na krytie známych rizík alebo strát z podnikania. Oceňujú sa v očakávanej výške záväzku.</w:t>
      </w:r>
    </w:p>
    <w:p>
      <w:pPr>
        <w:tabs>
          <w:tab w:val="left" w:pos="294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j/</w:t>
        <w:tab/>
        <w:t xml:space="preserve">  </w:t>
        <w:tab/>
        <w:t xml:space="preserve">Záväzky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ňujú menovitou hodnotou.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k/</w:t>
        <w:tab/>
        <w:tab/>
        <w:t xml:space="preserve">Odložená 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neúčtuje o odloženej dani.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l/</w:t>
        <w:tab/>
        <w:tab/>
        <w:t xml:space="preserve">Výdavky budúcich období a výnosy budúcich období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výške, ktorá je potrebná na dodržanie zásady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súvislosti s účtovným obdobím.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m/</w:t>
        <w:tab/>
        <w:tab/>
        <w:t xml:space="preserve">Leasing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nemá prenajatý majetok na základe finančného leasingu 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n/</w:t>
        <w:tab/>
        <w:tab/>
        <w:t xml:space="preserve">Deriváty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neúčtuje o derivátoch.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o/</w:t>
        <w:tab/>
        <w:tab/>
        <w:t xml:space="preserve">Majetok a záväzky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čené derivátmi</w:t>
      </w:r>
    </w:p>
    <w:p>
      <w:pPr>
        <w:suppressAutoHyphens w:val="true"/>
        <w:spacing w:before="0" w:after="0" w:line="240"/>
        <w:ind w:right="0" w:left="426" w:firstLine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nemá majetok a záväzky zabezpečené derivátmi.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p/</w:t>
        <w:tab/>
        <w:tab/>
        <w:t xml:space="preserve">Cudzia mena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 záväzky vyjadrené v cudzej mene sa 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čítavajú na eurá referenčným výmenným kurzom určeným a vyhláseným Európskou  centrálnou bankou alebo NBS v deň predchádzajúci dňu uskutočnenia účtovného prípadu alebo v iný deň, ak to ustanovuje osobitný predpis a v deň, ku ktorému sa zostavuje účtovná závierka. Pri-   jaté a poskytnuté preddavky v cudzej mene sa ku dňu, ku ktorému sa zostavuje účtovná závierka, neprepočítavajú na eurá, ale zostávajú ocenené v pôvodnom ocenení ako pri svojom vzniku.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q/</w:t>
        <w:tab/>
        <w:tab/>
        <w:t xml:space="preserve">Výnosy</w:t>
      </w:r>
    </w:p>
    <w:p>
      <w:pPr>
        <w:suppressAutoHyphens w:val="true"/>
        <w:spacing w:before="0" w:after="0" w:line="240"/>
        <w:ind w:right="0" w:left="709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Tržby za vlastné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Sú tiež znížené o zľavy a zrážky (rabaty, bonusy, skontá, dobropisy a pod.) bez ohľadu na to, či zákazník mal vopred na zľavu nárok, alebo či ide o dodatočne uznanú zľavu.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údajoch  na strane aktív súvahy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0"/>
        </w:numPr>
        <w:tabs>
          <w:tab w:val="left" w:pos="10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Dlhodobý nehmotný majetok a dlhodobý hmotný majetok </w:t>
      </w:r>
    </w:p>
    <w:p>
      <w:pPr>
        <w:tabs>
          <w:tab w:val="left" w:pos="1843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 roku 2013 nenakupovala dlhodobý hmotný majetok.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 </w:t>
        <w:tab/>
        <w:t xml:space="preserve">Dlhodobý 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čný majetok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– spoločnosť neúčtuje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</w:p>
    <w:p>
      <w:pPr>
        <w:suppressAutoHyphens w:val="true"/>
        <w:spacing w:before="0" w:after="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</w:t>
        <w:tab/>
        <w:t xml:space="preserve">Zásoby 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čtovná jednotka v roku 2013 nakupovala zásoby. Zásoby podliehajú inventarizácii zásob raz za rok. Inventúry sa prevádzajú k 31. 12. daného roku.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4. </w:t>
        <w:tab/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ľadávky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ab/>
        <w:t xml:space="preserve">V roku 2013 neboli tvorené žiadne opravné položky.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ab/>
        <w:t xml:space="preserve">Veková štruktúra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ľadávok je uvedená v nasledujúcej tabuľke: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3104"/>
        <w:gridCol w:w="2424"/>
        <w:gridCol w:w="2085"/>
      </w:tblGrid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</w:t>
            </w:r>
          </w:p>
        </w:tc>
        <w:tc>
          <w:tcPr>
            <w:tcW w:w="24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2013 v EUR</w:t>
            </w:r>
          </w:p>
        </w:tc>
        <w:tc>
          <w:tcPr>
            <w:tcW w:w="2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2012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v lehote splatnosti</w:t>
            </w:r>
          </w:p>
        </w:tc>
        <w:tc>
          <w:tcPr>
            <w:tcW w:w="24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64349,00</w:t>
            </w:r>
          </w:p>
        </w:tc>
        <w:tc>
          <w:tcPr>
            <w:tcW w:w="2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32396,00</w:t>
            </w:r>
          </w:p>
        </w:tc>
      </w:tr>
      <w:tr>
        <w:trPr>
          <w:trHeight w:val="1" w:hRule="atLeast"/>
          <w:jc w:val="left"/>
        </w:trPr>
        <w:tc>
          <w:tcPr>
            <w:tcW w:w="31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ľadávky po lehote splatnosti</w:t>
            </w:r>
          </w:p>
        </w:tc>
        <w:tc>
          <w:tcPr>
            <w:tcW w:w="24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7"/>
        </w:numPr>
        <w:tabs>
          <w:tab w:val="left" w:pos="720" w:leader="none"/>
          <w:tab w:val="left" w:pos="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čné účty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Ako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čné účty sú vykázané peniaze v pokladnici, účty v bankách a ceniny. Účtami v bankách  môže Spoločnosť voľne disponovať.</w:t>
      </w:r>
    </w:p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3118"/>
        <w:gridCol w:w="2410"/>
        <w:gridCol w:w="2126"/>
      </w:tblGrid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2013 v EUR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2012</w:t>
            </w:r>
          </w:p>
        </w:tc>
      </w:tr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975,00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231,00</w:t>
            </w:r>
          </w:p>
        </w:tc>
      </w:tr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čet v banke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9097,00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14011,00</w:t>
            </w:r>
          </w:p>
        </w:tc>
      </w:tr>
    </w:tbl>
    <w:p>
      <w:pPr>
        <w:suppressAutoHyphens w:val="true"/>
        <w:spacing w:before="0" w:after="0" w:line="240"/>
        <w:ind w:right="0" w:left="705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6.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Časové rozlíšenie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</w: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 príjmy budúcich období sa vykazujú vo výške, ktorá je potrebná na dodržanie vecnej zásady a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súvislosti s účtovným obdobím </w:t>
      </w: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Časové rozlíšenie nákladov týkajúcich sa nasledovného zdaňovacieho obdobia:</w:t>
      </w: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3544"/>
        <w:gridCol w:w="1984"/>
        <w:gridCol w:w="2126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 – Náklady budúcich období r.2013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2013 v EUR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 31.12. 2011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 -Výdavky budúcich období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106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47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106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47</w:t>
            </w:r>
          </w:p>
        </w:tc>
      </w:tr>
    </w:tbl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G.  Informácie o údajoch na strane pasív súvahy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1. </w:t>
        <w:tab/>
        <w:t xml:space="preserve">Vlastné imanie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Informácie o vlastnom  imaní sú uvedené v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časti C. 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 </w:t>
        <w:tab/>
        <w:t xml:space="preserve">Rezervy</w:t>
      </w: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čitým časovým vymedzením alebo výškou. Tvoria sa na krytie známych rizík alebo strát z podnikania. Oceňujú sa v očakávanej výške záväzku.</w:t>
      </w:r>
    </w:p>
    <w:p>
      <w:pPr>
        <w:suppressAutoHyphens w:val="true"/>
        <w:spacing w:before="0" w:after="0" w:line="240"/>
        <w:ind w:right="0" w:left="705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</w:t>
        <w:tab/>
        <w:tab/>
        <w:t xml:space="preserve">Záväzky</w:t>
        <w:tab/>
      </w:r>
    </w:p>
    <w:p>
      <w:pPr>
        <w:suppressAutoHyphens w:val="true"/>
        <w:spacing w:before="0" w:after="0" w:line="240"/>
        <w:ind w:right="0" w:left="426" w:firstLine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Štruktúra záväzkov (okrem bankových úverov)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zostatkovej doby splatnosti je uvedená v nasledujúcej tabuľke:</w:t>
      </w:r>
    </w:p>
    <w:p>
      <w:pPr>
        <w:suppressAutoHyphens w:val="true"/>
        <w:spacing w:before="0" w:after="0" w:line="240"/>
        <w:ind w:right="0" w:left="426" w:firstLine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2678"/>
        <w:gridCol w:w="2283"/>
        <w:gridCol w:w="2835"/>
      </w:tblGrid>
      <w:tr>
        <w:trPr>
          <w:trHeight w:val="1" w:hRule="atLeast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Štruktúra záväzkov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k 31.12.2012 v EUR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k 31.12.2013</w:t>
            </w:r>
          </w:p>
        </w:tc>
      </w:tr>
      <w:tr>
        <w:trPr>
          <w:trHeight w:val="1" w:hRule="atLeast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 obchodného styku 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401 143,93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402604,00</w:t>
            </w:r>
          </w:p>
        </w:tc>
      </w:tr>
      <w:tr>
        <w:trPr>
          <w:trHeight w:val="1" w:hRule="atLeast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či zamestnancom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821,71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1489,00</w:t>
            </w:r>
          </w:p>
        </w:tc>
      </w:tr>
      <w:tr>
        <w:trPr>
          <w:trHeight w:val="1" w:hRule="atLeast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zo soc. poistenia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1 426,33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1153</w:t>
            </w:r>
          </w:p>
        </w:tc>
      </w:tr>
      <w:tr>
        <w:trPr>
          <w:trHeight w:val="214" w:hRule="auto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 záväzky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526,10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5962,00</w:t>
            </w:r>
          </w:p>
        </w:tc>
      </w:tr>
      <w:tr>
        <w:trPr>
          <w:trHeight w:val="277" w:hRule="auto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vo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či spoločníkovi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48 285,60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48 285,60</w:t>
            </w:r>
          </w:p>
        </w:tc>
      </w:tr>
      <w:tr>
        <w:trPr>
          <w:trHeight w:val="277" w:hRule="auto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Nevyfakturované dodávky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216,79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2229,00</w:t>
            </w:r>
          </w:p>
        </w:tc>
      </w:tr>
      <w:tr>
        <w:trPr>
          <w:trHeight w:val="277" w:hRule="auto"/>
          <w:jc w:val="left"/>
        </w:trPr>
        <w:tc>
          <w:tcPr>
            <w:tcW w:w="26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2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452 420,46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461722</w:t>
            </w:r>
          </w:p>
        </w:tc>
      </w:tr>
    </w:tbl>
    <w:p>
      <w:pPr>
        <w:tabs>
          <w:tab w:val="left" w:pos="1843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4. </w:t>
        <w:tab/>
        <w:t xml:space="preserve">Odložená da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ňová pohľadávka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neúčtuje o odloženej daňovej pohľadávke.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5. </w:t>
        <w:tab/>
        <w:t xml:space="preserve">Sociálny fond</w:t>
      </w:r>
    </w:p>
    <w:p>
      <w:pPr>
        <w:numPr>
          <w:ilvl w:val="0"/>
          <w:numId w:val="132"/>
        </w:numPr>
        <w:tabs>
          <w:tab w:val="left" w:pos="72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  <w:t xml:space="preserve">Bankové úvery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nemá žiadne bankové úvery.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H.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výnosoch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1. </w:t>
        <w:tab/>
        <w:t xml:space="preserve">Tržby za vlastné výkony a tovar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Tržby za vlastné výkony a tovar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1584"/>
        <w:gridCol w:w="1510"/>
        <w:gridCol w:w="1604"/>
        <w:gridCol w:w="1539"/>
        <w:gridCol w:w="1559"/>
      </w:tblGrid>
      <w:tr>
        <w:trPr>
          <w:trHeight w:val="1" w:hRule="atLeast"/>
          <w:jc w:val="left"/>
        </w:trPr>
        <w:tc>
          <w:tcPr>
            <w:tcW w:w="15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 predaja tovaru a služieb</w:t>
            </w:r>
          </w:p>
        </w:tc>
        <w:tc>
          <w:tcPr>
            <w:tcW w:w="15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 EUR tuzemsko 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2012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 EUR tuzemsko  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2013</w:t>
            </w:r>
          </w:p>
        </w:tc>
        <w:tc>
          <w:tcPr>
            <w:tcW w:w="1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Zahrani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čie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 EUR   2012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Zahrani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čie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Hodnota v EUR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2013</w:t>
            </w:r>
          </w:p>
        </w:tc>
      </w:tr>
      <w:tr>
        <w:trPr>
          <w:trHeight w:val="1" w:hRule="atLeast"/>
          <w:jc w:val="left"/>
        </w:trPr>
        <w:tc>
          <w:tcPr>
            <w:tcW w:w="15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Tovar</w:t>
            </w:r>
          </w:p>
        </w:tc>
        <w:tc>
          <w:tcPr>
            <w:tcW w:w="15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386 991,77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364087,10</w:t>
            </w:r>
          </w:p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5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Služby</w:t>
            </w:r>
          </w:p>
        </w:tc>
        <w:tc>
          <w:tcPr>
            <w:tcW w:w="15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12,05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2291,99</w:t>
            </w:r>
          </w:p>
        </w:tc>
        <w:tc>
          <w:tcPr>
            <w:tcW w:w="1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8 000</w:t>
            </w:r>
          </w:p>
        </w:tc>
      </w:tr>
      <w:tr>
        <w:trPr>
          <w:trHeight w:val="1" w:hRule="atLeast"/>
          <w:jc w:val="left"/>
        </w:trPr>
        <w:tc>
          <w:tcPr>
            <w:tcW w:w="15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Spolu:</w:t>
            </w:r>
          </w:p>
        </w:tc>
        <w:tc>
          <w:tcPr>
            <w:tcW w:w="15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387 003,82</w:t>
            </w:r>
          </w:p>
        </w:tc>
        <w:tc>
          <w:tcPr>
            <w:tcW w:w="1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3663792,09</w:t>
            </w:r>
          </w:p>
        </w:tc>
        <w:tc>
          <w:tcPr>
            <w:tcW w:w="1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426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9 441,55</w:t>
            </w:r>
          </w:p>
        </w:tc>
      </w:tr>
    </w:tbl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</w:t>
        <w:tab/>
        <w:t xml:space="preserve">Zmena stavu zásob vlastnej výroby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nevykazuje stav zásob vlastnej výroby.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</w:t>
        <w:tab/>
        <w:t xml:space="preserve">Kurzové zisky</w:t>
      </w:r>
    </w:p>
    <w:p>
      <w:pPr>
        <w:suppressAutoHyphens w:val="true"/>
        <w:spacing w:before="0" w:after="0" w:line="240"/>
        <w:ind w:right="0" w:left="72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 roku 2013 neúčtuje o kurzových ziskoch.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4. </w:t>
        <w:tab/>
        <w:t xml:space="preserve">Mimoriadne výnosy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 roku 2013 neeviduje žiadne mimoriadne výnosy.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u w:val="single"/>
          <w:shd w:fill="auto" w:val="clear"/>
        </w:rPr>
      </w:pP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 nákladoch</w:t>
      </w:r>
    </w:p>
    <w:p>
      <w:pPr>
        <w:tabs>
          <w:tab w:val="left" w:pos="426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6"/>
        </w:numPr>
        <w:tabs>
          <w:tab w:val="left" w:pos="1080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 Náklady na poskytnuté služby</w:t>
      </w:r>
    </w:p>
    <w:p>
      <w:pPr>
        <w:suppressAutoHyphens w:val="true"/>
        <w:spacing w:before="0" w:after="0" w:line="240"/>
        <w:ind w:right="0" w:left="0" w:firstLine="709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 o nákladoch na poskytnuté služby je znázornený v nasledujúcej tabuľke: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92" w:type="dxa"/>
      </w:tblPr>
      <w:tblGrid>
        <w:gridCol w:w="2977"/>
        <w:gridCol w:w="1984"/>
        <w:gridCol w:w="2693"/>
      </w:tblGrid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    Rok 2012v EUR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    Rok 2013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Nákup tovaru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278 554,88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232 783,10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Nákup materiálu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5 258,32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5 181,21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Služby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165 754,26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69 227,88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Mzdy, odvody, SF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77 900,39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69 137,14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dane, cestná 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90,62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121,77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Odpisy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159,02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náklady na 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čnú činnosť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1542,48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237,43</w:t>
            </w:r>
          </w:p>
        </w:tc>
      </w:tr>
      <w:tr>
        <w:trPr>
          <w:trHeight w:val="1" w:hRule="atLeast"/>
          <w:jc w:val="left"/>
        </w:trPr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SPOLU: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529 100,95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376 847,55</w:t>
            </w:r>
          </w:p>
        </w:tc>
      </w:tr>
    </w:tbl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 </w:t>
        <w:tab/>
        <w:t xml:space="preserve">Kurzové straty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 roku 2013 účtuje o kurzových stratách.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</w:t>
        <w:tab/>
        <w:t xml:space="preserve">Mimoriadne náklady</w:t>
      </w:r>
    </w:p>
    <w:p>
      <w:pPr>
        <w:suppressAutoHyphens w:val="true"/>
        <w:spacing w:before="0" w:after="0" w:line="240"/>
        <w:ind w:right="0" w:left="426" w:firstLine="28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 roku 2012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nevznikli mimoriadne náklady. 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J.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daniach z príjmov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tbl>
      <w:tblPr>
        <w:tblInd w:w="392" w:type="dxa"/>
      </w:tblPr>
      <w:tblGrid>
        <w:gridCol w:w="3118"/>
        <w:gridCol w:w="1276"/>
        <w:gridCol w:w="1305"/>
      </w:tblGrid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 </w:t>
            </w:r>
          </w:p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 Rok 2012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Rok 2013</w:t>
            </w:r>
          </w:p>
        </w:tc>
      </w:tr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hosp. pred  zdanením - strata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135 761,83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109925,67</w:t>
            </w:r>
          </w:p>
        </w:tc>
      </w:tr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 zvyšujúce HV – reprezenta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čné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FF0000" w:val="clear"/>
              </w:rPr>
              <w:t xml:space="preserve">2527,22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2141,50</w:t>
            </w:r>
          </w:p>
        </w:tc>
      </w:tr>
      <w:tr>
        <w:trPr>
          <w:trHeight w:val="1" w:hRule="atLeast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 znižujúce HV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FF0000" w:val="clear"/>
              </w:rPr>
              <w:t xml:space="preserve">0,40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327" w:hRule="auto"/>
          <w:jc w:val="left"/>
        </w:trPr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 – STRATA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FF0000" w:val="clear"/>
              </w:rPr>
              <w:t xml:space="preserve">133235,01</w:t>
            </w:r>
          </w:p>
        </w:tc>
        <w:tc>
          <w:tcPr>
            <w:tcW w:w="13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843" w:leader="none"/>
              </w:tabs>
              <w:suppressAutoHyphens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112067,17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K. INFORMÁCIE O ÚDAJOCH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ČTOCH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–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neúčtuje sa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L.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iných aktívach a iných pasívach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k 31.12.2013 neeviduje žiadne prípadné ďalšie záväzky a ostatné finančné povinnosti.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M.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príjmoch a výhodách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členov štatutárnych orgánov, dozorných orgánov a iných orgánov účtovnej jednotky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V roku 2013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vyplácala mzdy štatutárom spoločnosti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N.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ekonomických vz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ťahoch účtovnej jednotky a spriaznených osôb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 roku 2013 nemala žiadne ekonomické vzťahy so spriaznenými osobami.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O. 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Informácie o skuto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  <w:t xml:space="preserve">čnostiach, ktoré nastali po dni, ku ktorému sa zostavuje účtovná závierka, do dňa zostavenia účtovnej závierky</w:t>
      </w:r>
    </w:p>
    <w:p>
      <w:pPr>
        <w:suppressAutoHyphens w:val="true"/>
        <w:spacing w:before="0" w:after="0" w:line="240"/>
        <w:ind w:right="0" w:left="7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 roku 2013 nenastali žiadne udalosti, ktoré majú významný vplyv na verné zobrazenie skuto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čností, ktoré sú predmetom účtovníctva.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 O rozdelení výsledku hospodárenia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čtovné obdobie 2013 rozhodne valné zhromaždenie. Návrh štatutárneho</w:t>
      </w:r>
    </w:p>
    <w:p>
      <w:pPr>
        <w:suppressAutoHyphens w:val="true"/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valnému zhromaždeniu je takýto:</w:t>
      </w:r>
    </w:p>
    <w:p>
      <w:pPr>
        <w:suppressAutoHyphens w:val="true"/>
        <w:spacing w:before="0" w:after="0" w:line="240"/>
        <w:ind w:right="0" w:left="0" w:firstLine="709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vykázala účtovnú stratu vo výške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112067,17 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,  ktorú  preúčtuje na neuhradenú stratu minulých rokov.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</w:t>
        <w:tab/>
        <w:tab/>
        <w:tab/>
        <w:tab/>
        <w:tab/>
        <w:t xml:space="preserve">      </w:t>
      </w: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ab/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num w:numId="5">
    <w:abstractNumId w:val="42"/>
  </w:num>
  <w:num w:numId="8">
    <w:abstractNumId w:val="36"/>
  </w:num>
  <w:num w:numId="11">
    <w:abstractNumId w:val="30"/>
  </w:num>
  <w:num w:numId="13">
    <w:abstractNumId w:val="24"/>
  </w:num>
  <w:num w:numId="50">
    <w:abstractNumId w:val="18"/>
  </w:num>
  <w:num w:numId="67">
    <w:abstractNumId w:val="12"/>
  </w:num>
  <w:num w:numId="132">
    <w:abstractNumId w:val="6"/>
  </w:num>
  <w:num w:numId="15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