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AVEFLOR SK, s.r.o.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Pezinská 18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901 01 Malacky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ČO: 36793221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Poznámky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čtovnej závierke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k 31.12.2013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Poznámky sú vyplnené v celých EUR s výnimkou údajov v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časti J – údaje z daňového priznania.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A. 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JEDNOTKE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"/>
        </w:numPr>
        <w:tabs>
          <w:tab w:val="left" w:pos="360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 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AVEFLOR SK, s.r.o.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Vajnorská 100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831 04  Bratislava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ČO: 36793221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AVEFLOR SK, s.r.o.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(ďalej len „Spoločnosť“) bola do obchodného registra zapísaná 19.6.2007 (Obchodný register Obvodného súdu Bratislava I v Bratislave, oddiel Sro, vložka 46541/B). Identifikačné číslo organizácie (IČO) 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36793221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8"/>
        </w:numPr>
        <w:tabs>
          <w:tab w:val="left" w:pos="360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sú :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jeho predaja konečnému spotrebiteľovi (maloobchod)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jeho predaja iným prevádzkovateľom živnosti (veľkoobchod)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ľská činnosť v rozsahu voľnej živnosti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reklamná, propaga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čná a výstavnícka činnosť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organizovanie kurzov a školení v rozsahu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ľnej živnosti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vydávanie periodických a neperiodických publikácií v rozsahu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ľnej živnosti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poskytovanie software - predaj hotových programov na základe dohody s autorom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automatizované spracovanie údajov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obstarávanie služieb spojených so správou nehnute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ľností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prenájom strojov, prístrojov, zariadení, výpo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čtovej techniky a dopravných prostriedkov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leasingová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v rozsahu voľnej živnosti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administratívne, kopírovacie a rozmnožovacie práce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prieskum trhu a verejnej mienky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ľské poradenstvo v rozsahu voľnej živnosti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28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organizačných a ekonomických poradcov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1"/>
        </w:numPr>
        <w:tabs>
          <w:tab w:val="left" w:pos="360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 zamestnancov Spoločnosti v roku 2013 -  2.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"/>
        </w:numPr>
        <w:tabs>
          <w:tab w:val="left" w:pos="360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čtovná závierka Spoločnosti k 31. decembru 2012 je zostavená ako riadna účtovná závierka podľa § 17 ods. 6 zákona NR SR č. 431/2002 Z. z. o účtovníctve, za účtovné obdobie od 1.1. 2013 do 31. decembra 2013.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B. INFORMÁCIE O 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ľ:</w:t>
        <w:tab/>
        <w:tab/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Ján Zubatý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Argonská 470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Ji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čín 506 01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Česko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Vznik funkcie: 23.08.2007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ľ:</w:t>
        <w:tab/>
        <w:tab/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  <w:tab/>
        <w:t xml:space="preserve">Ing. Emil Andrej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čák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Rovná 12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Stupava 900 31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Vznik funkcie: 01.07.2011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C. INFORMÁCIE 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ČNÍKOCH ÚČTOVNEJ JEDNOTKY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 xml:space="preserve">Štruktúra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čníkov Spoločnosti 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AVEFLOR, a.s.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Vklad: 72 500 EUR Splatené: 72 500 EUR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Ing. Emil Andrej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čák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Vklad: 72 500 EUR Splatené: 72 500 EUR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Základné imanie sa v priebehu roka 2013 nemenilo.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D. INFORMÁCIE O KONSOLIDOVANOM CELKU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sa nezahrňuje do žiadnej konsolidovanej účtovnej závierky, nie je spoločníkom žiadnej inej Spoločnosti.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E. 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ČTOVNÝCH ZÁSADÁCH a ÚČTOVNÝCH METÓDACH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a/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čtovná závierka bola zostavená za predpokladu nepretržitého trvania spoločnosti.     </w:t>
      </w: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čtovné metódy a všeobecné účtovné zásady neboli počas účtovného obdobia menené.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b/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Dlhodobý nehmotný a dlhodobý hmotný majetok</w:t>
      </w:r>
    </w:p>
    <w:p>
      <w:pPr>
        <w:suppressAutoHyphens w:val="true"/>
        <w:spacing w:before="0" w:after="0" w:line="240"/>
        <w:ind w:right="0" w:left="75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obstarávacou cenou, ktorá zahŕňa cenu obstarania a náklady súvisiace      s obstaraním – clo, preprava, montáž poistné. Súčasťou obstarávacej ceny dlhodobého nehmotného majetku nie    sú úroky z cudzích zdrojov. Súčasťou obstarávacej ceny dlhodobého  hmotného majetku nie sú úroky z cudzích  zdrojov ani realizované kurzové rozdiely. Dlhodobý hmotný a dlhodobý nehmotný majetok obstaraný zámenou  sa oceňuje reálnou hodnotou.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nehmotného majetku sú stanovené vychádzajúc z predpokladanej doby jeho používania.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sa začína prvým dňom mesiaca nasledujúceho po uvedení dlhodobého majetku do používania.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 dlhodobom nehmotnom  majetku, ktorého obstarávacia cena je 2 400 EUR a menej,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priamo do nákladov. 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 predpokladanej doby jeho používania a   predpokladaného 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sa začína prvým dňom  mesiaca nasledujúceho po uvedení dlhodobého majetku do používania. Odpisy účtovné sú zhodné  s daňovými odpismi. O dlhodobom hmotnom majetku, ktorého obstarávacia cena je  1 700 EUR a nižšia, sa účtuje priamo do nákladov. 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čtovná jednotka účtuje o zásobách tovaru.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c/</w:t>
        <w:tab/>
        <w:t xml:space="preserve">Cenné papiere a podiely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 roku 2013 neúčtovala o cenných papieroch a podieloch.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d/</w:t>
        <w:tab/>
        <w:t xml:space="preserve">Zásoby 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čtovná jednotka v roku 2013 účtuje o zásobách tovaru. Výška zásob bola overená fyzickou inventúrou, ktorá sa prevádzala k 31. 12. 2013. Rozdiely boli preúčtované v účtovnej uzávierke roku 2013. 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e/</w:t>
        <w:tab/>
        <w:tab/>
        <w:t xml:space="preserve">Zákazková výroba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neuskutočňuje zákazkovú výrobu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f/</w:t>
        <w:tab/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ľadávky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ľadávky sa pri ich vzniku oceňujú ich menovitou hodnotou; postúpené pohľadávky sa oceňujú obstarávacou cenou, vrátane nákladov súvisiacich s obstaraním. Toto ocenenie sa znižuje o pochybné a nevymožiteľné pohľadávky prostredníctvom opravných položiek.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g/</w:t>
        <w:tab/>
        <w:t xml:space="preserve">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ňažné prostriedky a ceniny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ňažné prostriedky a ceniny sa oceňujú ich menovitou hodnotou. Zníženie ich hodnoty sa vyjadruje opravnou položkou.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h/</w:t>
        <w:tab/>
        <w:t xml:space="preserve">Náklady budúcich období a príjmy budúcich období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výške, ktorá je potrebná na dodržanie zásady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súvislosti s účtovným obdobím.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i/</w:t>
        <w:tab/>
        <w:tab/>
        <w:t xml:space="preserve">Rezervy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čitým časovým vymedzením alebo výškou, tvoria sa na krytie známych rizík alebo strát z podnikania. Oceňujú sa v očakávanej výške záväzku.</w:t>
      </w:r>
    </w:p>
    <w:p>
      <w:pPr>
        <w:tabs>
          <w:tab w:val="left" w:pos="294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j/</w:t>
        <w:tab/>
        <w:t xml:space="preserve">  </w:t>
        <w:tab/>
        <w:t xml:space="preserve">Záväzky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ňujú menovitou hodnotou.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k/</w:t>
        <w:tab/>
        <w:tab/>
        <w:t xml:space="preserve">Odložená 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neúčtuje o odloženej dani.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l/</w:t>
        <w:tab/>
        <w:tab/>
        <w:t xml:space="preserve">Výdavky budúcich období a výnosy budúcich období</w:t>
      </w: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výške, ktorá je potrebná na dodržanie zásady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súvislosti s účtovným obdobím.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m/</w:t>
        <w:tab/>
        <w:tab/>
        <w:t xml:space="preserve">Leasing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nemá prenajatý majetok na základe finančného leasingu 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n/</w:t>
        <w:tab/>
        <w:tab/>
        <w:t xml:space="preserve">Deriváty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neúčtuje o derivátoch.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o/</w:t>
        <w:tab/>
        <w:tab/>
        <w:t xml:space="preserve">Majetok a záväzky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čené derivátmi</w:t>
      </w:r>
    </w:p>
    <w:p>
      <w:pPr>
        <w:suppressAutoHyphens w:val="true"/>
        <w:spacing w:before="0" w:after="0" w:line="240"/>
        <w:ind w:right="0" w:left="42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nemá majetok a záväzky zabezpečené derivátmi.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p/</w:t>
        <w:tab/>
        <w:tab/>
        <w:t xml:space="preserve">Cudzia mena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 záväzky vyjadrené v cudzej mene sa 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čítavajú na eurá referenčným výmenným kurzom určeným a vyhláseným Európskou  centrálnou bankou alebo NBS v deň predchádzajúci dňu uskutočnenia účtovného prípadu alebo v iný deň, ak to ustanovuje osobitný predpis a v deň, ku ktorému sa zostavuje účtovná závierka. Pri-   jaté a poskytnuté preddavky v cudzej mene sa ku dňu, ku ktorému sa zostavuje účtovná závierka, neprepočítavajú na eurá, ale zostávajú ocenené v pôvodnom ocenení ako pri svojom vzniku.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q/</w:t>
        <w:tab/>
        <w:tab/>
        <w:t xml:space="preserve">Výnosy</w:t>
      </w:r>
    </w:p>
    <w:p>
      <w:pPr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Tržby za vlastné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Sú tiež znížené o zľavy a zrážky (rabaty, bonusy, skontá, dobropisy a pod.) bez ohľadu na to, či zákazník mal vopred na zľavu nárok, alebo či ide o dodatočne uznanú zľavu.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F.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údajoch  na strane aktív súvahy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0"/>
        </w:numPr>
        <w:tabs>
          <w:tab w:val="left" w:pos="10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Dlhodobý nehmotný majetok a dlhodobý hmotný majetok </w:t>
      </w:r>
    </w:p>
    <w:p>
      <w:pPr>
        <w:tabs>
          <w:tab w:val="left" w:pos="1843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 roku 2013 nenakupovala dlhodobý hmotný majetok.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 </w:t>
        <w:tab/>
        <w:t xml:space="preserve">Dlhodobý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čný majetok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– spoločnosť neúčtuje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ab/>
      </w:r>
    </w:p>
    <w:p>
      <w:pPr>
        <w:suppressAutoHyphens w:val="true"/>
        <w:spacing w:before="0" w:after="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 </w:t>
        <w:tab/>
        <w:t xml:space="preserve">Zásoby </w:t>
      </w: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čtovná jednotka v roku 2013 nakupovala zásoby. Zásoby podliehajú inventarizácii zásob raz za rok. Inventúry sa prevádzajú k 31. 12. daného roku.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4. </w:t>
        <w:tab/>
        <w:tab/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ľadávky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ab/>
        <w:t xml:space="preserve">V roku 2013 neboli tvorené žiadne opravné položky.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ab/>
        <w:t xml:space="preserve">Veková štruktúra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ľadávok je uvedená v nasledujúcej tabuľke: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92" w:type="dxa"/>
      </w:tblPr>
      <w:tblGrid>
        <w:gridCol w:w="3104"/>
        <w:gridCol w:w="2424"/>
        <w:gridCol w:w="2085"/>
      </w:tblGrid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</w:t>
            </w:r>
          </w:p>
        </w:tc>
        <w:tc>
          <w:tcPr>
            <w:tcW w:w="2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 31.12. 2013 v EUR</w:t>
            </w:r>
          </w:p>
        </w:tc>
        <w:tc>
          <w:tcPr>
            <w:tcW w:w="2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 31.12. 2012</w:t>
            </w:r>
          </w:p>
        </w:tc>
      </w:tr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 lehote splatnosti</w:t>
            </w:r>
          </w:p>
        </w:tc>
        <w:tc>
          <w:tcPr>
            <w:tcW w:w="2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64349,00</w:t>
            </w:r>
          </w:p>
        </w:tc>
        <w:tc>
          <w:tcPr>
            <w:tcW w:w="2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32396,00</w:t>
            </w:r>
          </w:p>
        </w:tc>
      </w:tr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po lehote splatnosti</w:t>
            </w:r>
          </w:p>
        </w:tc>
        <w:tc>
          <w:tcPr>
            <w:tcW w:w="2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7"/>
        </w:numPr>
        <w:tabs>
          <w:tab w:val="left" w:pos="720" w:leader="none"/>
          <w:tab w:val="left" w:pos="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čné účty</w:t>
      </w: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Ako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čné účty sú vykázané peniaze v pokladnici, účty v bankách a ceniny. Účtami v bankách  môže Spoločnosť voľne disponovať.</w:t>
      </w:r>
    </w:p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92" w:type="dxa"/>
      </w:tblPr>
      <w:tblGrid>
        <w:gridCol w:w="3118"/>
        <w:gridCol w:w="2410"/>
        <w:gridCol w:w="2126"/>
      </w:tblGrid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 31.12. 2013 v EUR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 31.12. 2012</w:t>
            </w:r>
          </w:p>
        </w:tc>
      </w:tr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Pokladnica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975,00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231,00</w:t>
            </w:r>
          </w:p>
        </w:tc>
      </w:tr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čet v banke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9097,00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14011,00</w:t>
            </w:r>
          </w:p>
        </w:tc>
      </w:tr>
    </w:tbl>
    <w:p>
      <w:pPr>
        <w:suppressAutoHyphens w:val="tru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Časové rozlíšenie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</w: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 príjmy budúcich období sa vykazujú vo výške, ktorá je potrebná na dodržanie vecnej zásady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súvislosti s účtovným obdobím </w:t>
      </w: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Časové rozlíšenie nákladov týkajúcich sa nasledovného zdaňovacieho obdobia:</w:t>
      </w: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92" w:type="dxa"/>
      </w:tblPr>
      <w:tblGrid>
        <w:gridCol w:w="3544"/>
        <w:gridCol w:w="1984"/>
        <w:gridCol w:w="2126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 – Náklady budúcich období r.2013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 31.12. 2013 v EUR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 31.12. 2011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 -Výdavky budúcich období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47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106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47</w:t>
            </w:r>
          </w:p>
        </w:tc>
      </w:tr>
    </w:tbl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G.  Informácie o údajoch na strane pasív súvahy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1. </w:t>
        <w:tab/>
        <w:t xml:space="preserve">Vlastné imanie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Informácie o vlastnom  imaní sú uvedené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časti C.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 </w:t>
        <w:tab/>
        <w:t xml:space="preserve">Rezervy</w:t>
      </w: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čitým časovým vymedzením alebo výškou. Tvoria sa na krytie známych rizík alebo strát z podnikania. Oceňujú sa v očakávanej výške záväzku.</w:t>
      </w:r>
    </w:p>
    <w:p>
      <w:pPr>
        <w:suppressAutoHyphens w:val="true"/>
        <w:spacing w:before="0" w:after="0" w:line="240"/>
        <w:ind w:right="0" w:left="7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 </w:t>
        <w:tab/>
        <w:tab/>
        <w:t xml:space="preserve">Záväzky</w:t>
        <w:tab/>
      </w:r>
    </w:p>
    <w:p>
      <w:pPr>
        <w:suppressAutoHyphens w:val="true"/>
        <w:spacing w:before="0" w:after="0" w:line="240"/>
        <w:ind w:right="0" w:left="42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Štruktúra záväzkov (okrem bankových úverov)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zostatkovej doby splatnosti je uvedená v nasledujúcej tabuľke:</w:t>
      </w:r>
    </w:p>
    <w:p>
      <w:pPr>
        <w:suppressAutoHyphens w:val="true"/>
        <w:spacing w:before="0" w:after="0" w:line="240"/>
        <w:ind w:right="0" w:left="42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92" w:type="dxa"/>
      </w:tblPr>
      <w:tblGrid>
        <w:gridCol w:w="2678"/>
        <w:gridCol w:w="2283"/>
        <w:gridCol w:w="2835"/>
      </w:tblGrid>
      <w:tr>
        <w:trPr>
          <w:trHeight w:val="1" w:hRule="atLeast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Štruktúra záväzkov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k 31.12.2012 v EUR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k 31.12.2013</w:t>
            </w:r>
          </w:p>
        </w:tc>
      </w:tr>
      <w:tr>
        <w:trPr>
          <w:trHeight w:val="1" w:hRule="atLeast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z obchodného styku 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401 143,93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402604,00</w:t>
            </w:r>
          </w:p>
        </w:tc>
      </w:tr>
      <w:tr>
        <w:trPr>
          <w:trHeight w:val="1" w:hRule="atLeast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či zamestnancom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821,71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1489,00</w:t>
            </w:r>
          </w:p>
        </w:tc>
      </w:tr>
      <w:tr>
        <w:trPr>
          <w:trHeight w:val="1" w:hRule="atLeast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zo soc. poistenia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1 426,33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1153</w:t>
            </w:r>
          </w:p>
        </w:tc>
      </w:tr>
      <w:tr>
        <w:trPr>
          <w:trHeight w:val="214" w:hRule="auto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 záväzky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526,10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5962,00</w:t>
            </w:r>
          </w:p>
        </w:tc>
      </w:tr>
      <w:tr>
        <w:trPr>
          <w:trHeight w:val="277" w:hRule="auto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či spoločníkovi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48 285,60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48 285,60</w:t>
            </w:r>
          </w:p>
        </w:tc>
      </w:tr>
      <w:tr>
        <w:trPr>
          <w:trHeight w:val="277" w:hRule="auto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Nevyfakturované dodávky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216,79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2229,00</w:t>
            </w:r>
          </w:p>
        </w:tc>
      </w:tr>
      <w:tr>
        <w:trPr>
          <w:trHeight w:val="277" w:hRule="auto"/>
          <w:jc w:val="left"/>
        </w:trPr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2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452 420,46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461722</w:t>
            </w:r>
          </w:p>
        </w:tc>
      </w:tr>
    </w:tbl>
    <w:p>
      <w:pPr>
        <w:tabs>
          <w:tab w:val="left" w:pos="1843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4. </w:t>
        <w:tab/>
        <w:t xml:space="preserve">Odložená 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ňová pohľadávka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neúčtuje o odloženej daňovej pohľadávke.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5. </w:t>
        <w:tab/>
        <w:t xml:space="preserve">Sociálny fond</w:t>
      </w:r>
    </w:p>
    <w:p>
      <w:pPr>
        <w:numPr>
          <w:ilvl w:val="0"/>
          <w:numId w:val="132"/>
        </w:num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  <w:t xml:space="preserve">Bankové úvery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nemá žiadne bankové úvery.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H.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výnosoch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1. </w:t>
        <w:tab/>
        <w:t xml:space="preserve">Tržby za vlastné výkony a tovar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Tržby za vlastné výkony a tovar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92" w:type="dxa"/>
      </w:tblPr>
      <w:tblGrid>
        <w:gridCol w:w="1584"/>
        <w:gridCol w:w="1510"/>
        <w:gridCol w:w="1604"/>
        <w:gridCol w:w="1539"/>
        <w:gridCol w:w="1559"/>
      </w:tblGrid>
      <w:tr>
        <w:trPr>
          <w:trHeight w:val="1" w:hRule="atLeast"/>
          <w:jc w:val="left"/>
        </w:trPr>
        <w:tc>
          <w:tcPr>
            <w:tcW w:w="1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 predaja tovaru a služieb</w:t>
            </w:r>
          </w:p>
        </w:tc>
        <w:tc>
          <w:tcPr>
            <w:tcW w:w="1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 EUR tuzemsko </w:t>
            </w:r>
          </w:p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2012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 EUR tuzemsko  </w:t>
            </w:r>
          </w:p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2013</w:t>
            </w:r>
          </w:p>
        </w:tc>
        <w:tc>
          <w:tcPr>
            <w:tcW w:w="1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Zahrani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čie</w:t>
            </w:r>
          </w:p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 EUR   2012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Zahrani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čie</w:t>
            </w:r>
          </w:p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 EUR</w:t>
            </w:r>
          </w:p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2013</w:t>
            </w:r>
          </w:p>
        </w:tc>
      </w:tr>
      <w:tr>
        <w:trPr>
          <w:trHeight w:val="1" w:hRule="atLeast"/>
          <w:jc w:val="left"/>
        </w:trPr>
        <w:tc>
          <w:tcPr>
            <w:tcW w:w="1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Tovar</w:t>
            </w:r>
          </w:p>
        </w:tc>
        <w:tc>
          <w:tcPr>
            <w:tcW w:w="1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386 991,77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364087,10</w:t>
            </w:r>
          </w:p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Služby</w:t>
            </w:r>
          </w:p>
        </w:tc>
        <w:tc>
          <w:tcPr>
            <w:tcW w:w="1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12,05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2291,99</w:t>
            </w:r>
          </w:p>
        </w:tc>
        <w:tc>
          <w:tcPr>
            <w:tcW w:w="1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8 000</w:t>
            </w:r>
          </w:p>
        </w:tc>
      </w:tr>
      <w:tr>
        <w:trPr>
          <w:trHeight w:val="1" w:hRule="atLeast"/>
          <w:jc w:val="left"/>
        </w:trPr>
        <w:tc>
          <w:tcPr>
            <w:tcW w:w="1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Spolu:</w:t>
            </w:r>
          </w:p>
        </w:tc>
        <w:tc>
          <w:tcPr>
            <w:tcW w:w="1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387 003,82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3663792,09</w:t>
            </w:r>
          </w:p>
        </w:tc>
        <w:tc>
          <w:tcPr>
            <w:tcW w:w="1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9 441,55</w:t>
            </w:r>
          </w:p>
        </w:tc>
      </w:tr>
    </w:tbl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</w:t>
        <w:tab/>
        <w:t xml:space="preserve">Zmena stavu zásob vlastnej výroby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ab/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nevykazuje stav zásob vlastnej výroby.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</w:t>
        <w:tab/>
        <w:t xml:space="preserve">Kurzové zisky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 roku 2013 neúčtuje o kurzových ziskoch.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4. </w:t>
        <w:tab/>
        <w:t xml:space="preserve">Mimoriadne výnosy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 roku 2013 neeviduje žiadne mimoriadne výnosy.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 nákladoch</w:t>
      </w:r>
    </w:p>
    <w:p>
      <w:pPr>
        <w:tabs>
          <w:tab w:val="left" w:pos="426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6"/>
        </w:numPr>
        <w:tabs>
          <w:tab w:val="left" w:pos="10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 Náklady na poskytnuté služby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 o nákladoch na poskytnuté služby je znázornený v nasledujúcej tabuľke: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92" w:type="dxa"/>
      </w:tblPr>
      <w:tblGrid>
        <w:gridCol w:w="2977"/>
        <w:gridCol w:w="1984"/>
        <w:gridCol w:w="2693"/>
      </w:tblGrid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Položky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    Rok 2012v EUR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    Rok 2013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Nákup tovaru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278 554,88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232 783,10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Nákup materiálu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5 258,32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5 181,21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Služby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165 754,26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69 227,88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Mzdy, odvody, SF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77 900,39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69 137,14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dane, cestná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90,62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121,77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Odpisy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159,02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náklady na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čnú činnosť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1542,48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237,43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SPOLU: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529 100,95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376 847,55</w:t>
            </w:r>
          </w:p>
        </w:tc>
      </w:tr>
    </w:tbl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 </w:t>
        <w:tab/>
        <w:t xml:space="preserve">Kurzové straty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 roku 2013 účtuje o kurzových stratách.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</w:t>
        <w:tab/>
        <w:t xml:space="preserve">Mimoriadne náklady</w:t>
      </w:r>
    </w:p>
    <w:p>
      <w:pPr>
        <w:suppressAutoHyphens w:val="true"/>
        <w:spacing w:before="0" w:after="0" w:line="240"/>
        <w:ind w:right="0" w:left="42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 roku 2012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nevznikli mimoriadne náklady.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J.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daniach z príjmov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392" w:type="dxa"/>
      </w:tblPr>
      <w:tblGrid>
        <w:gridCol w:w="3118"/>
        <w:gridCol w:w="1276"/>
        <w:gridCol w:w="1305"/>
      </w:tblGrid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Položky </w:t>
            </w:r>
          </w:p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 Rok 2012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Rok 2013</w:t>
            </w:r>
          </w:p>
        </w:tc>
      </w:tr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hosp. pred  zdanením - strata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135 761,83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109925,67</w:t>
            </w:r>
          </w:p>
        </w:tc>
      </w:tr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Položky zvyšujúce HV – reprezenta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čné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FF0000" w:val="clear"/>
              </w:rPr>
              <w:t xml:space="preserve">2527,22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2141,50</w:t>
            </w:r>
          </w:p>
        </w:tc>
      </w:tr>
      <w:tr>
        <w:trPr>
          <w:trHeight w:val="1" w:hRule="atLeast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Položky znižujúce HV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FF0000" w:val="clear"/>
              </w:rPr>
              <w:t xml:space="preserve">0,40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327" w:hRule="auto"/>
          <w:jc w:val="left"/>
        </w:trPr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 – STRATA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FF0000" w:val="clear"/>
              </w:rPr>
              <w:t xml:space="preserve">133235,01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43" w:leader="none"/>
              </w:tabs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112067,17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K. INFORMÁCIE O 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ČTOCH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neúčtuje sa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L.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iných aktívach a iných pasívach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k 31.12.2013 neeviduje žiadne prípadné ďalšie záväzky a ostatné finančné povinnosti.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M.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príjmoch a výhodách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členov štatutárnych orgánov, dozorných orgánov a iných orgánov účtovnej jednotky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V roku 2013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vyplácala mzdy štatutárom spoločnosti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ekonomických vz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ťahoch účtovnej jednotky a spriaznených osôb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 roku 2013 nemala žiadne ekonomické vzťahy so spriaznenými osobami.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O.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skuto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čnostiach, ktoré nastali po dni, ku ktorému sa zostavuje účtovná závierka, do dňa zostavenia účtovnej závierky</w:t>
      </w:r>
    </w:p>
    <w:p>
      <w:pPr>
        <w:suppressAutoHyphens w:val="true"/>
        <w:spacing w:before="0" w:after="0" w:line="240"/>
        <w:ind w:right="0" w:left="7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 roku 2013 nenastali žiadne udalosti, ktoré majú významný vplyv na verné zobrazenie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čností, ktoré sú predmetom účtovníctva.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 O rozdelení výsledku hospodárenia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čtovné obdobie 2013 rozhodne valné zhromaždenie. Návrh štatutárneho</w:t>
      </w: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valnému zhromaždeniu je takýto:</w:t>
      </w: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vykázala účtovnú stratu vo výške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112067,17 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,  ktorú  preúčtuje na neuhradenú stratu minulých rokov.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</w:t>
        <w:tab/>
        <w:tab/>
        <w:tab/>
        <w:tab/>
        <w:tab/>
        <w:t xml:space="preserve">     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ab/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5">
    <w:abstractNumId w:val="42"/>
  </w:num>
  <w:num w:numId="8">
    <w:abstractNumId w:val="36"/>
  </w:num>
  <w:num w:numId="11">
    <w:abstractNumId w:val="30"/>
  </w:num>
  <w:num w:numId="13">
    <w:abstractNumId w:val="24"/>
  </w:num>
  <w:num w:numId="50">
    <w:abstractNumId w:val="18"/>
  </w:num>
  <w:num w:numId="67">
    <w:abstractNumId w:val="12"/>
  </w:num>
  <w:num w:numId="132">
    <w:abstractNumId w:val="6"/>
  </w:num>
  <w:num w:numId="15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