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BD1" w:rsidRPr="00555BD1" w:rsidRDefault="00555BD1" w:rsidP="00552E31">
      <w:pPr>
        <w:spacing w:before="120" w:after="60"/>
        <w:rPr>
          <w:sz w:val="22"/>
          <w:szCs w:val="22"/>
        </w:rPr>
      </w:pPr>
      <w:bookmarkStart w:id="0" w:name="_Toc530739899"/>
      <w:r w:rsidRPr="00555BD1">
        <w:rPr>
          <w:sz w:val="22"/>
          <w:szCs w:val="22"/>
        </w:rPr>
        <w:t>Príloha č. 1:</w:t>
      </w:r>
    </w:p>
    <w:p w:rsidR="00552E31" w:rsidRDefault="00552E31" w:rsidP="00555BD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0"/>
    </w:p>
    <w:p w:rsidR="00552E31" w:rsidRDefault="00552E31" w:rsidP="00552E31">
      <w:pPr>
        <w:pStyle w:val="Zkladntext"/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Východiská pre zostavenie účtovnej závierky</w:t>
      </w:r>
    </w:p>
    <w:p w:rsidR="00552E31" w:rsidRPr="00555BD1" w:rsidRDefault="00552E31" w:rsidP="00552E31">
      <w:pPr>
        <w:pStyle w:val="Zkladntext"/>
        <w:ind w:left="450"/>
        <w:rPr>
          <w:sz w:val="22"/>
          <w:szCs w:val="22"/>
        </w:rPr>
      </w:pPr>
      <w:r w:rsidRPr="00555BD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555BD1">
        <w:rPr>
          <w:sz w:val="22"/>
          <w:szCs w:val="22"/>
        </w:rPr>
        <w:t>going</w:t>
      </w:r>
      <w:proofErr w:type="spellEnd"/>
      <w:r w:rsidRPr="00555BD1">
        <w:rPr>
          <w:sz w:val="22"/>
          <w:szCs w:val="22"/>
        </w:rPr>
        <w:t xml:space="preserve"> </w:t>
      </w:r>
      <w:proofErr w:type="spellStart"/>
      <w:r w:rsidRPr="00555BD1">
        <w:rPr>
          <w:sz w:val="22"/>
          <w:szCs w:val="22"/>
        </w:rPr>
        <w:t>concern</w:t>
      </w:r>
      <w:proofErr w:type="spellEnd"/>
      <w:r w:rsidRPr="00555BD1">
        <w:rPr>
          <w:sz w:val="22"/>
          <w:szCs w:val="22"/>
        </w:rPr>
        <w:t>).</w:t>
      </w:r>
    </w:p>
    <w:p w:rsidR="00552E31" w:rsidRPr="00555BD1" w:rsidRDefault="00552E31" w:rsidP="00552E31">
      <w:pPr>
        <w:pStyle w:val="Zkladntext"/>
        <w:ind w:left="450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ind w:left="450"/>
        <w:rPr>
          <w:sz w:val="22"/>
          <w:szCs w:val="22"/>
        </w:rPr>
      </w:pPr>
      <w:r w:rsidRPr="00555BD1">
        <w:rPr>
          <w:sz w:val="22"/>
          <w:szCs w:val="22"/>
        </w:rPr>
        <w:t>Účtovné metódy a všeobecné účtovné zásady boli účtovnou jednotkou konzistentne aplikované.</w:t>
      </w:r>
    </w:p>
    <w:p w:rsidR="00552E31" w:rsidRPr="00555BD1" w:rsidRDefault="00552E31" w:rsidP="00552E31">
      <w:pPr>
        <w:pStyle w:val="Zkladntext"/>
        <w:ind w:left="450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ind w:left="450"/>
        <w:rPr>
          <w:sz w:val="22"/>
          <w:szCs w:val="22"/>
        </w:rPr>
      </w:pPr>
      <w:r w:rsidRPr="00555BD1">
        <w:rPr>
          <w:sz w:val="22"/>
          <w:szCs w:val="22"/>
        </w:rPr>
        <w:t xml:space="preserve">V účtovnom období 2013 Spoločnosť nevykonala žiadne opravy významných chýb minulých účtovných období. </w:t>
      </w:r>
    </w:p>
    <w:p w:rsidR="00552E31" w:rsidRPr="00555BD1" w:rsidRDefault="00552E31" w:rsidP="00552E31">
      <w:pPr>
        <w:pStyle w:val="Zkladntext"/>
        <w:ind w:left="450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Dlhodobý nehmotný majetok a dlhodobý hmotný majetok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2"/>
        <w:gridCol w:w="404"/>
        <w:gridCol w:w="1544"/>
        <w:gridCol w:w="222"/>
        <w:gridCol w:w="1800"/>
        <w:gridCol w:w="222"/>
        <w:gridCol w:w="1662"/>
      </w:tblGrid>
      <w:tr w:rsidR="00552E31" w:rsidRPr="00555BD1" w:rsidTr="00D01068">
        <w:trPr>
          <w:trHeight w:val="250"/>
        </w:trPr>
        <w:tc>
          <w:tcPr>
            <w:tcW w:w="3402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Ročná odpisová</w:t>
            </w:r>
          </w:p>
        </w:tc>
      </w:tr>
      <w:tr w:rsidR="00552E31" w:rsidRPr="00555BD1" w:rsidTr="00D0106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doba používania</w:t>
            </w:r>
            <w:r w:rsidRPr="00555BD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sadzba v %</w:t>
            </w:r>
          </w:p>
        </w:tc>
      </w:tr>
      <w:tr w:rsidR="00552E31" w:rsidRPr="00555BD1" w:rsidTr="00D01068">
        <w:trPr>
          <w:trHeight w:val="250"/>
        </w:trPr>
        <w:tc>
          <w:tcPr>
            <w:tcW w:w="3402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20</w:t>
            </w:r>
          </w:p>
        </w:tc>
      </w:tr>
      <w:tr w:rsidR="00552E31" w:rsidRPr="00555BD1" w:rsidTr="00D01068">
        <w:trPr>
          <w:trHeight w:val="250"/>
        </w:trPr>
        <w:tc>
          <w:tcPr>
            <w:tcW w:w="3402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25</w:t>
            </w:r>
          </w:p>
        </w:tc>
      </w:tr>
      <w:tr w:rsidR="00552E31" w:rsidRPr="00555BD1" w:rsidTr="00D0106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52E31" w:rsidRPr="00555BD1" w:rsidRDefault="00552E31" w:rsidP="00D01068">
            <w:pPr>
              <w:pStyle w:val="Tabulka"/>
              <w:ind w:hanging="84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8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12,5</w:t>
            </w:r>
          </w:p>
        </w:tc>
      </w:tr>
      <w:tr w:rsidR="00552E31" w:rsidRPr="00555BD1" w:rsidTr="00D0106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52E31" w:rsidRPr="00555BD1" w:rsidRDefault="00552E31" w:rsidP="00D01068">
            <w:pPr>
              <w:pStyle w:val="Tabulka"/>
              <w:ind w:hanging="84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100</w:t>
            </w:r>
          </w:p>
        </w:tc>
      </w:tr>
    </w:tbl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52E31" w:rsidRPr="00555BD1" w:rsidTr="00D01068">
        <w:trPr>
          <w:trHeight w:val="250"/>
        </w:trPr>
        <w:tc>
          <w:tcPr>
            <w:tcW w:w="3118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Ročná odpisová</w:t>
            </w:r>
          </w:p>
        </w:tc>
      </w:tr>
      <w:tr w:rsidR="00552E31" w:rsidRPr="00555BD1" w:rsidTr="00D0106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sadzba v %</w:t>
            </w:r>
          </w:p>
        </w:tc>
      </w:tr>
      <w:tr w:rsidR="00552E31" w:rsidRPr="00555BD1" w:rsidTr="00D0106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5</w:t>
            </w:r>
          </w:p>
        </w:tc>
      </w:tr>
      <w:tr w:rsidR="00552E31" w:rsidRPr="00555BD1" w:rsidTr="00D01068">
        <w:trPr>
          <w:trHeight w:val="250"/>
        </w:trPr>
        <w:tc>
          <w:tcPr>
            <w:tcW w:w="3118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6</w:t>
            </w:r>
          </w:p>
        </w:tc>
        <w:tc>
          <w:tcPr>
            <w:tcW w:w="14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16,67</w:t>
            </w:r>
          </w:p>
        </w:tc>
      </w:tr>
      <w:tr w:rsidR="00552E31" w:rsidRPr="00555BD1" w:rsidTr="00D01068">
        <w:trPr>
          <w:trHeight w:val="250"/>
        </w:trPr>
        <w:tc>
          <w:tcPr>
            <w:tcW w:w="3118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degresívna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25</w:t>
            </w:r>
          </w:p>
        </w:tc>
      </w:tr>
      <w:tr w:rsidR="00552E31" w:rsidRPr="00555BD1" w:rsidTr="00D01068">
        <w:trPr>
          <w:trHeight w:val="250"/>
        </w:trPr>
        <w:tc>
          <w:tcPr>
            <w:tcW w:w="3118" w:type="dxa"/>
            <w:gridSpan w:val="2"/>
          </w:tcPr>
          <w:p w:rsidR="00552E31" w:rsidRPr="00555BD1" w:rsidRDefault="00552E31" w:rsidP="00D01068">
            <w:pPr>
              <w:pStyle w:val="Tabulka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552E31" w:rsidRPr="00555BD1" w:rsidRDefault="00552E31" w:rsidP="00D01068">
            <w:pPr>
              <w:pStyle w:val="Tabulka"/>
              <w:jc w:val="center"/>
              <w:rPr>
                <w:sz w:val="22"/>
                <w:szCs w:val="22"/>
              </w:rPr>
            </w:pPr>
            <w:r w:rsidRPr="00555BD1">
              <w:rPr>
                <w:sz w:val="22"/>
                <w:szCs w:val="22"/>
              </w:rPr>
              <w:t>100</w:t>
            </w:r>
          </w:p>
        </w:tc>
      </w:tr>
    </w:tbl>
    <w:p w:rsidR="00552E31" w:rsidRPr="00555BD1" w:rsidRDefault="00552E31" w:rsidP="00552E31">
      <w:pPr>
        <w:pStyle w:val="Pismenka"/>
        <w:numPr>
          <w:ilvl w:val="0"/>
          <w:numId w:val="0"/>
        </w:numPr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Cenné papiere a podiely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Cenné papiere na obchodovanie sa pri ich obstaraní oceňujú reálnou hodnotou.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 xml:space="preserve">Zásoby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Zníženie hodnoty zásob sa zohľadňuje vytvorením opravnej položky.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Zákazková výroba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Zákazková výroba sa vykazuje použitím metódy stupňa dokončenia zákazky (angl. </w:t>
      </w:r>
      <w:proofErr w:type="spellStart"/>
      <w:r w:rsidRPr="00555BD1">
        <w:rPr>
          <w:sz w:val="22"/>
          <w:szCs w:val="22"/>
        </w:rPr>
        <w:t>percentage-of-completion-method</w:t>
      </w:r>
      <w:proofErr w:type="spellEnd"/>
      <w:r w:rsidRPr="00555BD1">
        <w:rPr>
          <w:sz w:val="22"/>
          <w:szCs w:val="22"/>
        </w:rPr>
        <w:t>).</w:t>
      </w:r>
    </w:p>
    <w:p w:rsidR="00552E31" w:rsidRPr="00555BD1" w:rsidRDefault="00552E31" w:rsidP="00552E31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Zákazková výstavba nehnuteľnosti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b/>
          <w:i/>
          <w:sz w:val="22"/>
          <w:szCs w:val="22"/>
        </w:rPr>
      </w:pPr>
      <w:r w:rsidRPr="00555BD1">
        <w:rPr>
          <w:b/>
          <w:i/>
          <w:sz w:val="22"/>
          <w:szCs w:val="22"/>
        </w:rPr>
        <w:t>Zákazková výstavba nehnuteľnosti – priebežný transfer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Zákazková výstavba nehnuteľnosti určenej na predaj sa vykazuje podľa metódy stupňa dokončenia.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b/>
          <w:i/>
          <w:sz w:val="22"/>
          <w:szCs w:val="22"/>
        </w:rPr>
      </w:pPr>
      <w:r w:rsidRPr="00555BD1">
        <w:rPr>
          <w:b/>
          <w:i/>
          <w:sz w:val="22"/>
          <w:szCs w:val="22"/>
        </w:rPr>
        <w:t>Zákazková výstavba nehnuteľnosti – ostatná (nie priebežný transfer)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lastRenderedPageBreak/>
        <w:t>Zákazková výstavba nehnuteľnosti určenej na predaj – ostatná (nie priebežný transfer) sa vykazuje metódou tzv. nulového zisku, t. j. zisk sa vykáže až pri predaji nehnuteľnosti.</w:t>
      </w:r>
    </w:p>
    <w:p w:rsidR="00552E31" w:rsidRPr="00555BD1" w:rsidRDefault="00552E31" w:rsidP="00552E31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Pohľadávky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Peňažné prostriedky a ceniny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Náklady budúcich období a príjmy budúcich období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Rezervy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552E31" w:rsidRPr="00555BD1" w:rsidRDefault="00552E31" w:rsidP="00552E31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Záväzky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52E31" w:rsidRPr="00555BD1" w:rsidRDefault="00552E31" w:rsidP="00552E31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Odložené dane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552E31" w:rsidRPr="00555BD1" w:rsidRDefault="00552E31" w:rsidP="00552E3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555BD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552E31" w:rsidRPr="00555BD1" w:rsidRDefault="00552E31" w:rsidP="00552E3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555BD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552E31" w:rsidRPr="00555BD1" w:rsidRDefault="00552E31" w:rsidP="00552E3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555BD1">
        <w:rPr>
          <w:sz w:val="22"/>
          <w:szCs w:val="22"/>
        </w:rPr>
        <w:t>možnosť previesť nevyužité daňové odpočty a iné daňové nároky do budúcich období.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Výdavky budúcich období a výnosy budúcich období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Dotácie zo štátneho rozpočtu</w:t>
      </w:r>
    </w:p>
    <w:p w:rsidR="00552E31" w:rsidRPr="00555BD1" w:rsidRDefault="00552E31" w:rsidP="00552E31">
      <w:pPr>
        <w:ind w:left="450"/>
        <w:jc w:val="both"/>
        <w:rPr>
          <w:sz w:val="22"/>
          <w:szCs w:val="22"/>
        </w:rPr>
      </w:pPr>
      <w:r w:rsidRPr="00555BD1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52E31" w:rsidRPr="00555BD1" w:rsidRDefault="00552E31" w:rsidP="00552E31">
      <w:pPr>
        <w:ind w:left="450"/>
        <w:jc w:val="both"/>
        <w:rPr>
          <w:sz w:val="22"/>
          <w:szCs w:val="22"/>
        </w:rPr>
      </w:pPr>
    </w:p>
    <w:p w:rsidR="00552E31" w:rsidRPr="00555BD1" w:rsidRDefault="00552E31" w:rsidP="00552E31">
      <w:pPr>
        <w:ind w:left="450"/>
        <w:jc w:val="both"/>
        <w:rPr>
          <w:sz w:val="22"/>
          <w:szCs w:val="22"/>
        </w:rPr>
      </w:pPr>
      <w:r w:rsidRPr="00555BD1">
        <w:rPr>
          <w:sz w:val="22"/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552E31" w:rsidRPr="00555BD1" w:rsidRDefault="00552E31" w:rsidP="00552E31">
      <w:pPr>
        <w:ind w:left="450"/>
        <w:jc w:val="both"/>
        <w:rPr>
          <w:sz w:val="22"/>
          <w:szCs w:val="22"/>
        </w:rPr>
      </w:pPr>
    </w:p>
    <w:p w:rsidR="00552E31" w:rsidRPr="00555BD1" w:rsidRDefault="00552E31" w:rsidP="00552E31">
      <w:pPr>
        <w:ind w:left="450"/>
        <w:jc w:val="both"/>
        <w:rPr>
          <w:sz w:val="22"/>
          <w:szCs w:val="22"/>
        </w:rPr>
      </w:pPr>
      <w:r w:rsidRPr="00555BD1">
        <w:rPr>
          <w:sz w:val="22"/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555BD1">
        <w:rPr>
          <w:sz w:val="22"/>
          <w:szCs w:val="22"/>
        </w:rPr>
        <w:br/>
        <w:t xml:space="preserve">z tohto dlhodobého majetku.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Prenájom (lízing)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Majetok prenajatý na základe operatívneho prenájmu vykazuje ako svoj majetok jeho vlastník, nie nájomca.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lastRenderedPageBreak/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bookmarkStart w:id="1" w:name="_GoBack"/>
      <w:bookmarkEnd w:id="1"/>
      <w:r w:rsidRPr="00555BD1">
        <w:rPr>
          <w:sz w:val="22"/>
          <w:szCs w:val="22"/>
        </w:rPr>
        <w:t>Majetok a záväzky zabezpečené derivátmi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Cudzia mena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Na ocenenie prírastku cudzej meny nakúpenej za euro sa použije kurz, za ktorý bola táto cudzia mena nakúpená.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55BD1" w:rsidRPr="00555BD1" w:rsidRDefault="00555BD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</w:p>
    <w:p w:rsidR="00552E31" w:rsidRPr="00555BD1" w:rsidRDefault="00552E31" w:rsidP="00552E31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55BD1">
        <w:rPr>
          <w:sz w:val="22"/>
          <w:szCs w:val="22"/>
        </w:rPr>
        <w:t>Výnosy</w:t>
      </w:r>
    </w:p>
    <w:p w:rsidR="00552E31" w:rsidRPr="00555BD1" w:rsidRDefault="00552E31" w:rsidP="00552E31">
      <w:pPr>
        <w:pStyle w:val="Zkladntext"/>
        <w:rPr>
          <w:sz w:val="22"/>
          <w:szCs w:val="22"/>
        </w:rPr>
      </w:pPr>
      <w:r w:rsidRPr="00555BD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B54BE" w:rsidRPr="00555BD1" w:rsidRDefault="001B54BE" w:rsidP="00552E31">
      <w:pPr>
        <w:rPr>
          <w:sz w:val="22"/>
          <w:szCs w:val="22"/>
        </w:rPr>
      </w:pPr>
    </w:p>
    <w:sectPr w:rsidR="001B54BE" w:rsidRPr="00555B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E31"/>
    <w:rsid w:val="001B54BE"/>
    <w:rsid w:val="00552E31"/>
    <w:rsid w:val="00555BD1"/>
    <w:rsid w:val="009D1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E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552E31"/>
    <w:pPr>
      <w:keepNext/>
      <w:numPr>
        <w:numId w:val="1"/>
      </w:numPr>
      <w:outlineLvl w:val="0"/>
    </w:pPr>
    <w:rPr>
      <w:b/>
      <w:cap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52E31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rsid w:val="00552E3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52E31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552E31"/>
    <w:rPr>
      <w:color w:val="000000"/>
      <w:sz w:val="18"/>
    </w:rPr>
  </w:style>
  <w:style w:type="paragraph" w:customStyle="1" w:styleId="Pismenka">
    <w:name w:val="Pismenka"/>
    <w:basedOn w:val="Zkladntext"/>
    <w:rsid w:val="00552E31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E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552E31"/>
    <w:pPr>
      <w:keepNext/>
      <w:numPr>
        <w:numId w:val="1"/>
      </w:numPr>
      <w:outlineLvl w:val="0"/>
    </w:pPr>
    <w:rPr>
      <w:b/>
      <w:cap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52E31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rsid w:val="00552E3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52E31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552E31"/>
    <w:rPr>
      <w:color w:val="000000"/>
      <w:sz w:val="18"/>
    </w:rPr>
  </w:style>
  <w:style w:type="paragraph" w:customStyle="1" w:styleId="Pismenka">
    <w:name w:val="Pismenka"/>
    <w:basedOn w:val="Zkladntext"/>
    <w:rsid w:val="00552E31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1682</Words>
  <Characters>9590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Kovacova Iveta</dc:creator>
  <cp:lastModifiedBy>Kovacova Iveta</cp:lastModifiedBy>
  <cp:revision>3</cp:revision>
  <dcterms:created xsi:type="dcterms:W3CDTF">2014-03-26T11:35:00Z</dcterms:created>
  <dcterms:modified xsi:type="dcterms:W3CDTF">2014-03-28T09:58:00Z</dcterms:modified>
</cp:coreProperties>
</file>