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9BB" w:rsidRPr="00B21598" w:rsidRDefault="006E6814" w:rsidP="006E6814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B21598">
        <w:rPr>
          <w:b/>
          <w:sz w:val="32"/>
          <w:szCs w:val="32"/>
        </w:rPr>
        <w:t xml:space="preserve">Poznámky </w:t>
      </w:r>
      <w:r w:rsidR="002C0E5C" w:rsidRPr="00B21598">
        <w:rPr>
          <w:b/>
          <w:sz w:val="32"/>
          <w:szCs w:val="32"/>
        </w:rPr>
        <w:t>k účtovnej závierke k 31.12.2013</w:t>
      </w:r>
    </w:p>
    <w:p w:rsidR="00B21598" w:rsidRDefault="00B21598" w:rsidP="006E6814">
      <w:pPr>
        <w:jc w:val="center"/>
        <w:rPr>
          <w:b/>
        </w:rPr>
      </w:pPr>
    </w:p>
    <w:p w:rsidR="006E6814" w:rsidRDefault="00AC7292" w:rsidP="006E6814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I.</w:t>
      </w:r>
    </w:p>
    <w:p w:rsidR="006E6814" w:rsidRDefault="006E6814" w:rsidP="006E6814">
      <w:pPr>
        <w:jc w:val="both"/>
        <w:rPr>
          <w:b/>
        </w:rPr>
      </w:pPr>
      <w:r>
        <w:rPr>
          <w:b/>
        </w:rPr>
        <w:t>Obchodné meno a sídlo spoločnosti:</w:t>
      </w:r>
    </w:p>
    <w:p w:rsidR="006E6814" w:rsidRDefault="006E6814" w:rsidP="006E6814">
      <w:pPr>
        <w:pStyle w:val="Bezriadkovania"/>
      </w:pPr>
      <w:proofErr w:type="spellStart"/>
      <w:r>
        <w:t>Libex</w:t>
      </w:r>
      <w:proofErr w:type="spellEnd"/>
      <w:r>
        <w:t xml:space="preserve"> s.r.o.</w:t>
      </w:r>
    </w:p>
    <w:p w:rsidR="006E6814" w:rsidRDefault="006E6814" w:rsidP="006E6814">
      <w:pPr>
        <w:pStyle w:val="Bezriadkovania"/>
      </w:pPr>
      <w:r>
        <w:t>Bytčianska 114, 010 03  Žilina</w:t>
      </w:r>
    </w:p>
    <w:p w:rsidR="006E6814" w:rsidRDefault="006E6814" w:rsidP="006E6814">
      <w:pPr>
        <w:pStyle w:val="Bezriadkovania"/>
      </w:pPr>
      <w:r>
        <w:t>IČO: 31620795  DIČ: 2020450168  IČ DPH: SK2020450168</w:t>
      </w:r>
    </w:p>
    <w:p w:rsidR="006E6814" w:rsidRDefault="006E6814" w:rsidP="006E6814">
      <w:pPr>
        <w:pStyle w:val="Bezriadkovania"/>
      </w:pPr>
    </w:p>
    <w:p w:rsidR="006E6814" w:rsidRDefault="006E6814" w:rsidP="006E6814">
      <w:pPr>
        <w:pStyle w:val="Bezriadkovania"/>
        <w:rPr>
          <w:b/>
        </w:rPr>
      </w:pPr>
      <w:r>
        <w:rPr>
          <w:b/>
        </w:rPr>
        <w:t>Hlavnými činnosťami spoločnosti sú:</w:t>
      </w:r>
    </w:p>
    <w:p w:rsidR="006E6814" w:rsidRDefault="006E6814" w:rsidP="006E6814">
      <w:pPr>
        <w:pStyle w:val="Bezriadkovania"/>
        <w:rPr>
          <w:b/>
        </w:rPr>
      </w:pPr>
    </w:p>
    <w:p w:rsidR="006E6814" w:rsidRDefault="006E6814" w:rsidP="0006350B">
      <w:pPr>
        <w:pStyle w:val="Bezriadkovania"/>
        <w:jc w:val="both"/>
      </w:pPr>
      <w:r>
        <w:t>Veľkoobchodná činnosť, maloobchodná činnosť, sprostredkovanie obchodu, reklamná činnosť, vedenie účtovníctva, prieskum trhu a verejnej zmienky, atď. (viď Výpis z OR)</w:t>
      </w:r>
    </w:p>
    <w:p w:rsidR="006E6814" w:rsidRDefault="006E6814" w:rsidP="0006350B">
      <w:pPr>
        <w:pStyle w:val="Bezriadkovania"/>
        <w:jc w:val="both"/>
      </w:pPr>
    </w:p>
    <w:p w:rsidR="006E6814" w:rsidRDefault="006E6814" w:rsidP="0006350B">
      <w:pPr>
        <w:pStyle w:val="Bezriadkovania"/>
        <w:jc w:val="both"/>
      </w:pPr>
      <w:r>
        <w:rPr>
          <w:b/>
        </w:rPr>
        <w:t xml:space="preserve">Priemerný počet pracovníkov spoločnosti:  </w:t>
      </w:r>
      <w:r w:rsidR="006004B4">
        <w:rPr>
          <w:b/>
        </w:rPr>
        <w:t>13</w:t>
      </w:r>
      <w:r w:rsidR="002C0E5C">
        <w:rPr>
          <w:b/>
        </w:rPr>
        <w:t>8</w:t>
      </w:r>
      <w:r>
        <w:rPr>
          <w:b/>
        </w:rPr>
        <w:t xml:space="preserve"> </w:t>
      </w:r>
      <w:r>
        <w:t>(viď bod 1 prílohy)</w:t>
      </w:r>
    </w:p>
    <w:p w:rsidR="006E6814" w:rsidRDefault="006E6814" w:rsidP="0006350B">
      <w:pPr>
        <w:pStyle w:val="Bezriadkovania"/>
        <w:jc w:val="both"/>
      </w:pPr>
    </w:p>
    <w:p w:rsidR="006E6814" w:rsidRDefault="006E6814" w:rsidP="0006350B">
      <w:pPr>
        <w:pStyle w:val="Bezriadkovania"/>
        <w:jc w:val="both"/>
      </w:pPr>
      <w:r>
        <w:rPr>
          <w:b/>
        </w:rPr>
        <w:t>Účtovná z</w:t>
      </w:r>
      <w:r w:rsidR="006004B4">
        <w:rPr>
          <w:b/>
        </w:rPr>
        <w:t>ávierka spoločnosti k 31.12.201</w:t>
      </w:r>
      <w:r w:rsidR="002C0E5C">
        <w:rPr>
          <w:b/>
        </w:rPr>
        <w:t>3</w:t>
      </w:r>
      <w:r>
        <w:rPr>
          <w:b/>
        </w:rPr>
        <w:t xml:space="preserve"> </w:t>
      </w:r>
      <w:r>
        <w:t xml:space="preserve">je zostavená ako riadna účtovná závierka podľa § 17 zákona č. 431/2002 </w:t>
      </w:r>
      <w:proofErr w:type="spellStart"/>
      <w:r>
        <w:t>Z.z</w:t>
      </w:r>
      <w:proofErr w:type="spellEnd"/>
      <w:r>
        <w:t>. o účtovníctve, za účt</w:t>
      </w:r>
      <w:r w:rsidR="006004B4">
        <w:t>ovné obdobie od 01. januára 201</w:t>
      </w:r>
      <w:r w:rsidR="002C0E5C">
        <w:t>3</w:t>
      </w:r>
      <w:r w:rsidR="006004B4">
        <w:t xml:space="preserve"> do 31. decembra 201</w:t>
      </w:r>
      <w:r w:rsidR="002C0E5C">
        <w:t>3</w:t>
      </w:r>
      <w:r>
        <w:t xml:space="preserve"> roka. Účtovná závierka bola zostavená za predpokladu nepretržitého trvania spoločnosti.</w:t>
      </w:r>
    </w:p>
    <w:p w:rsidR="00B21598" w:rsidRDefault="00B21598" w:rsidP="0006350B">
      <w:pPr>
        <w:pStyle w:val="Bezriadkovania"/>
        <w:jc w:val="both"/>
      </w:pPr>
    </w:p>
    <w:p w:rsidR="00B21598" w:rsidRDefault="00B21598" w:rsidP="0006350B">
      <w:pPr>
        <w:pStyle w:val="Bezriadkovania"/>
        <w:jc w:val="both"/>
      </w:pPr>
    </w:p>
    <w:p w:rsidR="006E6814" w:rsidRDefault="00AC7292" w:rsidP="0006350B">
      <w:pPr>
        <w:pStyle w:val="Bezriadkovania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C7292">
        <w:rPr>
          <w:b/>
        </w:rPr>
        <w:t>II.</w:t>
      </w:r>
    </w:p>
    <w:p w:rsidR="00AC7292" w:rsidRPr="00AC7292" w:rsidRDefault="00AC7292" w:rsidP="0006350B">
      <w:pPr>
        <w:pStyle w:val="Bezriadkovania"/>
        <w:jc w:val="both"/>
        <w:rPr>
          <w:b/>
        </w:rPr>
      </w:pPr>
    </w:p>
    <w:p w:rsidR="006E6814" w:rsidRDefault="006E6814" w:rsidP="0006350B">
      <w:pPr>
        <w:pStyle w:val="Bezriadkovania"/>
        <w:jc w:val="both"/>
        <w:rPr>
          <w:b/>
        </w:rPr>
      </w:pPr>
      <w:r>
        <w:rPr>
          <w:b/>
        </w:rPr>
        <w:t>Zoznam členov štatutárnych orgánov spoločnosti:</w:t>
      </w:r>
    </w:p>
    <w:p w:rsidR="006E6814" w:rsidRDefault="006E6814" w:rsidP="0006350B">
      <w:pPr>
        <w:pStyle w:val="Bezriadkovania"/>
        <w:jc w:val="both"/>
        <w:rPr>
          <w:b/>
        </w:rPr>
      </w:pPr>
      <w:r>
        <w:rPr>
          <w:b/>
        </w:rPr>
        <w:t>Štatutárny orgán:</w:t>
      </w:r>
    </w:p>
    <w:p w:rsidR="006E6814" w:rsidRDefault="006E6814" w:rsidP="0006350B">
      <w:pPr>
        <w:pStyle w:val="Bezriadkovania"/>
        <w:jc w:val="both"/>
      </w:pPr>
      <w:r>
        <w:t xml:space="preserve">Ing. </w:t>
      </w:r>
      <w:proofErr w:type="spellStart"/>
      <w:r>
        <w:t>Cvachová</w:t>
      </w:r>
      <w:proofErr w:type="spellEnd"/>
      <w:r>
        <w:t xml:space="preserve"> Helena – konateľ</w:t>
      </w:r>
    </w:p>
    <w:p w:rsidR="006E6814" w:rsidRDefault="006E6814" w:rsidP="0006350B">
      <w:pPr>
        <w:pStyle w:val="Bezriadkovania"/>
        <w:jc w:val="both"/>
      </w:pPr>
      <w:r>
        <w:t>Ostatné (viď tabuľka bod 2 prílohy)</w:t>
      </w:r>
    </w:p>
    <w:p w:rsidR="00B21598" w:rsidRDefault="00B21598" w:rsidP="0006350B">
      <w:pPr>
        <w:pStyle w:val="Bezriadkovania"/>
        <w:jc w:val="both"/>
      </w:pPr>
    </w:p>
    <w:p w:rsidR="006E6814" w:rsidRPr="00AC7292" w:rsidRDefault="00AC7292" w:rsidP="0006350B">
      <w:pPr>
        <w:pStyle w:val="Bezriadkovania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C7292">
        <w:rPr>
          <w:b/>
        </w:rPr>
        <w:t>III.</w:t>
      </w:r>
    </w:p>
    <w:p w:rsidR="006E6814" w:rsidRDefault="006E6814" w:rsidP="0006350B">
      <w:pPr>
        <w:pStyle w:val="Bezriadkovania"/>
        <w:jc w:val="both"/>
      </w:pPr>
    </w:p>
    <w:p w:rsidR="006E6814" w:rsidRDefault="006E6814" w:rsidP="00B21598">
      <w:pPr>
        <w:pStyle w:val="Bezriadkovania"/>
        <w:jc w:val="both"/>
      </w:pPr>
      <w:r>
        <w:rPr>
          <w:b/>
        </w:rPr>
        <w:t xml:space="preserve">Spoločnosť </w:t>
      </w:r>
      <w:r w:rsidR="0006350B">
        <w:t>použité účtovné metódy a zásady aplikovala za predpokladu nepretržitého  pokračovania vo svojej činnosti.</w:t>
      </w:r>
    </w:p>
    <w:p w:rsidR="0006350B" w:rsidRDefault="0006350B" w:rsidP="0006350B">
      <w:pPr>
        <w:pStyle w:val="Bezriadkovania"/>
        <w:jc w:val="both"/>
      </w:pPr>
    </w:p>
    <w:p w:rsidR="0006350B" w:rsidRDefault="0006350B" w:rsidP="0006350B">
      <w:pPr>
        <w:pStyle w:val="Bezriadkovania"/>
        <w:jc w:val="both"/>
        <w:rPr>
          <w:b/>
        </w:rPr>
      </w:pPr>
      <w:r>
        <w:rPr>
          <w:b/>
        </w:rPr>
        <w:t>Spôsob oceňovania jednotlivých zložiek majetku a záväzkov</w:t>
      </w:r>
    </w:p>
    <w:p w:rsidR="0006350B" w:rsidRDefault="0006350B" w:rsidP="0006350B">
      <w:pPr>
        <w:pStyle w:val="Bezriadkovania"/>
        <w:jc w:val="both"/>
        <w:rPr>
          <w:b/>
        </w:rPr>
      </w:pPr>
    </w:p>
    <w:p w:rsidR="0006350B" w:rsidRDefault="0006350B" w:rsidP="0006350B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Dlhodobý nehmotný a hmotný majetok.</w:t>
      </w:r>
    </w:p>
    <w:p w:rsidR="0006350B" w:rsidRDefault="0006350B" w:rsidP="0006350B">
      <w:pPr>
        <w:pStyle w:val="Bezriadkovania"/>
        <w:jc w:val="both"/>
      </w:pPr>
      <w:r>
        <w:rPr>
          <w:u w:val="single"/>
        </w:rPr>
        <w:t xml:space="preserve">Dlhodobý majetok nakupovaný </w:t>
      </w:r>
      <w:r>
        <w:t>sa oceňuje obstarávacou cenou, ktorá zahrňuje cenu obstarania a náklady súvisiace s obstaraním (clo, dovoznú prirážku, prepravu, montáž, poistné a pod.). Obstarávacia cena nezahŕňa úroky z cudzích zdrojov, ani realizované kurzové rozdiely vzniknuté do momentu uvedenia dlhodobého majetku do používania.</w:t>
      </w:r>
    </w:p>
    <w:p w:rsidR="0006350B" w:rsidRDefault="0006350B" w:rsidP="0006350B">
      <w:pPr>
        <w:pStyle w:val="Bezriadkovania"/>
        <w:jc w:val="both"/>
      </w:pPr>
      <w:r>
        <w:rPr>
          <w:u w:val="single"/>
        </w:rPr>
        <w:t>Dlhodobý majetok vytvorený vlastnou činnosťou</w:t>
      </w:r>
      <w:r>
        <w:t xml:space="preserve"> sa oceňuje vlastnými nákladmi. Vlastnými nákladmi sú všetky priame náklady (priamy materiál, priame mzdy, ostatné priame náklady.</w:t>
      </w:r>
    </w:p>
    <w:p w:rsidR="0006350B" w:rsidRDefault="0006350B" w:rsidP="0006350B">
      <w:pPr>
        <w:pStyle w:val="Bezriadkovania"/>
        <w:jc w:val="both"/>
      </w:pPr>
      <w:r>
        <w:t>Nehmotný majetok, ktorého obstarávacia cena je 2 400  EUR a nižšia s dobou použiteľnosti dlhšou ako jeden rok sa účtuje na ťarchu účtu 518. Nehmotný majetok nad 2400 EUR s dobou použiteľnosti nad jeden rok sa účtuje na účty skupiny 01x prostredníctvom 041.</w:t>
      </w:r>
    </w:p>
    <w:p w:rsidR="0006350B" w:rsidRDefault="0006350B" w:rsidP="0006350B">
      <w:pPr>
        <w:pStyle w:val="Bezriadkovania"/>
        <w:jc w:val="both"/>
      </w:pPr>
      <w:r>
        <w:t xml:space="preserve">Nehmotný majetok sa odpíše najneskôr do </w:t>
      </w:r>
      <w:r w:rsidR="002C0E5C">
        <w:t>štyroch</w:t>
      </w:r>
      <w:r>
        <w:t xml:space="preserve"> rokov od jeho obstarania v súlade s účt</w:t>
      </w:r>
      <w:r w:rsidR="00B21598">
        <w:t>ovnými</w:t>
      </w:r>
      <w:r>
        <w:t xml:space="preserve"> </w:t>
      </w:r>
      <w:r w:rsidR="002C0E5C">
        <w:t>p</w:t>
      </w:r>
      <w:r>
        <w:t xml:space="preserve">redpismi najviac do výšky vstupnej ceny (§25. Technické zhodnotenie tohto majetku sa odpíše najneskôr do </w:t>
      </w:r>
      <w:r w:rsidR="002C0E5C">
        <w:t>štyroch</w:t>
      </w:r>
      <w:r>
        <w:t xml:space="preserve"> rokov od jeho dokončenia a zaradenia do užívania</w:t>
      </w:r>
      <w:r w:rsidR="00B21598">
        <w:rPr>
          <w:lang w:val="en-US"/>
        </w:rPr>
        <w:t>)</w:t>
      </w:r>
      <w:r>
        <w:t>.</w:t>
      </w:r>
    </w:p>
    <w:p w:rsidR="0006350B" w:rsidRDefault="0006350B" w:rsidP="0006350B">
      <w:pPr>
        <w:pStyle w:val="Bezriadkovania"/>
        <w:jc w:val="both"/>
      </w:pPr>
    </w:p>
    <w:p w:rsidR="0006350B" w:rsidRDefault="0006350B" w:rsidP="0006350B">
      <w:pPr>
        <w:pStyle w:val="Bezriadkovania"/>
        <w:jc w:val="both"/>
      </w:pPr>
      <w:r>
        <w:lastRenderedPageBreak/>
        <w:t>Účtovné odpisy dlhodobého hmotného majetku sú stanovené na základe odpisových skupín. Dlhodobý hmotný majetok, ktorého obstarávacia cena je 1 700 EUR a nižšia, s dobou použiteľnosti dlhšou ako jeden rok, sa účtuje na ťarchu nákladov a je k nemu ved</w:t>
      </w:r>
      <w:r w:rsidR="00874B61">
        <w:t>ená evidencia. Dlhodobý hmotný majetok nad 1 700 EUR, s dobou použiteľnosti dlhšou ako jeden rok, sa účtuje na účty skupiny 02x prostredníc</w:t>
      </w:r>
      <w:r w:rsidR="00B21598">
        <w:t>t</w:t>
      </w:r>
      <w:r w:rsidR="00874B61">
        <w:t>vom účtu 042.</w:t>
      </w:r>
    </w:p>
    <w:p w:rsidR="00874B61" w:rsidRDefault="00874B61" w:rsidP="0006350B">
      <w:pPr>
        <w:pStyle w:val="Bezriadkovania"/>
        <w:jc w:val="both"/>
      </w:pPr>
      <w:r>
        <w:t>Hmotný majetok sa odpisuje metódou rovnomerného odpisovania §27, alebo metódou zrýchleného odpisovania §28. Spôsob odpisovania sa určí pre každý novoobstaraný hmotný majetok a nemožno ho zmeniť po celú dobu jeho odpisovania.</w:t>
      </w:r>
    </w:p>
    <w:p w:rsidR="00874B61" w:rsidRDefault="00874B61" w:rsidP="0006350B">
      <w:pPr>
        <w:pStyle w:val="Bezriadkovania"/>
        <w:jc w:val="both"/>
      </w:pPr>
      <w:r>
        <w:t>Technické zhodnotenie dlhodobého majetku v prípade ak je jeho cena vo výške 1 700 EUR a menej v úhrne za účtovné obdobie sa zaúčtuje do nákladov.</w:t>
      </w:r>
    </w:p>
    <w:p w:rsidR="00874B61" w:rsidRDefault="00874B61" w:rsidP="0006350B">
      <w:pPr>
        <w:pStyle w:val="Bezriadkovania"/>
        <w:jc w:val="both"/>
      </w:pPr>
    </w:p>
    <w:tbl>
      <w:tblPr>
        <w:tblpPr w:leftFromText="141" w:rightFromText="141" w:vertAnchor="text" w:horzAnchor="margin" w:tblpXSpec="center" w:tblpY="18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9"/>
        <w:gridCol w:w="2296"/>
        <w:gridCol w:w="2269"/>
      </w:tblGrid>
      <w:tr w:rsidR="007D17BC" w:rsidTr="007D17BC">
        <w:trPr>
          <w:trHeight w:val="556"/>
        </w:trPr>
        <w:tc>
          <w:tcPr>
            <w:tcW w:w="2339" w:type="dxa"/>
            <w:vMerge w:val="restart"/>
          </w:tcPr>
          <w:p w:rsidR="007D17BC" w:rsidRDefault="007D17BC" w:rsidP="007D17BC">
            <w:pPr>
              <w:pStyle w:val="Bezriadkovania"/>
              <w:jc w:val="both"/>
            </w:pPr>
            <w:r>
              <w:t>Typ hmotného IM</w:t>
            </w:r>
          </w:p>
          <w:p w:rsidR="007D17BC" w:rsidRDefault="007D17BC" w:rsidP="007D17BC">
            <w:pPr>
              <w:pStyle w:val="Bezriadkovania"/>
              <w:jc w:val="both"/>
            </w:pPr>
          </w:p>
          <w:p w:rsidR="007D17BC" w:rsidRDefault="007D17BC" w:rsidP="007D17BC">
            <w:pPr>
              <w:pStyle w:val="Bezriadkovania"/>
              <w:jc w:val="both"/>
            </w:pPr>
            <w:r>
              <w:t>Stoje prístroje a </w:t>
            </w:r>
            <w:proofErr w:type="spellStart"/>
            <w:r>
              <w:t>zariad</w:t>
            </w:r>
            <w:proofErr w:type="spellEnd"/>
            <w:r>
              <w:t>.</w:t>
            </w:r>
          </w:p>
          <w:p w:rsidR="007D17BC" w:rsidRDefault="007D17BC" w:rsidP="007D17BC">
            <w:pPr>
              <w:pStyle w:val="Bezriadkovania"/>
              <w:jc w:val="both"/>
            </w:pPr>
            <w:r>
              <w:t>budovy,</w:t>
            </w:r>
            <w:r w:rsidR="00AC7292">
              <w:t xml:space="preserve"> </w:t>
            </w:r>
            <w:r>
              <w:t>stav</w:t>
            </w:r>
            <w:r w:rsidR="00AC7292">
              <w:t>b</w:t>
            </w:r>
            <w:r>
              <w:t>y</w:t>
            </w:r>
          </w:p>
          <w:p w:rsidR="007D17BC" w:rsidRDefault="007D17BC" w:rsidP="007D17BC">
            <w:pPr>
              <w:pStyle w:val="Bezriadkovania"/>
              <w:jc w:val="both"/>
            </w:pPr>
            <w:r>
              <w:t>dopravné prostriedky</w:t>
            </w:r>
          </w:p>
          <w:p w:rsidR="007D17BC" w:rsidRDefault="007D17BC" w:rsidP="007D17BC">
            <w:pPr>
              <w:pStyle w:val="Bezriadkovania"/>
              <w:jc w:val="both"/>
            </w:pPr>
            <w:r>
              <w:t>DHM do 1 700 EUR</w:t>
            </w:r>
          </w:p>
        </w:tc>
        <w:tc>
          <w:tcPr>
            <w:tcW w:w="2296" w:type="dxa"/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Predpokladaná</w:t>
            </w:r>
          </w:p>
          <w:p w:rsidR="007D17BC" w:rsidRDefault="007D17BC" w:rsidP="007D17BC">
            <w:pPr>
              <w:pStyle w:val="Bezriadkovania"/>
            </w:pPr>
            <w:r>
              <w:t>Doba požívania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Metóda</w:t>
            </w:r>
          </w:p>
          <w:p w:rsidR="007D17BC" w:rsidRDefault="007D17BC" w:rsidP="007D17BC">
            <w:pPr>
              <w:pStyle w:val="Bezriadkovania"/>
            </w:pPr>
            <w:r>
              <w:t>Odpisovania</w:t>
            </w:r>
          </w:p>
        </w:tc>
      </w:tr>
      <w:tr w:rsidR="007D17BC" w:rsidTr="007D17BC">
        <w:trPr>
          <w:trHeight w:val="258"/>
        </w:trPr>
        <w:tc>
          <w:tcPr>
            <w:tcW w:w="2339" w:type="dxa"/>
            <w:vMerge/>
          </w:tcPr>
          <w:p w:rsidR="007D17BC" w:rsidRDefault="007D17BC" w:rsidP="007D17BC">
            <w:pPr>
              <w:pStyle w:val="Bezriadkovania"/>
              <w:jc w:val="both"/>
            </w:pPr>
          </w:p>
        </w:tc>
        <w:tc>
          <w:tcPr>
            <w:tcW w:w="2296" w:type="dxa"/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4 až 6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Zrýchlená, rovnomerná</w:t>
            </w:r>
          </w:p>
        </w:tc>
      </w:tr>
      <w:tr w:rsidR="007D17BC" w:rsidTr="007D17BC">
        <w:trPr>
          <w:trHeight w:val="285"/>
        </w:trPr>
        <w:tc>
          <w:tcPr>
            <w:tcW w:w="2339" w:type="dxa"/>
            <w:vMerge/>
          </w:tcPr>
          <w:p w:rsidR="007D17BC" w:rsidRDefault="007D17BC" w:rsidP="007D17BC">
            <w:pPr>
              <w:pStyle w:val="Bezriadkovania"/>
              <w:jc w:val="both"/>
            </w:pPr>
          </w:p>
        </w:tc>
        <w:tc>
          <w:tcPr>
            <w:tcW w:w="2296" w:type="dxa"/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12 až 20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Rovnomerná, zrýchlená</w:t>
            </w:r>
          </w:p>
        </w:tc>
      </w:tr>
      <w:tr w:rsidR="007D17BC" w:rsidTr="007D17BC">
        <w:trPr>
          <w:trHeight w:val="285"/>
        </w:trPr>
        <w:tc>
          <w:tcPr>
            <w:tcW w:w="2339" w:type="dxa"/>
            <w:vMerge/>
          </w:tcPr>
          <w:p w:rsidR="007D17BC" w:rsidRDefault="007D17BC" w:rsidP="007D17BC">
            <w:pPr>
              <w:pStyle w:val="Bezriadkovania"/>
              <w:jc w:val="both"/>
            </w:pPr>
          </w:p>
        </w:tc>
        <w:tc>
          <w:tcPr>
            <w:tcW w:w="2296" w:type="dxa"/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4 až 6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Zrýchlená, rovnomerná</w:t>
            </w:r>
          </w:p>
        </w:tc>
      </w:tr>
      <w:tr w:rsidR="007D17BC" w:rsidTr="007D17BC">
        <w:trPr>
          <w:trHeight w:val="285"/>
        </w:trPr>
        <w:tc>
          <w:tcPr>
            <w:tcW w:w="2339" w:type="dxa"/>
            <w:vMerge/>
          </w:tcPr>
          <w:p w:rsidR="007D17BC" w:rsidRDefault="007D17BC" w:rsidP="007D17BC">
            <w:pPr>
              <w:pStyle w:val="Bezriadkovania"/>
              <w:jc w:val="both"/>
            </w:pPr>
          </w:p>
        </w:tc>
        <w:tc>
          <w:tcPr>
            <w:tcW w:w="2296" w:type="dxa"/>
            <w:shd w:val="clear" w:color="auto" w:fill="auto"/>
          </w:tcPr>
          <w:p w:rsidR="007D17BC" w:rsidRDefault="00B21598" w:rsidP="007D17BC">
            <w:pPr>
              <w:pStyle w:val="Bezriadkovania"/>
            </w:pPr>
            <w:r>
              <w:t>R</w:t>
            </w:r>
            <w:r w:rsidR="007D17BC">
              <w:t>ôzna</w:t>
            </w:r>
          </w:p>
        </w:tc>
        <w:tc>
          <w:tcPr>
            <w:tcW w:w="2269" w:type="dxa"/>
            <w:tcBorders>
              <w:bottom w:val="single" w:sz="4" w:space="0" w:color="auto"/>
            </w:tcBorders>
            <w:shd w:val="clear" w:color="auto" w:fill="auto"/>
          </w:tcPr>
          <w:p w:rsidR="007D17BC" w:rsidRDefault="007D17BC" w:rsidP="007D17BC">
            <w:pPr>
              <w:pStyle w:val="Bezriadkovania"/>
            </w:pPr>
            <w:r>
              <w:t>neodpisuje sa</w:t>
            </w:r>
          </w:p>
        </w:tc>
      </w:tr>
    </w:tbl>
    <w:p w:rsidR="00874B61" w:rsidRDefault="00874B61" w:rsidP="0006350B">
      <w:pPr>
        <w:pStyle w:val="Bezriadkovania"/>
        <w:jc w:val="both"/>
      </w:pPr>
    </w:p>
    <w:p w:rsidR="00874B61" w:rsidRDefault="00874B61" w:rsidP="00E55923">
      <w:pPr>
        <w:pStyle w:val="Bezriadkovania"/>
        <w:jc w:val="both"/>
      </w:pPr>
      <w:r>
        <w:tab/>
      </w:r>
      <w:r>
        <w:tab/>
      </w:r>
      <w:r>
        <w:tab/>
      </w:r>
      <w:r w:rsidR="00E55923">
        <w:t xml:space="preserve"> </w:t>
      </w: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E55923">
      <w:pPr>
        <w:pStyle w:val="Bezriadkovania"/>
        <w:jc w:val="both"/>
      </w:pPr>
    </w:p>
    <w:p w:rsidR="007D17BC" w:rsidRDefault="007D17BC" w:rsidP="007D17BC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Zásoby</w:t>
      </w:r>
    </w:p>
    <w:p w:rsidR="007D17BC" w:rsidRDefault="00D4767D" w:rsidP="007D17BC">
      <w:pPr>
        <w:pStyle w:val="Bezriadkovania"/>
        <w:jc w:val="both"/>
      </w:pPr>
      <w:r>
        <w:t>V roku 201</w:t>
      </w:r>
      <w:r w:rsidR="002C0E5C">
        <w:t>3</w:t>
      </w:r>
      <w:r w:rsidR="007D17BC">
        <w:t xml:space="preserve"> spoločnosť účtovala o</w:t>
      </w:r>
      <w:r w:rsidR="002C0E5C">
        <w:t> </w:t>
      </w:r>
      <w:r w:rsidR="007D17BC">
        <w:t>zásobách</w:t>
      </w:r>
      <w:r w:rsidR="002C0E5C">
        <w:t xml:space="preserve"> materiálu a o zásobách</w:t>
      </w:r>
      <w:r w:rsidR="007D17BC">
        <w:t xml:space="preserve"> </w:t>
      </w:r>
      <w:r w:rsidR="002C0E5C">
        <w:t>tovaru</w:t>
      </w:r>
      <w:r w:rsidR="007D17BC">
        <w:t>. Ocenenie zásob tovaru – tovar sa oceňuje v obstarávacích cenách , pričom táto cena je účtovaná na analytických účtoch</w:t>
      </w:r>
      <w:r w:rsidR="002C0E5C">
        <w:t>.</w:t>
      </w:r>
      <w:r w:rsidR="007D17BC">
        <w:t xml:space="preserve"> Odchýlka sa rozpúšťa po zohľadnení skutočnej ceny zásob zostávajúcich na sklade a zúčtuje sa do nákladov. Obstarávacie náklady sa rozpúšťajú koeficientom v pomere k obratu zásob tovaru na sklade.</w:t>
      </w:r>
    </w:p>
    <w:p w:rsidR="002C0E5C" w:rsidRDefault="002C0E5C" w:rsidP="007D17BC">
      <w:pPr>
        <w:pStyle w:val="Bezriadkovania"/>
        <w:jc w:val="both"/>
      </w:pPr>
    </w:p>
    <w:p w:rsidR="007D17BC" w:rsidRDefault="007D17BC" w:rsidP="007D17BC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Pohľadávky</w:t>
      </w:r>
    </w:p>
    <w:p w:rsidR="007D17BC" w:rsidRDefault="007D17BC" w:rsidP="007D17BC">
      <w:pPr>
        <w:pStyle w:val="Bezriadkovania"/>
        <w:jc w:val="both"/>
      </w:pPr>
      <w:r>
        <w:t>Pohľadávky sa oceňujú ich nominálnou hodnotou.</w:t>
      </w:r>
    </w:p>
    <w:p w:rsidR="00B55C5A" w:rsidRDefault="00B55C5A" w:rsidP="007D17BC">
      <w:pPr>
        <w:pStyle w:val="Bezriadkovania"/>
        <w:jc w:val="both"/>
      </w:pPr>
    </w:p>
    <w:p w:rsidR="002C0E5C" w:rsidRDefault="002C0E5C" w:rsidP="007D17BC">
      <w:pPr>
        <w:pStyle w:val="Bezriadkovania"/>
        <w:jc w:val="both"/>
      </w:pPr>
    </w:p>
    <w:p w:rsidR="007D17BC" w:rsidRDefault="007D17BC" w:rsidP="007D17BC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Peňažné prostriedky a ceniny</w:t>
      </w:r>
    </w:p>
    <w:p w:rsidR="007D17BC" w:rsidRDefault="007D17BC" w:rsidP="007D17BC">
      <w:pPr>
        <w:pStyle w:val="Bezriadkovania"/>
        <w:jc w:val="both"/>
      </w:pPr>
      <w:r>
        <w:t>Peňažné prostriedky a ceniny sa oceňujú ich nominálnou hodnotou.</w:t>
      </w:r>
    </w:p>
    <w:p w:rsidR="007D17BC" w:rsidRDefault="007D17BC" w:rsidP="007D17BC">
      <w:pPr>
        <w:pStyle w:val="Bezriadkovania"/>
        <w:jc w:val="both"/>
      </w:pPr>
    </w:p>
    <w:p w:rsidR="00B55C5A" w:rsidRDefault="00B55C5A" w:rsidP="007D17BC">
      <w:pPr>
        <w:pStyle w:val="Bezriadkovania"/>
        <w:jc w:val="both"/>
      </w:pPr>
    </w:p>
    <w:p w:rsidR="007D17BC" w:rsidRDefault="007D17BC" w:rsidP="007D17BC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Náklady budúcich období a príjmy budúcich období</w:t>
      </w:r>
    </w:p>
    <w:p w:rsidR="007D17BC" w:rsidRDefault="007D17BC" w:rsidP="007D17BC">
      <w:pPr>
        <w:pStyle w:val="Bezriadkovania"/>
        <w:jc w:val="both"/>
      </w:pPr>
      <w:r>
        <w:t>Náklady budúcich období a príjmy budúcich období sa vykazujú vo výške, ktorá je potrebná na dodržanie zásady vecne a časovej súvislosti s účtovným obdobím.</w:t>
      </w:r>
    </w:p>
    <w:p w:rsidR="007D17BC" w:rsidRDefault="007D17BC" w:rsidP="007D17BC">
      <w:pPr>
        <w:pStyle w:val="Bezriadkovania"/>
        <w:jc w:val="both"/>
      </w:pPr>
    </w:p>
    <w:p w:rsidR="00B55C5A" w:rsidRDefault="00B55C5A" w:rsidP="007D17BC">
      <w:pPr>
        <w:pStyle w:val="Bezriadkovania"/>
        <w:jc w:val="both"/>
      </w:pPr>
    </w:p>
    <w:p w:rsidR="007D17BC" w:rsidRDefault="007D17BC" w:rsidP="007D17BC">
      <w:pPr>
        <w:pStyle w:val="Bezriadkovania"/>
        <w:numPr>
          <w:ilvl w:val="0"/>
          <w:numId w:val="1"/>
        </w:numPr>
        <w:jc w:val="both"/>
        <w:rPr>
          <w:b/>
        </w:rPr>
      </w:pPr>
      <w:r>
        <w:rPr>
          <w:b/>
        </w:rPr>
        <w:t>Záväzky</w:t>
      </w:r>
    </w:p>
    <w:p w:rsidR="007D17BC" w:rsidRDefault="007D17BC" w:rsidP="007D17BC">
      <w:pPr>
        <w:pStyle w:val="Bezriadkovania"/>
        <w:jc w:val="both"/>
      </w:pPr>
      <w:r>
        <w:t>Záväzky sa oceňujú ich nominálnou hodnotou.</w:t>
      </w:r>
    </w:p>
    <w:p w:rsidR="00E861D0" w:rsidRDefault="00E861D0" w:rsidP="007D17BC">
      <w:pPr>
        <w:pStyle w:val="Bezriadkovania"/>
        <w:jc w:val="both"/>
      </w:pPr>
    </w:p>
    <w:p w:rsidR="00E861D0" w:rsidRDefault="00E861D0" w:rsidP="007D17BC">
      <w:pPr>
        <w:pStyle w:val="Bezriadkovania"/>
        <w:jc w:val="both"/>
        <w:rPr>
          <w:b/>
        </w:rPr>
      </w:pPr>
      <w:r>
        <w:rPr>
          <w:b/>
        </w:rPr>
        <w:t xml:space="preserve">   </w:t>
      </w:r>
    </w:p>
    <w:p w:rsidR="00E861D0" w:rsidRDefault="00E861D0" w:rsidP="007D17BC">
      <w:pPr>
        <w:pStyle w:val="Bezriadkovania"/>
        <w:jc w:val="both"/>
      </w:pPr>
      <w:r>
        <w:rPr>
          <w:b/>
        </w:rPr>
        <w:t xml:space="preserve">      j)   </w:t>
      </w:r>
      <w:r>
        <w:rPr>
          <w:b/>
        </w:rPr>
        <w:tab/>
        <w:t>Nevyfakturované dodávky a rezervy</w:t>
      </w:r>
      <w:r>
        <w:t>.</w:t>
      </w:r>
    </w:p>
    <w:p w:rsidR="00E861D0" w:rsidRDefault="00D4767D" w:rsidP="007D17BC">
      <w:pPr>
        <w:pStyle w:val="Bezriadkovania"/>
        <w:jc w:val="both"/>
      </w:pPr>
      <w:r>
        <w:t>V r</w:t>
      </w:r>
      <w:r w:rsidR="002C0E5C">
        <w:t>oku</w:t>
      </w:r>
      <w:r>
        <w:t xml:space="preserve"> 201</w:t>
      </w:r>
      <w:r w:rsidR="002C0E5C">
        <w:t>3</w:t>
      </w:r>
      <w:r w:rsidR="00E861D0">
        <w:t xml:space="preserve"> spoločnosť účtovala na účtoch rezerv – nevyčerpanú dovolenku vrátane odvodov do poistných fondov, nevyfakturované dodávky, pri ktorých je neurčité ča</w:t>
      </w:r>
      <w:r w:rsidR="002C0E5C">
        <w:t>sové vymedzenie a výška záväzku, audit, daňová uzávierka.</w:t>
      </w:r>
    </w:p>
    <w:p w:rsidR="00E861D0" w:rsidRDefault="00E861D0" w:rsidP="007D17BC">
      <w:pPr>
        <w:pStyle w:val="Bezriadkovania"/>
        <w:jc w:val="both"/>
      </w:pPr>
    </w:p>
    <w:p w:rsidR="00B21598" w:rsidRDefault="00B21598" w:rsidP="007D17BC">
      <w:pPr>
        <w:pStyle w:val="Bezriadkovania"/>
        <w:jc w:val="both"/>
      </w:pPr>
    </w:p>
    <w:p w:rsidR="00B55C5A" w:rsidRDefault="00B55C5A" w:rsidP="007D17BC">
      <w:pPr>
        <w:pStyle w:val="Bezriadkovania"/>
        <w:jc w:val="both"/>
      </w:pPr>
    </w:p>
    <w:p w:rsidR="00E861D0" w:rsidRDefault="00E861D0" w:rsidP="00E861D0">
      <w:pPr>
        <w:pStyle w:val="Bezriadkovania"/>
        <w:ind w:firstLine="708"/>
        <w:jc w:val="both"/>
        <w:rPr>
          <w:b/>
        </w:rPr>
      </w:pPr>
      <w:r>
        <w:rPr>
          <w:b/>
        </w:rPr>
        <w:lastRenderedPageBreak/>
        <w:t>k)</w:t>
      </w:r>
      <w:r>
        <w:rPr>
          <w:b/>
        </w:rPr>
        <w:tab/>
        <w:t>Cudzia mena</w:t>
      </w:r>
    </w:p>
    <w:p w:rsidR="00E861D0" w:rsidRDefault="00E861D0" w:rsidP="00E861D0">
      <w:pPr>
        <w:pStyle w:val="Bezriadkovania"/>
        <w:jc w:val="both"/>
      </w:pPr>
      <w:r>
        <w:t>Majetok, záväzky a pohľadávky vyjadrené v cudzej mene sa prepočítavajú na eurá kurzom určeným v kurzovom lístku Európskej centrálnej banky platným deň pred uskutočnením účtovného prípadu.</w:t>
      </w:r>
    </w:p>
    <w:p w:rsidR="00E861D0" w:rsidRDefault="00E861D0" w:rsidP="00E861D0">
      <w:pPr>
        <w:pStyle w:val="Bezriadkovania"/>
        <w:jc w:val="both"/>
      </w:pPr>
      <w:r>
        <w:t>Kurzové straty a zisky vypočítané ku dňu, ku ktorému sa účtovná závierka zostavuje, sa účtujú priamo do finančných nákladov a výnosov a majú vplyv na hospodársky výsledok.</w:t>
      </w:r>
    </w:p>
    <w:p w:rsidR="00E861D0" w:rsidRDefault="00E861D0" w:rsidP="00E861D0">
      <w:pPr>
        <w:pStyle w:val="Bezriadkovania"/>
        <w:jc w:val="both"/>
      </w:pPr>
    </w:p>
    <w:p w:rsidR="00E861D0" w:rsidRDefault="00E861D0" w:rsidP="00E861D0">
      <w:pPr>
        <w:pStyle w:val="Bezriadkovania"/>
        <w:jc w:val="both"/>
      </w:pPr>
      <w:r>
        <w:t>Jednotlivé zložky majetku, záväzkov a pohľadávok sú od 01.01.2009 prepočítané na eurá pričom bol použitý konverzný kurz vyhlásený Európskou centrálnou bankou 30,1260Sk za 1EURO.</w:t>
      </w:r>
    </w:p>
    <w:p w:rsidR="00AC7292" w:rsidRDefault="00AC7292" w:rsidP="00E861D0">
      <w:pPr>
        <w:pStyle w:val="Bezriadkovania"/>
        <w:jc w:val="both"/>
      </w:pPr>
    </w:p>
    <w:p w:rsidR="00B55C5A" w:rsidRDefault="00B55C5A" w:rsidP="00E861D0">
      <w:pPr>
        <w:pStyle w:val="Bezriadkovania"/>
        <w:jc w:val="both"/>
      </w:pPr>
    </w:p>
    <w:p w:rsidR="00AC7292" w:rsidRDefault="00AC7292" w:rsidP="00E861D0">
      <w:pPr>
        <w:pStyle w:val="Bezriadkovania"/>
        <w:jc w:val="both"/>
        <w:rPr>
          <w:b/>
        </w:rPr>
      </w:pPr>
      <w:r>
        <w:rPr>
          <w:b/>
        </w:rPr>
        <w:tab/>
        <w:t>l)</w:t>
      </w:r>
      <w:r>
        <w:rPr>
          <w:b/>
        </w:rPr>
        <w:tab/>
        <w:t>Výnosy</w:t>
      </w:r>
    </w:p>
    <w:p w:rsidR="00B55C5A" w:rsidRPr="00D11641" w:rsidRDefault="00D4767D" w:rsidP="00D11641">
      <w:pPr>
        <w:pStyle w:val="Bezriadkovania"/>
        <w:jc w:val="both"/>
      </w:pPr>
      <w:r>
        <w:t>V</w:t>
      </w:r>
      <w:r w:rsidR="002C0E5C">
        <w:t> </w:t>
      </w:r>
      <w:r>
        <w:t>r</w:t>
      </w:r>
      <w:r w:rsidR="002C0E5C">
        <w:t xml:space="preserve">oku </w:t>
      </w:r>
      <w:r>
        <w:t>201</w:t>
      </w:r>
      <w:r w:rsidR="002C0E5C">
        <w:t>3</w:t>
      </w:r>
      <w:r w:rsidR="00AC7292">
        <w:t xml:space="preserve"> spoločnosť predávala tovar, služby.</w:t>
      </w:r>
    </w:p>
    <w:p w:rsidR="00B55C5A" w:rsidRDefault="00B55C5A" w:rsidP="00AC7292">
      <w:pPr>
        <w:pStyle w:val="Bezriadkovania"/>
        <w:jc w:val="center"/>
        <w:rPr>
          <w:b/>
        </w:rPr>
      </w:pPr>
    </w:p>
    <w:p w:rsidR="002C0E5C" w:rsidRDefault="002C0E5C" w:rsidP="00AC7292">
      <w:pPr>
        <w:pStyle w:val="Bezriadkovania"/>
        <w:jc w:val="center"/>
        <w:rPr>
          <w:b/>
        </w:rPr>
      </w:pPr>
    </w:p>
    <w:p w:rsidR="00B55C5A" w:rsidRDefault="00B55C5A" w:rsidP="00AC7292">
      <w:pPr>
        <w:pStyle w:val="Bezriadkovania"/>
        <w:jc w:val="center"/>
        <w:rPr>
          <w:b/>
        </w:rPr>
      </w:pPr>
    </w:p>
    <w:p w:rsidR="00AC7292" w:rsidRDefault="00AC7292" w:rsidP="00AC7292">
      <w:pPr>
        <w:pStyle w:val="Bezriadkovania"/>
        <w:jc w:val="center"/>
        <w:rPr>
          <w:b/>
        </w:rPr>
      </w:pPr>
      <w:r w:rsidRPr="00AC7292">
        <w:rPr>
          <w:b/>
        </w:rPr>
        <w:t>IV.</w:t>
      </w:r>
    </w:p>
    <w:p w:rsidR="00AC7292" w:rsidRDefault="00AC7292" w:rsidP="00AC7292">
      <w:pPr>
        <w:pStyle w:val="Bezriadkovania"/>
        <w:jc w:val="center"/>
        <w:rPr>
          <w:b/>
        </w:rPr>
      </w:pPr>
    </w:p>
    <w:p w:rsidR="00D52B41" w:rsidRDefault="00AC7292" w:rsidP="00B10F54">
      <w:pPr>
        <w:pStyle w:val="Bezriadkovania"/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Dlhodobý hmotný a nehmotný </w:t>
      </w:r>
      <w:r w:rsidR="00D52B41">
        <w:rPr>
          <w:b/>
        </w:rPr>
        <w:t>majetok, zásoby, pohľadávky, finančný majetok, časové rozlíšenie, vlastné imanie, rezervy, záväzky, sociálny fond</w:t>
      </w:r>
    </w:p>
    <w:p w:rsidR="00D52B41" w:rsidRDefault="00D52B41" w:rsidP="00D52B41">
      <w:pPr>
        <w:pStyle w:val="Bezriadkovania"/>
        <w:rPr>
          <w:b/>
        </w:rPr>
      </w:pPr>
    </w:p>
    <w:p w:rsidR="00D52B41" w:rsidRPr="00D52B41" w:rsidRDefault="00D52B41" w:rsidP="00D52B41">
      <w:pPr>
        <w:pStyle w:val="Bezriadkovania"/>
        <w:rPr>
          <w:b/>
        </w:rPr>
      </w:pPr>
    </w:p>
    <w:p w:rsidR="005D1579" w:rsidRDefault="00AC7292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>Prehľad o pohybe dlhodobého nehmotné</w:t>
      </w:r>
      <w:r w:rsidR="005D1579">
        <w:rPr>
          <w:b/>
        </w:rPr>
        <w:t>ho</w:t>
      </w:r>
      <w:r>
        <w:rPr>
          <w:b/>
        </w:rPr>
        <w:t xml:space="preserve"> majetku </w:t>
      </w:r>
      <w:r>
        <w:t>(</w:t>
      </w:r>
      <w:r w:rsidR="005D1579">
        <w:t>viď bod 3 prílohy tabuľka č.1,2)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pohybe dlhodobého hmotného majetku </w:t>
      </w:r>
      <w:r w:rsidRPr="005D1579">
        <w:t>(</w:t>
      </w:r>
      <w:r>
        <w:t>viď bod 5 prílohy tabuľka č.1,2)</w:t>
      </w:r>
    </w:p>
    <w:p w:rsid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pohybe dlhodobého finančného majetku </w:t>
      </w:r>
      <w:r>
        <w:t>(viď bod 7  prílohy tabuľka č. 1,2)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štruktúre dlhodobého finančného majetku </w:t>
      </w:r>
      <w:r>
        <w:t>(viď bod 9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poskytnutých dlhodobých pôžičkách </w:t>
      </w:r>
      <w:r>
        <w:t>(viď bod 11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vývoji opravnej položky k pohľadávkam </w:t>
      </w:r>
      <w:r>
        <w:t>(viď bod 15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vekovej štruktúre pohľadávok </w:t>
      </w:r>
      <w:r>
        <w:t>(viď bod 16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krátkodobom finančnom majetku </w:t>
      </w:r>
      <w:r>
        <w:t>(viď bod 18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významných položkách časového rozlíšenia na strane aktív </w:t>
      </w:r>
      <w:r>
        <w:t>(viď bod 22 prílohy)</w:t>
      </w:r>
    </w:p>
    <w:p w:rsidR="005D1579" w:rsidRPr="002C0E5C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majetku prenajatom formou finančného prenájmu </w:t>
      </w:r>
      <w:r>
        <w:t>(viď bod 23 prílohy)</w:t>
      </w:r>
    </w:p>
    <w:p w:rsidR="002C0E5C" w:rsidRPr="005D1579" w:rsidRDefault="002C0E5C" w:rsidP="00B10F54">
      <w:pPr>
        <w:pStyle w:val="Bezriadkovania"/>
        <w:numPr>
          <w:ilvl w:val="0"/>
          <w:numId w:val="6"/>
        </w:numPr>
        <w:jc w:val="both"/>
        <w:rPr>
          <w:b/>
        </w:rPr>
      </w:pPr>
      <w:r>
        <w:rPr>
          <w:b/>
        </w:rPr>
        <w:t>Prehľad o rozdelení účtovného zisku alebo o </w:t>
      </w:r>
      <w:proofErr w:type="spellStart"/>
      <w:r>
        <w:rPr>
          <w:b/>
        </w:rPr>
        <w:t>vysporiadaní</w:t>
      </w:r>
      <w:proofErr w:type="spellEnd"/>
      <w:r>
        <w:rPr>
          <w:b/>
        </w:rPr>
        <w:t xml:space="preserve"> účtov</w:t>
      </w:r>
      <w:r w:rsidR="00B10F54">
        <w:rPr>
          <w:b/>
        </w:rPr>
        <w:t xml:space="preserve">nej </w:t>
      </w:r>
      <w:r>
        <w:rPr>
          <w:b/>
        </w:rPr>
        <w:t xml:space="preserve">straty </w:t>
      </w:r>
      <w:r>
        <w:rPr>
          <w:lang w:val="en-US"/>
        </w:rPr>
        <w:t>(</w:t>
      </w:r>
      <w:r>
        <w:t>viď bod 24 prílohy</w:t>
      </w:r>
      <w:r>
        <w:rPr>
          <w:lang w:val="en-US"/>
        </w:rPr>
        <w:t>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rezervách </w:t>
      </w:r>
      <w:r>
        <w:t>(viď bod 25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záväzkoch </w:t>
      </w:r>
      <w:r>
        <w:t>(viď bod 26 prílohy)</w:t>
      </w:r>
    </w:p>
    <w:p w:rsidR="005D1579" w:rsidRPr="005D1579" w:rsidRDefault="005D1579" w:rsidP="00B10F54">
      <w:pPr>
        <w:pStyle w:val="Bezriadkovania"/>
        <w:numPr>
          <w:ilvl w:val="0"/>
          <w:numId w:val="6"/>
        </w:numPr>
        <w:jc w:val="both"/>
        <w:rPr>
          <w:b/>
        </w:rPr>
      </w:pPr>
      <w:r>
        <w:rPr>
          <w:b/>
        </w:rPr>
        <w:t>Prehľad o odloženej daňovej pohľadávke alebo o odloženom daňovom záväzku (</w:t>
      </w:r>
      <w:r>
        <w:t>viď bod 27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záväzkoch zo sociálneho fondu </w:t>
      </w:r>
      <w:r>
        <w:t>(viď bod 28 prílohy)</w:t>
      </w:r>
    </w:p>
    <w:p w:rsidR="005D1579" w:rsidRPr="005D1579" w:rsidRDefault="005D1579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významných položkách časového rozlíšenia na strane pasív </w:t>
      </w:r>
      <w:r>
        <w:t>(viď bod 31 prílohy)</w:t>
      </w:r>
    </w:p>
    <w:p w:rsidR="005D1579" w:rsidRPr="00B10F54" w:rsidRDefault="00D52B41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tržbách </w:t>
      </w:r>
      <w:r>
        <w:t>(viď bod 35 prílohy)</w:t>
      </w:r>
    </w:p>
    <w:p w:rsidR="00B10F54" w:rsidRPr="00D52B41" w:rsidRDefault="00B10F54" w:rsidP="00B10F54">
      <w:pPr>
        <w:pStyle w:val="Bezriadkovania"/>
        <w:numPr>
          <w:ilvl w:val="0"/>
          <w:numId w:val="6"/>
        </w:numPr>
        <w:jc w:val="both"/>
        <w:rPr>
          <w:b/>
        </w:rPr>
      </w:pPr>
      <w:r>
        <w:rPr>
          <w:b/>
        </w:rPr>
        <w:t>Prehľad o výnosoch pri aktivácií nákladov a o výnosoch z ho</w:t>
      </w:r>
      <w:r w:rsidR="00B21598">
        <w:rPr>
          <w:b/>
        </w:rPr>
        <w:t>s</w:t>
      </w:r>
      <w:r>
        <w:rPr>
          <w:b/>
        </w:rPr>
        <w:t xml:space="preserve">podárskej činnosti, finančnej činnosti a mimoriadnej činnosti </w:t>
      </w:r>
      <w:r>
        <w:rPr>
          <w:lang w:val="en-US"/>
        </w:rPr>
        <w:t>(</w:t>
      </w:r>
      <w:r>
        <w:t>viď bod 37 prílohy</w:t>
      </w:r>
      <w:r>
        <w:rPr>
          <w:lang w:val="en-US"/>
        </w:rPr>
        <w:t>)</w:t>
      </w:r>
    </w:p>
    <w:p w:rsidR="00D52B41" w:rsidRPr="00D52B41" w:rsidRDefault="00D52B41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čistom obrate </w:t>
      </w:r>
      <w:r>
        <w:t>(viď bod 38 prílohy)</w:t>
      </w:r>
    </w:p>
    <w:p w:rsidR="00D52B41" w:rsidRPr="00D52B41" w:rsidRDefault="00D52B41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nákladoch </w:t>
      </w:r>
      <w:r>
        <w:t>(viď bod 39 prílohy)</w:t>
      </w:r>
    </w:p>
    <w:p w:rsidR="00D52B41" w:rsidRPr="00D52B41" w:rsidRDefault="00D52B41" w:rsidP="005D1579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daniach z príjmov </w:t>
      </w:r>
      <w:r>
        <w:t>(viď bod 41 prílohy)</w:t>
      </w:r>
    </w:p>
    <w:p w:rsidR="00D52B41" w:rsidRPr="00D52B41" w:rsidRDefault="00D52B41" w:rsidP="00B10F54">
      <w:pPr>
        <w:pStyle w:val="Bezriadkovania"/>
        <w:numPr>
          <w:ilvl w:val="0"/>
          <w:numId w:val="6"/>
        </w:numPr>
        <w:jc w:val="both"/>
        <w:rPr>
          <w:b/>
        </w:rPr>
      </w:pPr>
      <w:r>
        <w:rPr>
          <w:b/>
        </w:rPr>
        <w:t xml:space="preserve">Prehľad o ekonomických vzťahoch medzi účtovnou jednotkou a spriaznenými osobami </w:t>
      </w:r>
      <w:r>
        <w:t>(viď bod 46 prílohy)</w:t>
      </w:r>
    </w:p>
    <w:p w:rsidR="00D52B41" w:rsidRPr="00D52B41" w:rsidRDefault="00D52B41" w:rsidP="00D52B41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zmenách vlastného imania </w:t>
      </w:r>
      <w:r>
        <w:t>(viď bod 47 prílohy tabuľka č. 1,2)</w:t>
      </w:r>
    </w:p>
    <w:p w:rsidR="00B55C5A" w:rsidRPr="00D11641" w:rsidRDefault="00D52B41" w:rsidP="00D11641">
      <w:pPr>
        <w:pStyle w:val="Bezriadkovania"/>
        <w:numPr>
          <w:ilvl w:val="0"/>
          <w:numId w:val="6"/>
        </w:numPr>
        <w:rPr>
          <w:b/>
        </w:rPr>
      </w:pPr>
      <w:r>
        <w:rPr>
          <w:b/>
        </w:rPr>
        <w:t xml:space="preserve">Prehľad o peňažných tokov </w:t>
      </w:r>
    </w:p>
    <w:p w:rsidR="00B55C5A" w:rsidRDefault="00B55C5A" w:rsidP="007D17BC">
      <w:pPr>
        <w:pStyle w:val="Bezriadkovania"/>
        <w:jc w:val="both"/>
        <w:rPr>
          <w:b/>
        </w:rPr>
      </w:pPr>
    </w:p>
    <w:p w:rsidR="00B55C5A" w:rsidRDefault="00B55C5A" w:rsidP="007D17BC">
      <w:pPr>
        <w:pStyle w:val="Bezriadkovania"/>
        <w:jc w:val="both"/>
        <w:rPr>
          <w:b/>
        </w:rPr>
      </w:pPr>
    </w:p>
    <w:p w:rsidR="00B10F54" w:rsidRDefault="00B10F54" w:rsidP="007D17BC">
      <w:pPr>
        <w:pStyle w:val="Bezriadkovania"/>
        <w:jc w:val="both"/>
        <w:rPr>
          <w:b/>
        </w:rPr>
      </w:pPr>
    </w:p>
    <w:p w:rsidR="00B55C5A" w:rsidRDefault="00B55C5A" w:rsidP="00B55C5A">
      <w:pPr>
        <w:pStyle w:val="Bezriadkovania"/>
        <w:jc w:val="center"/>
        <w:rPr>
          <w:b/>
        </w:rPr>
      </w:pPr>
      <w:r>
        <w:rPr>
          <w:b/>
        </w:rPr>
        <w:lastRenderedPageBreak/>
        <w:t>V.</w:t>
      </w:r>
    </w:p>
    <w:p w:rsidR="00B55C5A" w:rsidRDefault="00B55C5A" w:rsidP="00B55C5A">
      <w:pPr>
        <w:pStyle w:val="Bezriadkovania"/>
        <w:jc w:val="center"/>
        <w:rPr>
          <w:b/>
        </w:rPr>
      </w:pPr>
    </w:p>
    <w:p w:rsidR="00B55C5A" w:rsidRDefault="00A60135" w:rsidP="00A60135">
      <w:pPr>
        <w:pStyle w:val="Bezriadkovania"/>
        <w:jc w:val="both"/>
      </w:pPr>
      <w:r>
        <w:t>Od 01.08.2011, zmena programu (informačného systému) z </w:t>
      </w:r>
      <w:proofErr w:type="spellStart"/>
      <w:r>
        <w:t>Kodasu</w:t>
      </w:r>
      <w:proofErr w:type="spellEnd"/>
      <w:r>
        <w:t xml:space="preserve"> – IS </w:t>
      </w:r>
      <w:proofErr w:type="spellStart"/>
      <w:r>
        <w:t>BarIS</w:t>
      </w:r>
      <w:proofErr w:type="spellEnd"/>
      <w:r>
        <w:t>.</w:t>
      </w:r>
    </w:p>
    <w:p w:rsidR="00D4767D" w:rsidRDefault="00D4767D" w:rsidP="00B10F54">
      <w:pPr>
        <w:pStyle w:val="Bezriadkovania"/>
        <w:jc w:val="both"/>
      </w:pPr>
      <w:r>
        <w:t>Od 01.01.201</w:t>
      </w:r>
      <w:r w:rsidR="00B10F54">
        <w:t>3</w:t>
      </w:r>
      <w:r>
        <w:t xml:space="preserve"> do 31.12.201</w:t>
      </w:r>
      <w:r w:rsidR="00B10F54">
        <w:t>3</w:t>
      </w:r>
      <w:r>
        <w:t xml:space="preserve"> - </w:t>
      </w:r>
      <w:r w:rsidR="00D11641">
        <w:t>majetok poistený v</w:t>
      </w:r>
      <w:r>
        <w:t xml:space="preserve"> ČSOB Poisťovňa a.s. Bratislava a QBE </w:t>
      </w:r>
      <w:proofErr w:type="spellStart"/>
      <w:r>
        <w:t>Insurance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Košice.</w:t>
      </w:r>
    </w:p>
    <w:p w:rsidR="00B55C5A" w:rsidRDefault="00D4767D" w:rsidP="00B55C5A">
      <w:pPr>
        <w:pStyle w:val="Bezriadkovania"/>
        <w:jc w:val="both"/>
      </w:pPr>
      <w:r>
        <w:t>Po 31.12.201</w:t>
      </w:r>
      <w:r w:rsidR="00B10F54">
        <w:t>3</w:t>
      </w:r>
      <w:r w:rsidR="00B55C5A">
        <w:t xml:space="preserve"> nenastali udalosti s významným vplyvom na verné zobrazenie skutočnosti, ktoré sú predmetom účtovníctva.</w:t>
      </w:r>
    </w:p>
    <w:p w:rsidR="00B55C5A" w:rsidRDefault="00B55C5A" w:rsidP="00B55C5A">
      <w:pPr>
        <w:pStyle w:val="Bezriadkovania"/>
        <w:jc w:val="both"/>
      </w:pPr>
    </w:p>
    <w:p w:rsidR="00B55C5A" w:rsidRDefault="00D4767D" w:rsidP="00B55C5A">
      <w:pPr>
        <w:pStyle w:val="Bezriadkovania"/>
        <w:jc w:val="both"/>
      </w:pPr>
      <w:proofErr w:type="spellStart"/>
      <w:r>
        <w:rPr>
          <w:b/>
        </w:rPr>
        <w:t>Auditorské</w:t>
      </w:r>
      <w:proofErr w:type="spellEnd"/>
      <w:r>
        <w:rPr>
          <w:b/>
        </w:rPr>
        <w:t xml:space="preserve"> služby za rok 201</w:t>
      </w:r>
      <w:r w:rsidR="00B10F54">
        <w:rPr>
          <w:b/>
        </w:rPr>
        <w:t>3</w:t>
      </w:r>
      <w:r w:rsidR="00B55C5A">
        <w:t xml:space="preserve">: </w:t>
      </w:r>
      <w:r w:rsidR="00B10F54">
        <w:t xml:space="preserve">APX, s.r.o., </w:t>
      </w:r>
      <w:r w:rsidR="00B55C5A">
        <w:t>Považská Bystrica</w:t>
      </w:r>
    </w:p>
    <w:p w:rsidR="00B55C5A" w:rsidRDefault="00B55C5A" w:rsidP="00B55C5A">
      <w:pPr>
        <w:pStyle w:val="Bezriadkovania"/>
        <w:jc w:val="both"/>
      </w:pPr>
      <w:r>
        <w:tab/>
      </w:r>
      <w:r>
        <w:tab/>
      </w:r>
      <w:r>
        <w:tab/>
      </w:r>
      <w:r>
        <w:tab/>
        <w:t>suma bez DPH 3 820 EUR.</w:t>
      </w:r>
    </w:p>
    <w:p w:rsidR="00B55C5A" w:rsidRDefault="00B55C5A" w:rsidP="00B55C5A">
      <w:pPr>
        <w:pStyle w:val="Bezriadkovania"/>
        <w:jc w:val="both"/>
        <w:rPr>
          <w:b/>
        </w:rPr>
      </w:pPr>
    </w:p>
    <w:p w:rsidR="00B55C5A" w:rsidRDefault="00D4767D" w:rsidP="00B55C5A">
      <w:pPr>
        <w:pStyle w:val="Bezriadkovania"/>
        <w:jc w:val="both"/>
      </w:pPr>
      <w:r>
        <w:rPr>
          <w:b/>
        </w:rPr>
        <w:t>Daňové poradenstvo za rok 201</w:t>
      </w:r>
      <w:r w:rsidR="00B10F54">
        <w:rPr>
          <w:b/>
        </w:rPr>
        <w:t>3</w:t>
      </w:r>
      <w:r w:rsidR="00B55C5A">
        <w:rPr>
          <w:b/>
        </w:rPr>
        <w:t xml:space="preserve">: </w:t>
      </w:r>
      <w:r w:rsidR="00B55C5A">
        <w:t xml:space="preserve">APX, </w:t>
      </w:r>
      <w:proofErr w:type="spellStart"/>
      <w:r w:rsidR="00B55C5A">
        <w:t>s.r.o</w:t>
      </w:r>
      <w:proofErr w:type="spellEnd"/>
      <w:r w:rsidR="00B55C5A">
        <w:t>, Považská Bystrica</w:t>
      </w:r>
    </w:p>
    <w:p w:rsidR="00B55C5A" w:rsidRDefault="00B55C5A" w:rsidP="00B55C5A">
      <w:pPr>
        <w:pStyle w:val="Bezriadkovania"/>
        <w:jc w:val="both"/>
      </w:pPr>
      <w:r>
        <w:tab/>
      </w:r>
      <w:r>
        <w:tab/>
      </w:r>
      <w:r>
        <w:tab/>
      </w:r>
      <w:r>
        <w:tab/>
        <w:t xml:space="preserve">      suma bez DPH 4 000 EUR.</w:t>
      </w:r>
    </w:p>
    <w:p w:rsidR="00B55C5A" w:rsidRDefault="00B55C5A" w:rsidP="00B55C5A">
      <w:pPr>
        <w:pStyle w:val="Bezriadkovania"/>
        <w:jc w:val="both"/>
      </w:pPr>
    </w:p>
    <w:p w:rsidR="00B55C5A" w:rsidRDefault="00B55C5A" w:rsidP="00B55C5A">
      <w:pPr>
        <w:pStyle w:val="Bezriadkovania"/>
        <w:jc w:val="both"/>
      </w:pPr>
      <w:r>
        <w:rPr>
          <w:b/>
        </w:rPr>
        <w:t>Vypracovanie daňového priznani</w:t>
      </w:r>
      <w:r w:rsidR="00D4767D">
        <w:rPr>
          <w:b/>
        </w:rPr>
        <w:t>a za rok 201</w:t>
      </w:r>
      <w:r w:rsidR="00B10F54">
        <w:rPr>
          <w:b/>
        </w:rPr>
        <w:t>3</w:t>
      </w:r>
      <w:r>
        <w:rPr>
          <w:b/>
        </w:rPr>
        <w:t xml:space="preserve"> : </w:t>
      </w:r>
      <w:r>
        <w:t>APX, s.r.o., Považská Bystrica</w:t>
      </w:r>
    </w:p>
    <w:p w:rsidR="00B55C5A" w:rsidRDefault="00B55C5A" w:rsidP="00B55C5A">
      <w:pPr>
        <w:pStyle w:val="Bezriadkovani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suma bez DPH 830EUR.</w:t>
      </w: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A60135" w:rsidP="00B55C5A">
      <w:pPr>
        <w:pStyle w:val="Bezriadkovania"/>
        <w:jc w:val="both"/>
      </w:pPr>
    </w:p>
    <w:p w:rsidR="00A60135" w:rsidRDefault="00D4767D" w:rsidP="00B55C5A">
      <w:pPr>
        <w:pStyle w:val="Bezriadkovania"/>
        <w:jc w:val="both"/>
      </w:pPr>
      <w:r>
        <w:t>V Žiline dňa 26.0</w:t>
      </w:r>
      <w:r w:rsidR="00B10F54">
        <w:t>6</w:t>
      </w:r>
      <w:r>
        <w:t>.201</w:t>
      </w:r>
      <w:r w:rsidR="00B10F54">
        <w:t>4</w:t>
      </w:r>
      <w:r w:rsidR="00A60135">
        <w:t xml:space="preserve">  </w:t>
      </w:r>
      <w:r w:rsidR="00A60135">
        <w:tab/>
      </w:r>
      <w:r w:rsidR="00A60135">
        <w:tab/>
      </w:r>
      <w:r w:rsidR="00A60135">
        <w:tab/>
      </w:r>
      <w:r w:rsidR="00A60135">
        <w:tab/>
      </w:r>
      <w:r w:rsidR="00A60135">
        <w:tab/>
        <w:t>............................................</w:t>
      </w:r>
    </w:p>
    <w:p w:rsidR="00A60135" w:rsidRDefault="00A60135" w:rsidP="00B55C5A">
      <w:pPr>
        <w:pStyle w:val="Bezriadkovania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podpis štatutárneho orgánu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55C5A" w:rsidRDefault="00B55C5A" w:rsidP="00B55C5A">
      <w:pPr>
        <w:pStyle w:val="Bezriadkovania"/>
        <w:jc w:val="both"/>
      </w:pPr>
    </w:p>
    <w:p w:rsidR="00B55C5A" w:rsidRPr="00B55C5A" w:rsidRDefault="00B55C5A" w:rsidP="00B55C5A">
      <w:pPr>
        <w:pStyle w:val="Bezriadkovania"/>
        <w:jc w:val="both"/>
      </w:pPr>
    </w:p>
    <w:sectPr w:rsidR="00B55C5A" w:rsidRPr="00B55C5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2393" w:rsidRDefault="002A2393" w:rsidP="00B55C5A">
      <w:pPr>
        <w:spacing w:after="0" w:line="240" w:lineRule="auto"/>
      </w:pPr>
      <w:r>
        <w:separator/>
      </w:r>
    </w:p>
  </w:endnote>
  <w:endnote w:type="continuationSeparator" w:id="0">
    <w:p w:rsidR="002A2393" w:rsidRDefault="002A2393" w:rsidP="00B55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1865050"/>
      <w:docPartObj>
        <w:docPartGallery w:val="Page Numbers (Bottom of Page)"/>
        <w:docPartUnique/>
      </w:docPartObj>
    </w:sdtPr>
    <w:sdtEndPr/>
    <w:sdtContent>
      <w:p w:rsidR="00B55C5A" w:rsidRDefault="00B55C5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1598">
          <w:rPr>
            <w:noProof/>
          </w:rPr>
          <w:t>1</w:t>
        </w:r>
        <w:r>
          <w:fldChar w:fldCharType="end"/>
        </w:r>
      </w:p>
    </w:sdtContent>
  </w:sdt>
  <w:p w:rsidR="00B55C5A" w:rsidRDefault="00B55C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2393" w:rsidRDefault="002A2393" w:rsidP="00B55C5A">
      <w:pPr>
        <w:spacing w:after="0" w:line="240" w:lineRule="auto"/>
      </w:pPr>
      <w:r>
        <w:separator/>
      </w:r>
    </w:p>
  </w:footnote>
  <w:footnote w:type="continuationSeparator" w:id="0">
    <w:p w:rsidR="002A2393" w:rsidRDefault="002A2393" w:rsidP="00B55C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3941A5"/>
    <w:multiLevelType w:val="hybridMultilevel"/>
    <w:tmpl w:val="8BA26222"/>
    <w:lvl w:ilvl="0" w:tplc="C4323F3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276EDA"/>
    <w:multiLevelType w:val="hybridMultilevel"/>
    <w:tmpl w:val="D9669B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DD4907"/>
    <w:multiLevelType w:val="hybridMultilevel"/>
    <w:tmpl w:val="54E445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F63268"/>
    <w:multiLevelType w:val="hybridMultilevel"/>
    <w:tmpl w:val="070257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3E60CB"/>
    <w:multiLevelType w:val="hybridMultilevel"/>
    <w:tmpl w:val="4EFEEB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8A6DB2"/>
    <w:multiLevelType w:val="hybridMultilevel"/>
    <w:tmpl w:val="45BC9C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814"/>
    <w:rsid w:val="0006350B"/>
    <w:rsid w:val="002A2393"/>
    <w:rsid w:val="002C0E5C"/>
    <w:rsid w:val="00523D98"/>
    <w:rsid w:val="005D1579"/>
    <w:rsid w:val="006004B4"/>
    <w:rsid w:val="00620170"/>
    <w:rsid w:val="006E6814"/>
    <w:rsid w:val="007D17BC"/>
    <w:rsid w:val="00847BC3"/>
    <w:rsid w:val="00874B61"/>
    <w:rsid w:val="00927637"/>
    <w:rsid w:val="00A60135"/>
    <w:rsid w:val="00AC7292"/>
    <w:rsid w:val="00B10F54"/>
    <w:rsid w:val="00B21598"/>
    <w:rsid w:val="00B55C5A"/>
    <w:rsid w:val="00BA4F65"/>
    <w:rsid w:val="00CC49BB"/>
    <w:rsid w:val="00D11641"/>
    <w:rsid w:val="00D4767D"/>
    <w:rsid w:val="00D52B41"/>
    <w:rsid w:val="00E55923"/>
    <w:rsid w:val="00E86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E6814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B55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5C5A"/>
  </w:style>
  <w:style w:type="paragraph" w:styleId="Pta">
    <w:name w:val="footer"/>
    <w:basedOn w:val="Normlny"/>
    <w:link w:val="PtaChar"/>
    <w:uiPriority w:val="99"/>
    <w:unhideWhenUsed/>
    <w:rsid w:val="00B55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5C5A"/>
  </w:style>
  <w:style w:type="paragraph" w:styleId="Textbubliny">
    <w:name w:val="Balloon Text"/>
    <w:basedOn w:val="Normlny"/>
    <w:link w:val="TextbublinyChar"/>
    <w:uiPriority w:val="99"/>
    <w:semiHidden/>
    <w:unhideWhenUsed/>
    <w:rsid w:val="00D116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16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E6814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B55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5C5A"/>
  </w:style>
  <w:style w:type="paragraph" w:styleId="Pta">
    <w:name w:val="footer"/>
    <w:basedOn w:val="Normlny"/>
    <w:link w:val="PtaChar"/>
    <w:uiPriority w:val="99"/>
    <w:unhideWhenUsed/>
    <w:rsid w:val="00B55C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5C5A"/>
  </w:style>
  <w:style w:type="paragraph" w:styleId="Textbubliny">
    <w:name w:val="Balloon Text"/>
    <w:basedOn w:val="Normlny"/>
    <w:link w:val="TextbublinyChar"/>
    <w:uiPriority w:val="99"/>
    <w:semiHidden/>
    <w:unhideWhenUsed/>
    <w:rsid w:val="00D116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16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3E8CC-C2A8-47F2-B934-60D7798FEC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1113</Words>
  <Characters>6350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2013-03-27T10:07:00Z</cp:lastPrinted>
  <dcterms:created xsi:type="dcterms:W3CDTF">2013-03-27T09:05:00Z</dcterms:created>
  <dcterms:modified xsi:type="dcterms:W3CDTF">2014-06-30T07:03:00Z</dcterms:modified>
</cp:coreProperties>
</file>