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9C" w:rsidRDefault="0058479C" w:rsidP="0058479C"/>
    <w:tbl>
      <w:tblPr>
        <w:tblStyle w:val="Mriekatabuky"/>
        <w:tblW w:w="9480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2"/>
        <w:gridCol w:w="254"/>
        <w:gridCol w:w="254"/>
        <w:gridCol w:w="254"/>
        <w:gridCol w:w="254"/>
        <w:gridCol w:w="254"/>
        <w:gridCol w:w="254"/>
        <w:gridCol w:w="254"/>
        <w:gridCol w:w="16"/>
        <w:gridCol w:w="238"/>
        <w:gridCol w:w="255"/>
        <w:gridCol w:w="255"/>
        <w:gridCol w:w="255"/>
        <w:gridCol w:w="250"/>
        <w:gridCol w:w="255"/>
        <w:gridCol w:w="255"/>
        <w:gridCol w:w="255"/>
        <w:gridCol w:w="255"/>
        <w:gridCol w:w="236"/>
        <w:gridCol w:w="19"/>
        <w:gridCol w:w="236"/>
        <w:gridCol w:w="255"/>
        <w:gridCol w:w="255"/>
        <w:gridCol w:w="255"/>
        <w:gridCol w:w="255"/>
        <w:gridCol w:w="255"/>
        <w:gridCol w:w="255"/>
        <w:gridCol w:w="255"/>
        <w:gridCol w:w="236"/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55"/>
      </w:tblGrid>
      <w:tr w:rsidR="00564448" w:rsidRPr="00D62A92" w:rsidTr="000E2D70">
        <w:trPr>
          <w:gridAfter w:val="1"/>
          <w:wAfter w:w="255" w:type="dxa"/>
        </w:trPr>
        <w:tc>
          <w:tcPr>
            <w:tcW w:w="9225" w:type="dxa"/>
            <w:gridSpan w:val="39"/>
          </w:tcPr>
          <w:p w:rsidR="00564448" w:rsidRPr="00D048A5" w:rsidRDefault="00564448" w:rsidP="000E2D70">
            <w:pPr>
              <w:jc w:val="center"/>
              <w:rPr>
                <w:rFonts w:ascii="Arial" w:hAnsi="Arial" w:cs="Arial"/>
                <w:b/>
              </w:rPr>
            </w:pPr>
            <w:r w:rsidRPr="00D048A5">
              <w:rPr>
                <w:rFonts w:ascii="Arial" w:hAnsi="Arial" w:cs="Arial"/>
                <w:b/>
                <w:sz w:val="32"/>
              </w:rPr>
              <w:t>POZNÁMKY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9225" w:type="dxa"/>
            <w:gridSpan w:val="39"/>
          </w:tcPr>
          <w:p w:rsidR="00564448" w:rsidRPr="00D048A5" w:rsidRDefault="00564448" w:rsidP="000E2D70">
            <w:pPr>
              <w:jc w:val="center"/>
              <w:rPr>
                <w:rFonts w:ascii="Arial" w:hAnsi="Arial" w:cs="Arial"/>
                <w:b/>
              </w:rPr>
            </w:pPr>
            <w:r w:rsidRPr="00D048A5">
              <w:rPr>
                <w:rFonts w:ascii="Arial" w:hAnsi="Arial" w:cs="Arial"/>
                <w:b/>
              </w:rPr>
              <w:t>individuálnej účtovnej závierky</w:t>
            </w:r>
          </w:p>
        </w:tc>
      </w:tr>
      <w:tr w:rsidR="00564448" w:rsidRPr="00D62A92" w:rsidTr="000E2D70">
        <w:tc>
          <w:tcPr>
            <w:tcW w:w="4065" w:type="dxa"/>
            <w:gridSpan w:val="17"/>
          </w:tcPr>
          <w:p w:rsidR="00564448" w:rsidRPr="00D62A92" w:rsidRDefault="00564448" w:rsidP="000E2D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62A92">
              <w:rPr>
                <w:rFonts w:ascii="Arial" w:hAnsi="Arial" w:cs="Arial"/>
              </w:rPr>
              <w:t>ostavenej k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.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.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29" w:type="dxa"/>
            <w:gridSpan w:val="11"/>
            <w:tcBorders>
              <w:lef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9225" w:type="dxa"/>
            <w:gridSpan w:val="39"/>
            <w:tcBorders>
              <w:bottom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  <w:b/>
                <w:sz w:val="16"/>
              </w:rPr>
            </w:pPr>
          </w:p>
          <w:p w:rsidR="00564448" w:rsidRPr="00750ED7" w:rsidRDefault="00564448" w:rsidP="000E2D7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9225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8" w:rsidRPr="00750ED7" w:rsidRDefault="00564448" w:rsidP="000E2D70">
            <w:pPr>
              <w:rPr>
                <w:rFonts w:ascii="Arial" w:hAnsi="Arial" w:cs="Arial"/>
                <w:b/>
              </w:rPr>
            </w:pPr>
            <w:r w:rsidRPr="00750ED7">
              <w:rPr>
                <w:rFonts w:ascii="Arial" w:hAnsi="Arial" w:cs="Arial"/>
                <w:b/>
                <w:sz w:val="16"/>
              </w:rPr>
              <w:t>Číselné údaje sa zarovnávajú vpravo, ostatné údaje sa píšu zľava. Nevyplnené riadky sa ponechávajú prázdne.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922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750ED7">
              <w:rPr>
                <w:rFonts w:ascii="Arial" w:hAnsi="Arial" w:cs="Arial"/>
                <w:sz w:val="16"/>
              </w:rPr>
              <w:t>Údaje sa vypĺňajú paličkovým písmom, písacím strojom alebo tlačiarňou, a to čiernou alebo tmavomodrou farbou.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540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Daňové identifikačné číslo</w:t>
            </w:r>
          </w:p>
        </w:tc>
        <w:tc>
          <w:tcPr>
            <w:tcW w:w="2781" w:type="dxa"/>
            <w:gridSpan w:val="12"/>
            <w:tcBorders>
              <w:top w:val="double" w:sz="4" w:space="0" w:color="auto"/>
              <w:right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Účtovná závierka</w:t>
            </w:r>
          </w:p>
        </w:tc>
        <w:tc>
          <w:tcPr>
            <w:tcW w:w="255" w:type="dxa"/>
            <w:tcBorders>
              <w:top w:val="double" w:sz="4" w:space="0" w:color="auto"/>
              <w:lef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gridSpan w:val="4"/>
            <w:tcBorders>
              <w:top w:val="doub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Mesiac</w:t>
            </w:r>
          </w:p>
        </w:tc>
        <w:tc>
          <w:tcPr>
            <w:tcW w:w="94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1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4448" w:rsidRPr="00AD64EA" w:rsidRDefault="00564448" w:rsidP="000E2D70">
            <w:pPr>
              <w:rPr>
                <w:rFonts w:ascii="Arial" w:hAnsi="Arial" w:cs="Arial"/>
                <w:sz w:val="16"/>
              </w:rPr>
            </w:pPr>
            <w:r w:rsidRPr="00AD64EA">
              <w:rPr>
                <w:rFonts w:ascii="Arial" w:hAnsi="Arial" w:cs="Arial"/>
                <w:sz w:val="16"/>
              </w:rPr>
              <w:t>riadna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AD64EA" w:rsidRDefault="00564448" w:rsidP="000E2D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4448" w:rsidRPr="00AD64EA" w:rsidRDefault="00564448" w:rsidP="000E2D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zostavená</w:t>
            </w:r>
          </w:p>
        </w:tc>
        <w:tc>
          <w:tcPr>
            <w:tcW w:w="1766" w:type="dxa"/>
            <w:gridSpan w:val="7"/>
            <w:vMerge w:val="restart"/>
            <w:tcBorders>
              <w:lef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obdobie</w:t>
            </w:r>
          </w:p>
        </w:tc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54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IČO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4448" w:rsidRPr="00AD64EA" w:rsidRDefault="00564448" w:rsidP="000E2D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priebežná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AD64EA" w:rsidRDefault="00564448" w:rsidP="000E2D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4448" w:rsidRPr="00AD64EA" w:rsidRDefault="00564448" w:rsidP="000E2D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schválená</w:t>
            </w:r>
          </w:p>
        </w:tc>
        <w:tc>
          <w:tcPr>
            <w:tcW w:w="176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4448" w:rsidRPr="00AD64EA" w:rsidRDefault="00564448" w:rsidP="000E2D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Mimoriadna   </w:t>
            </w:r>
            <w:r w:rsidRPr="00750ED7">
              <w:rPr>
                <w:rFonts w:ascii="Arial" w:hAnsi="Arial" w:cs="Arial"/>
                <w:i/>
                <w:sz w:val="16"/>
              </w:rPr>
              <w:t>(vyznačí sa x)</w:t>
            </w:r>
          </w:p>
        </w:tc>
        <w:tc>
          <w:tcPr>
            <w:tcW w:w="17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Bezprostredne predchádzajúce obdobie</w:t>
            </w: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540" w:type="dxa"/>
            <w:gridSpan w:val="11"/>
            <w:tcBorders>
              <w:left w:val="single" w:sz="4" w:space="0" w:color="auto"/>
            </w:tcBorders>
          </w:tcPr>
          <w:p w:rsidR="00564448" w:rsidRPr="00D62A92" w:rsidRDefault="0059061C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NA</w:t>
            </w:r>
            <w:r w:rsidR="00564448" w:rsidRPr="00D62A92">
              <w:rPr>
                <w:rFonts w:ascii="Arial" w:hAnsi="Arial" w:cs="Arial"/>
              </w:rPr>
              <w:t>CE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4448" w:rsidRPr="00AD64EA" w:rsidRDefault="00564448" w:rsidP="000E2D70">
            <w:pPr>
              <w:rPr>
                <w:rFonts w:ascii="Arial" w:hAnsi="Arial" w:cs="Arial"/>
                <w:sz w:val="16"/>
              </w:rPr>
            </w:pPr>
            <w:r w:rsidRPr="00AD64EA">
              <w:rPr>
                <w:rFonts w:ascii="Arial" w:hAnsi="Arial" w:cs="Arial"/>
                <w:sz w:val="16"/>
              </w:rPr>
              <w:t>V eurocentoch</w:t>
            </w:r>
          </w:p>
        </w:tc>
        <w:tc>
          <w:tcPr>
            <w:tcW w:w="1766" w:type="dxa"/>
            <w:gridSpan w:val="7"/>
            <w:vMerge/>
            <w:tcBorders>
              <w:lef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2"/>
            <w:tcBorders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71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AD64EA" w:rsidRDefault="00564448" w:rsidP="000E2D70">
            <w:pPr>
              <w:rPr>
                <w:rFonts w:ascii="Arial" w:hAnsi="Arial" w:cs="Arial"/>
                <w:sz w:val="16"/>
              </w:rPr>
            </w:pPr>
            <w:r w:rsidRPr="00AD64EA">
              <w:rPr>
                <w:rFonts w:ascii="Arial" w:hAnsi="Arial" w:cs="Arial"/>
                <w:sz w:val="16"/>
              </w:rPr>
              <w:t>V celých eurách</w:t>
            </w:r>
          </w:p>
        </w:tc>
        <w:tc>
          <w:tcPr>
            <w:tcW w:w="1766" w:type="dxa"/>
            <w:gridSpan w:val="7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9225" w:type="dxa"/>
            <w:gridSpan w:val="3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Obchodné meno (názov) účtovnej jednotky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9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  <w:b/>
              </w:rPr>
            </w:pPr>
          </w:p>
          <w:p w:rsidR="00564448" w:rsidRPr="00750ED7" w:rsidRDefault="00564448" w:rsidP="000E2D70">
            <w:pPr>
              <w:rPr>
                <w:rFonts w:ascii="Arial" w:hAnsi="Arial" w:cs="Arial"/>
                <w:b/>
              </w:rPr>
            </w:pPr>
            <w:r w:rsidRPr="00750ED7">
              <w:rPr>
                <w:rFonts w:ascii="Arial" w:hAnsi="Arial" w:cs="Arial"/>
                <w:b/>
              </w:rPr>
              <w:t>Sídlo účtovnej jednotky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7337" w:type="dxa"/>
            <w:gridSpan w:val="31"/>
            <w:tcBorders>
              <w:top w:val="single" w:sz="4" w:space="0" w:color="auto"/>
              <w:left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Ulica</w:t>
            </w:r>
          </w:p>
        </w:tc>
        <w:tc>
          <w:tcPr>
            <w:tcW w:w="18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Číslo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1524" w:type="dxa"/>
            <w:gridSpan w:val="6"/>
            <w:tcBorders>
              <w:left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PSČ</w:t>
            </w:r>
          </w:p>
        </w:tc>
        <w:tc>
          <w:tcPr>
            <w:tcW w:w="7701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Obec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042561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3555" w:type="dxa"/>
            <w:gridSpan w:val="15"/>
            <w:tcBorders>
              <w:left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Číslo telefónu</w:t>
            </w:r>
          </w:p>
        </w:tc>
        <w:tc>
          <w:tcPr>
            <w:tcW w:w="5670" w:type="dxa"/>
            <w:gridSpan w:val="24"/>
            <w:tcBorders>
              <w:right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Číslo faxu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/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/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922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Default="00564448" w:rsidP="000E2D70">
            <w:pPr>
              <w:rPr>
                <w:rFonts w:ascii="Arial" w:hAnsi="Arial" w:cs="Arial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Emailová adresa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2E7514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double" w:sz="4" w:space="0" w:color="auto"/>
              <w:lef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  <w:sz w:val="16"/>
                <w:szCs w:val="16"/>
              </w:rPr>
              <w:t>Podpisový záznam osoby zodpovednej za vedenie účtovníctva:</w:t>
            </w:r>
          </w:p>
        </w:tc>
        <w:tc>
          <w:tcPr>
            <w:tcW w:w="2276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  <w:sz w:val="16"/>
                <w:szCs w:val="16"/>
              </w:rPr>
              <w:t xml:space="preserve">Podpisový záznam osoby zodpovednej za </w:t>
            </w:r>
            <w:r>
              <w:rPr>
                <w:rFonts w:ascii="Arial" w:hAnsi="Arial" w:cs="Arial"/>
                <w:sz w:val="16"/>
                <w:szCs w:val="16"/>
              </w:rPr>
              <w:t>zostavenie</w:t>
            </w:r>
            <w:r w:rsidRPr="00D62A92">
              <w:rPr>
                <w:rFonts w:ascii="Arial" w:hAnsi="Arial" w:cs="Arial"/>
                <w:sz w:val="16"/>
                <w:szCs w:val="16"/>
              </w:rPr>
              <w:t xml:space="preserve"> účtovn</w:t>
            </w:r>
            <w:r>
              <w:rPr>
                <w:rFonts w:ascii="Arial" w:hAnsi="Arial" w:cs="Arial"/>
                <w:sz w:val="16"/>
                <w:szCs w:val="16"/>
              </w:rPr>
              <w:t>ej závierky</w:t>
            </w:r>
            <w:r w:rsidRPr="00D62A9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74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  <w:sz w:val="16"/>
                <w:szCs w:val="16"/>
              </w:rPr>
              <w:t xml:space="preserve">Podpisový záznam </w:t>
            </w:r>
            <w:r>
              <w:rPr>
                <w:rFonts w:ascii="Arial" w:hAnsi="Arial" w:cs="Arial"/>
                <w:sz w:val="16"/>
                <w:szCs w:val="16"/>
              </w:rPr>
              <w:t>člena štatutárneho orgánu účtovnej jednotky alebo fyzickej osoby, ktorá je účtovnou jednotkou</w:t>
            </w:r>
            <w:r w:rsidRPr="00D62A9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5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Zostavené dňa:</w:t>
            </w:r>
          </w:p>
        </w:tc>
        <w:tc>
          <w:tcPr>
            <w:tcW w:w="20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2870BE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5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8" w:rsidRPr="00750ED7" w:rsidRDefault="00564448" w:rsidP="000E2D70">
            <w:pPr>
              <w:rPr>
                <w:rFonts w:ascii="Arial" w:hAnsi="Arial" w:cs="Arial"/>
                <w:sz w:val="16"/>
              </w:rPr>
            </w:pPr>
          </w:p>
          <w:p w:rsidR="00564448" w:rsidRPr="00D62A92" w:rsidRDefault="00564448" w:rsidP="000E2D70">
            <w:pPr>
              <w:rPr>
                <w:rFonts w:ascii="Arial" w:hAnsi="Arial" w:cs="Arial"/>
              </w:rPr>
            </w:pPr>
            <w:r w:rsidRPr="00D62A92">
              <w:rPr>
                <w:rFonts w:ascii="Arial" w:hAnsi="Arial" w:cs="Arial"/>
              </w:rPr>
              <w:t>Schválené dňa:</w:t>
            </w:r>
          </w:p>
        </w:tc>
        <w:tc>
          <w:tcPr>
            <w:tcW w:w="20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9225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48" w:rsidRPr="00AE6F4D" w:rsidRDefault="00564448" w:rsidP="000E2D70">
            <w:pPr>
              <w:rPr>
                <w:rFonts w:ascii="Arial" w:hAnsi="Arial" w:cs="Arial"/>
                <w:b/>
              </w:rPr>
            </w:pPr>
            <w:r w:rsidRPr="00AE6F4D">
              <w:rPr>
                <w:rFonts w:ascii="Arial" w:hAnsi="Arial" w:cs="Arial"/>
                <w:b/>
              </w:rPr>
              <w:t>Záznamy daňového úradu</w:t>
            </w:r>
          </w:p>
        </w:tc>
      </w:tr>
      <w:tr w:rsidR="00564448" w:rsidRPr="00D62A92" w:rsidTr="000E2D70">
        <w:trPr>
          <w:gridAfter w:val="1"/>
          <w:wAfter w:w="255" w:type="dxa"/>
          <w:trHeight w:val="2184"/>
        </w:trPr>
        <w:tc>
          <w:tcPr>
            <w:tcW w:w="4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Default="00564448" w:rsidP="000E2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</w:p>
        </w:tc>
      </w:tr>
      <w:tr w:rsidR="00564448" w:rsidRPr="00D62A92" w:rsidTr="000E2D70">
        <w:trPr>
          <w:gridAfter w:val="1"/>
          <w:wAfter w:w="255" w:type="dxa"/>
        </w:trPr>
        <w:tc>
          <w:tcPr>
            <w:tcW w:w="4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448" w:rsidRPr="00D62A92" w:rsidRDefault="00564448" w:rsidP="000E2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Miesto pre evidenčné </w:t>
            </w:r>
            <w:proofErr w:type="spellStart"/>
            <w:r>
              <w:rPr>
                <w:rFonts w:ascii="Arial" w:hAnsi="Arial" w:cs="Arial"/>
              </w:rPr>
              <w:t>čislo</w:t>
            </w:r>
            <w:proofErr w:type="spellEnd"/>
          </w:p>
        </w:tc>
        <w:tc>
          <w:tcPr>
            <w:tcW w:w="4905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564448" w:rsidRPr="00D62A92" w:rsidRDefault="00564448" w:rsidP="000E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Odtlačok prezenčnej pečiatky daňového úradu</w:t>
            </w:r>
          </w:p>
        </w:tc>
      </w:tr>
    </w:tbl>
    <w:p w:rsidR="0058479C" w:rsidRPr="006E1F26" w:rsidRDefault="0058479C" w:rsidP="0058479C">
      <w:pPr>
        <w:spacing w:after="200" w:line="276" w:lineRule="auto"/>
        <w:rPr>
          <w:b/>
        </w:rPr>
        <w:sectPr w:rsidR="0058479C" w:rsidRPr="006E1F26" w:rsidSect="005B316E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979" w:right="1021" w:bottom="1134" w:left="1673" w:header="675" w:footer="408" w:gutter="0"/>
          <w:cols w:space="708"/>
          <w:titlePg/>
        </w:sectPr>
      </w:pPr>
    </w:p>
    <w:p w:rsidR="00D276C2" w:rsidRDefault="00D276C2" w:rsidP="00D276C2">
      <w:pPr>
        <w:pStyle w:val="Nadpis1"/>
        <w:numPr>
          <w:ilvl w:val="0"/>
          <w:numId w:val="0"/>
        </w:numPr>
        <w:spacing w:before="120" w:after="60"/>
        <w:ind w:left="360"/>
      </w:pPr>
      <w:bookmarkStart w:id="0" w:name="_Toc530739894"/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o účtovnej jednotke</w:t>
      </w:r>
      <w:bookmarkEnd w:id="0"/>
    </w:p>
    <w:p w:rsidR="004D3B4A" w:rsidRDefault="004D3B4A" w:rsidP="004D3B4A">
      <w:pPr>
        <w:pStyle w:val="Zkladntext"/>
      </w:pPr>
    </w:p>
    <w:p w:rsidR="004D3B4A" w:rsidRDefault="00D72087" w:rsidP="004D3B4A">
      <w:pPr>
        <w:pStyle w:val="Nadpis2"/>
        <w:numPr>
          <w:ilvl w:val="0"/>
          <w:numId w:val="2"/>
        </w:numPr>
      </w:pPr>
      <w:r>
        <w:t>Založenie spoločnosti</w:t>
      </w:r>
    </w:p>
    <w:p w:rsidR="004D3B4A" w:rsidRDefault="006E1F26" w:rsidP="004D3B4A">
      <w:pPr>
        <w:pStyle w:val="Zkladntext"/>
      </w:pPr>
      <w:r>
        <w:t xml:space="preserve">Spoločnosť </w:t>
      </w:r>
      <w:proofErr w:type="spellStart"/>
      <w:r w:rsidR="00190476">
        <w:t>Esin</w:t>
      </w:r>
      <w:proofErr w:type="spellEnd"/>
      <w:r w:rsidR="00190476">
        <w:t xml:space="preserve"> </w:t>
      </w:r>
      <w:proofErr w:type="spellStart"/>
      <w:r w:rsidR="00190476">
        <w:t>construction</w:t>
      </w:r>
      <w:proofErr w:type="spellEnd"/>
      <w:r w:rsidR="00190476">
        <w:t>, a.s.</w:t>
      </w:r>
      <w:r w:rsidR="00C14467">
        <w:t xml:space="preserve"> </w:t>
      </w:r>
      <w:r w:rsidR="00190476">
        <w:t xml:space="preserve">  sa transformovala s  dátumom   27.4.2013, z pôvodnej spoločnosti </w:t>
      </w:r>
      <w:proofErr w:type="spellStart"/>
      <w:r w:rsidR="00190476">
        <w:t>Drestav</w:t>
      </w:r>
      <w:proofErr w:type="spellEnd"/>
      <w:r w:rsidR="00190476">
        <w:t>, s.r</w:t>
      </w:r>
      <w:r w:rsidR="00C14467">
        <w:t>.o., ktorá bola založená 9.9.200</w:t>
      </w:r>
      <w:r w:rsidR="00190476">
        <w:t xml:space="preserve">8 a </w:t>
      </w:r>
      <w:r w:rsidR="004D3B4A" w:rsidRPr="008230B2">
        <w:t xml:space="preserve">do obchodného registra bola zapísaná </w:t>
      </w:r>
      <w:r w:rsidR="00E73A00" w:rsidRPr="008230B2">
        <w:t xml:space="preserve">    </w:t>
      </w:r>
      <w:r w:rsidR="007178FA" w:rsidRPr="008C50C5">
        <w:rPr>
          <w:color w:val="000000" w:themeColor="text1"/>
        </w:rPr>
        <w:t>9.9.2008</w:t>
      </w:r>
      <w:r w:rsidRPr="008230B2">
        <w:t xml:space="preserve"> </w:t>
      </w:r>
      <w:r w:rsidR="004D3B4A" w:rsidRPr="008230B2">
        <w:t xml:space="preserve">(Obchodný register Okresného súdu </w:t>
      </w:r>
      <w:r w:rsidR="00190476" w:rsidRPr="00D11549">
        <w:t>v Trenčíne</w:t>
      </w:r>
      <w:r w:rsidR="004D3B4A" w:rsidRPr="00D11549">
        <w:t xml:space="preserve">, oddiel s.r.o., vložka </w:t>
      </w:r>
      <w:r w:rsidR="00190476" w:rsidRPr="00D11549">
        <w:t>10660/R</w:t>
      </w:r>
      <w:r w:rsidR="004D3B4A" w:rsidRPr="00D11549">
        <w:t>).</w:t>
      </w:r>
      <w:r w:rsidR="004D3B4A">
        <w:t xml:space="preserve"> </w:t>
      </w:r>
      <w:r w:rsidR="00C14467">
        <w:t>Spoločnosť zmenila právnu</w:t>
      </w:r>
      <w:r w:rsidR="00E047FD">
        <w:t xml:space="preserve"> formu, sídlo spoločnosti. IČO, a </w:t>
      </w:r>
      <w:r w:rsidR="00C14467">
        <w:t>DIČ zostalo nezmenené</w:t>
      </w:r>
      <w:r w:rsidR="00E047FD">
        <w:t>.</w:t>
      </w:r>
    </w:p>
    <w:p w:rsidR="004D3B4A" w:rsidRDefault="004D3B4A" w:rsidP="004D3B4A"/>
    <w:p w:rsidR="004D3B4A" w:rsidRDefault="004D3B4A" w:rsidP="004D3B4A">
      <w:pPr>
        <w:pStyle w:val="Nadpis2"/>
        <w:numPr>
          <w:ilvl w:val="0"/>
          <w:numId w:val="2"/>
        </w:numPr>
      </w:pPr>
      <w:bookmarkStart w:id="1" w:name="_Toc530739896"/>
      <w:r>
        <w:t>Hlavnými činnosťami Spoločnosti sú:</w:t>
      </w:r>
      <w:bookmarkEnd w:id="1"/>
    </w:p>
    <w:p w:rsidR="00BC4330" w:rsidRDefault="00BC4330" w:rsidP="00BC4330">
      <w:pPr>
        <w:pStyle w:val="Zkladntext"/>
      </w:pPr>
    </w:p>
    <w:p w:rsidR="00BC4330" w:rsidRDefault="00190476" w:rsidP="00BC4330">
      <w:pPr>
        <w:pStyle w:val="Zkladntext"/>
      </w:pPr>
      <w:r>
        <w:t>- kúpa tovaru na účely jeho predaja  končenému spotrebiteľovi /maloobchod/ alebo iným prevádzkovateľom živnosti     /veľkoobchod/</w:t>
      </w:r>
    </w:p>
    <w:p w:rsidR="00BC4330" w:rsidRDefault="00190476" w:rsidP="00BC4330">
      <w:pPr>
        <w:pStyle w:val="Zkladntext"/>
      </w:pPr>
      <w:r>
        <w:t>-dokončovacie stavebné práci pri realizácii exteriérov a interiérov</w:t>
      </w:r>
    </w:p>
    <w:p w:rsidR="00BC4330" w:rsidRDefault="00190476" w:rsidP="00BC4330">
      <w:pPr>
        <w:pStyle w:val="Zkladntext"/>
      </w:pPr>
      <w:r>
        <w:t>-opracovanie drevnej hmoty a výroba komponentov z dreva</w:t>
      </w:r>
    </w:p>
    <w:p w:rsidR="004D3B4A" w:rsidRDefault="00190476" w:rsidP="004D3B4A">
      <w:pPr>
        <w:pStyle w:val="Zkladntext"/>
      </w:pPr>
      <w:r>
        <w:t>-výroba jednoduchých drevárskych výrobkov, zostavovanie stolárskych dielcov alebo súčastí z dreva do finálnych produktov a ich údržba</w:t>
      </w:r>
    </w:p>
    <w:p w:rsidR="00330E16" w:rsidRDefault="00330E16" w:rsidP="004D3B4A">
      <w:pPr>
        <w:pStyle w:val="Zkladntext"/>
      </w:pPr>
      <w:r>
        <w:t>-prípravné práce k realizácii stavby</w:t>
      </w:r>
    </w:p>
    <w:p w:rsidR="00330E16" w:rsidRDefault="00330E16" w:rsidP="004D3B4A">
      <w:pPr>
        <w:pStyle w:val="Zkladntext"/>
      </w:pPr>
      <w:r>
        <w:t>-uskutočňovanie stavieb a ich zmien</w:t>
      </w:r>
    </w:p>
    <w:p w:rsidR="00330E16" w:rsidRDefault="00330E16" w:rsidP="004D3B4A">
      <w:pPr>
        <w:pStyle w:val="Zkladntext"/>
      </w:pPr>
      <w:r>
        <w:t>-sprostredkovateľská činnosť v oblasti stavebníctva</w:t>
      </w:r>
    </w:p>
    <w:p w:rsidR="00330E16" w:rsidRDefault="00330E16" w:rsidP="004D3B4A">
      <w:pPr>
        <w:pStyle w:val="Zkladntext"/>
      </w:pPr>
      <w:r>
        <w:t>-nákladná cestná doprava vykonávaná vozidlami do celkovej hmotnosti 3,5t vrátane prípojného vozidla</w:t>
      </w:r>
    </w:p>
    <w:p w:rsidR="00330E16" w:rsidRDefault="00330E16" w:rsidP="004D3B4A">
      <w:pPr>
        <w:pStyle w:val="Zkladntext"/>
      </w:pPr>
      <w:r>
        <w:t>-príprava a predaj na priamu konzumáciu tepelne rýchlo upravovaných mäsových výrobkov a obvyklých príloh ako aj bezmäsitých jedál a nápojov</w:t>
      </w:r>
    </w:p>
    <w:p w:rsidR="00330E16" w:rsidRDefault="00330E16" w:rsidP="004D3B4A">
      <w:pPr>
        <w:pStyle w:val="Zkladntext"/>
      </w:pPr>
      <w:r>
        <w:t>-vykonávanie mimoškolskej vzdelávacej činnosti</w:t>
      </w:r>
    </w:p>
    <w:p w:rsidR="00330E16" w:rsidRDefault="00330E16" w:rsidP="004D3B4A">
      <w:pPr>
        <w:pStyle w:val="Zkladntext"/>
      </w:pPr>
      <w:r>
        <w:t>-vypracovanie dokumentácie a projektovanie jednoduchých stavieb, drobných stavieb a zmien týchto stavieb</w:t>
      </w:r>
    </w:p>
    <w:p w:rsidR="00330E16" w:rsidRDefault="00330E16" w:rsidP="004D3B4A">
      <w:pPr>
        <w:pStyle w:val="Zkladntext"/>
      </w:pPr>
      <w:r>
        <w:t>-tesárstvo</w:t>
      </w:r>
    </w:p>
    <w:p w:rsidR="00330E16" w:rsidRDefault="00330E16" w:rsidP="004D3B4A">
      <w:pPr>
        <w:pStyle w:val="Zkladntext"/>
      </w:pPr>
      <w:r>
        <w:t>-</w:t>
      </w:r>
      <w:r w:rsidR="008A15DD">
        <w:t>sprostredkovanie predaja, prenájmu a kúpy nehnuteľností /realitná činnosť/</w:t>
      </w:r>
    </w:p>
    <w:p w:rsidR="00330E16" w:rsidRDefault="008A15DD" w:rsidP="004D3B4A">
      <w:pPr>
        <w:pStyle w:val="Zkladntext"/>
      </w:pPr>
      <w:r>
        <w:t>-montáž, rekonštrukcia a</w:t>
      </w:r>
      <w:r w:rsidR="00E11574">
        <w:t xml:space="preserve"> </w:t>
      </w:r>
      <w:r>
        <w:t>údržba vyhradených technických zariadení - elektrických</w:t>
      </w:r>
    </w:p>
    <w:p w:rsidR="004D3B4A" w:rsidRDefault="008A15DD" w:rsidP="004D3B4A">
      <w:pPr>
        <w:pStyle w:val="Zkladntext"/>
      </w:pPr>
      <w:r>
        <w:t>- opravy, odborné prehliadky a odborné skúšky vyhradený elektrických zariadení</w:t>
      </w:r>
    </w:p>
    <w:p w:rsidR="00C14467" w:rsidRDefault="00C14467" w:rsidP="004D3B4A">
      <w:pPr>
        <w:pStyle w:val="Zkladntext"/>
      </w:pPr>
    </w:p>
    <w:p w:rsidR="004D3B4A" w:rsidRDefault="005F5D4F" w:rsidP="004D3B4A">
      <w:pPr>
        <w:pStyle w:val="Nadpis2"/>
        <w:numPr>
          <w:ilvl w:val="0"/>
          <w:numId w:val="2"/>
        </w:numPr>
      </w:pPr>
      <w:r>
        <w:t>P</w:t>
      </w:r>
      <w:r w:rsidR="004D3B4A">
        <w:t xml:space="preserve">očet zamestnancov </w:t>
      </w:r>
    </w:p>
    <w:p w:rsidR="005F5D4F" w:rsidRDefault="005F5D4F" w:rsidP="004D3B4A">
      <w:pPr>
        <w:pStyle w:val="Zkladntext"/>
      </w:pPr>
      <w:r>
        <w:t>Údaje o počte zamestnancov za bežné účtovné obdobie a bezprostredne predchádzajúce účtovné obdobie sú uvedené v nasledujúcom prehľade:</w:t>
      </w:r>
    </w:p>
    <w:p w:rsidR="005F5D4F" w:rsidRDefault="005F5D4F" w:rsidP="004D3B4A">
      <w:pPr>
        <w:pStyle w:val="Zkladntext"/>
      </w:pPr>
    </w:p>
    <w:bookmarkStart w:id="2" w:name="_MON_1450591364"/>
    <w:bookmarkEnd w:id="2"/>
    <w:p w:rsidR="004D3B4A" w:rsidRDefault="007178FA" w:rsidP="008C5CEB">
      <w:pPr>
        <w:pStyle w:val="Zkladntext"/>
      </w:pPr>
      <w:r>
        <w:object w:dxaOrig="9179" w:dyaOrig="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87.75pt" o:ole="" o:preferrelative="f">
            <v:imagedata r:id="rId13" o:title=""/>
            <o:lock v:ext="edit" aspectratio="f"/>
          </v:shape>
          <o:OLEObject Type="Embed" ProgID="Excel.Sheet.12" ShapeID="_x0000_i1025" DrawAspect="Content" ObjectID="_1465627814" r:id="rId14"/>
        </w:object>
      </w:r>
      <w:r w:rsidR="008C5CEB">
        <w:t xml:space="preserve"> </w:t>
      </w:r>
      <w:r w:rsidR="004D3B4A">
        <w:t>Údaje o neobmedzenom ručení</w:t>
      </w:r>
    </w:p>
    <w:p w:rsidR="004D3B4A" w:rsidRDefault="004D3B4A" w:rsidP="004D3B4A">
      <w:pPr>
        <w:ind w:left="450"/>
        <w:jc w:val="both"/>
        <w:rPr>
          <w:sz w:val="18"/>
          <w:szCs w:val="18"/>
        </w:rPr>
      </w:pPr>
      <w:r w:rsidRPr="00D87FBD">
        <w:rPr>
          <w:sz w:val="18"/>
          <w:szCs w:val="18"/>
        </w:rPr>
        <w:t>Spoločnosť nie je neobmedzene ručiacim spoločníkom v</w:t>
      </w:r>
      <w:r w:rsidRPr="00C35B60">
        <w:rPr>
          <w:sz w:val="18"/>
          <w:szCs w:val="18"/>
        </w:rPr>
        <w:t> </w:t>
      </w:r>
      <w:r w:rsidRPr="00D87FBD">
        <w:rPr>
          <w:sz w:val="18"/>
          <w:szCs w:val="18"/>
        </w:rPr>
        <w:t xml:space="preserve">iných </w:t>
      </w:r>
      <w:r>
        <w:rPr>
          <w:sz w:val="18"/>
          <w:szCs w:val="18"/>
        </w:rPr>
        <w:t xml:space="preserve">spoločnostiach podľa </w:t>
      </w:r>
      <w:r w:rsidRPr="00467471">
        <w:rPr>
          <w:sz w:val="18"/>
          <w:szCs w:val="18"/>
        </w:rPr>
        <w:t>§ 56 ods. 5 Obchodného zákonníka</w:t>
      </w:r>
      <w:r w:rsidRPr="00D87FBD">
        <w:rPr>
          <w:sz w:val="18"/>
          <w:szCs w:val="18"/>
        </w:rPr>
        <w:t>.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Nadpis2"/>
        <w:numPr>
          <w:ilvl w:val="0"/>
          <w:numId w:val="2"/>
        </w:numPr>
      </w:pPr>
      <w:r>
        <w:t>Právny dôvod na zostavenie účtovnej závierky</w:t>
      </w:r>
    </w:p>
    <w:p w:rsidR="004D3B4A" w:rsidRDefault="004D3B4A" w:rsidP="004D3B4A">
      <w:pPr>
        <w:pStyle w:val="Zkladntext"/>
        <w:ind w:hanging="426"/>
      </w:pPr>
      <w:r>
        <w:tab/>
        <w:t>Účtovná závierka</w:t>
      </w:r>
      <w:r w:rsidR="00A55061">
        <w:t xml:space="preserve"> Spoločnosti k 31. decembru 2013</w:t>
      </w:r>
      <w:r>
        <w:t xml:space="preserve"> je zostavená ako riadna účtovná závierka podľa § 17 ods. 6 zákona </w:t>
      </w:r>
      <w:r w:rsidRPr="009C33CC">
        <w:t>NR</w:t>
      </w:r>
      <w:r>
        <w:t> </w:t>
      </w:r>
      <w:r w:rsidRPr="009C33CC">
        <w:t>SR</w:t>
      </w:r>
      <w:r>
        <w:t xml:space="preserve"> č. 431/2002 Z. z. o účtovníctve za úč</w:t>
      </w:r>
      <w:r w:rsidR="00A55061">
        <w:t>tovné obdobie od 1. januára 2013 do 31. decembra 2013</w:t>
      </w:r>
      <w:r>
        <w:t>.</w:t>
      </w:r>
    </w:p>
    <w:p w:rsidR="004D3B4A" w:rsidRDefault="004D3B4A" w:rsidP="004D3B4A">
      <w:pPr>
        <w:pStyle w:val="Zkladntext"/>
        <w:ind w:hanging="426"/>
      </w:pPr>
    </w:p>
    <w:p w:rsidR="004D3B4A" w:rsidRPr="008230B2" w:rsidRDefault="004D3B4A" w:rsidP="004D3B4A">
      <w:pPr>
        <w:pStyle w:val="Nadpis2"/>
        <w:numPr>
          <w:ilvl w:val="0"/>
          <w:numId w:val="2"/>
        </w:numPr>
      </w:pPr>
      <w:r w:rsidRPr="008230B2">
        <w:t>Dátum schválenia účtovnej závierky za predchádzajúce účtovné obdobie</w:t>
      </w:r>
    </w:p>
    <w:p w:rsidR="004D3B4A" w:rsidRPr="008230B2" w:rsidRDefault="004D3B4A" w:rsidP="004D3B4A">
      <w:pPr>
        <w:pStyle w:val="Zkladntext"/>
        <w:ind w:hanging="426"/>
      </w:pPr>
      <w:r w:rsidRPr="008230B2">
        <w:tab/>
        <w:t>Účtovná závierka</w:t>
      </w:r>
      <w:r w:rsidR="00A55061">
        <w:t xml:space="preserve"> Spoločnosti k 31. decembru 2012</w:t>
      </w:r>
      <w:r w:rsidRPr="008230B2">
        <w:t xml:space="preserve">, za predchádzajúce účtovné obdobie, bola schválená </w:t>
      </w:r>
      <w:r w:rsidR="00C14467">
        <w:t>V</w:t>
      </w:r>
      <w:r w:rsidRPr="008230B2">
        <w:t xml:space="preserve">alným zhromaždením Spoločnosti </w:t>
      </w:r>
      <w:r w:rsidR="00ED37A1" w:rsidRPr="008230B2">
        <w:t>dňa</w:t>
      </w:r>
      <w:r w:rsidR="008A15DD">
        <w:t xml:space="preserve"> 28.03.2013</w:t>
      </w:r>
    </w:p>
    <w:p w:rsidR="004D3B4A" w:rsidRDefault="004D3B4A" w:rsidP="004D3B4A">
      <w:pPr>
        <w:pStyle w:val="Zkladntext"/>
        <w:ind w:hanging="426"/>
      </w:pPr>
    </w:p>
    <w:p w:rsidR="004D3B4A" w:rsidRPr="008230B2" w:rsidRDefault="004D3B4A" w:rsidP="004D3B4A">
      <w:pPr>
        <w:pStyle w:val="Nadpis2"/>
        <w:numPr>
          <w:ilvl w:val="0"/>
          <w:numId w:val="2"/>
        </w:numPr>
        <w:rPr>
          <w:color w:val="FF0000"/>
        </w:rPr>
      </w:pPr>
      <w:bookmarkStart w:id="3" w:name="OLE_LINK13"/>
      <w:bookmarkStart w:id="4" w:name="OLE_LINK14"/>
      <w:r w:rsidRPr="008230B2">
        <w:t>Zverejnenie účtovnej závierky za predchádzajúce účtovné obdobie</w:t>
      </w:r>
    </w:p>
    <w:p w:rsidR="007401D6" w:rsidRDefault="004D3B4A" w:rsidP="00D36293">
      <w:pPr>
        <w:pStyle w:val="Zkladntext"/>
        <w:rPr>
          <w:color w:val="FF0000"/>
        </w:rPr>
      </w:pPr>
      <w:r w:rsidRPr="008230B2">
        <w:t>Účtovná závierka</w:t>
      </w:r>
      <w:r w:rsidR="00C14467">
        <w:t xml:space="preserve"> </w:t>
      </w:r>
      <w:r w:rsidR="00A55061">
        <w:t xml:space="preserve"> k 31. decembru 2012</w:t>
      </w:r>
      <w:r w:rsidR="00C14467">
        <w:t xml:space="preserve">  bola uložená do Z</w:t>
      </w:r>
      <w:r w:rsidRPr="008230B2">
        <w:t xml:space="preserve">bierky listín obchodného registra </w:t>
      </w:r>
      <w:r w:rsidR="008A15DD">
        <w:t>18.09.2013</w:t>
      </w:r>
      <w:r w:rsidRPr="008230B2">
        <w:t xml:space="preserve"> </w:t>
      </w:r>
      <w:r w:rsidR="008A15DD">
        <w:t>.</w:t>
      </w:r>
    </w:p>
    <w:p w:rsidR="007F0FB7" w:rsidRDefault="007F0FB7" w:rsidP="00D36293">
      <w:pPr>
        <w:pStyle w:val="Zkladntext"/>
        <w:rPr>
          <w:color w:val="FF0000"/>
        </w:rPr>
      </w:pPr>
    </w:p>
    <w:p w:rsidR="007F0FB7" w:rsidRDefault="007F0FB7" w:rsidP="00D36293">
      <w:pPr>
        <w:pStyle w:val="Zkladntext"/>
        <w:rPr>
          <w:color w:val="FF0000"/>
        </w:rPr>
      </w:pPr>
    </w:p>
    <w:p w:rsidR="00D36293" w:rsidRDefault="00D36293" w:rsidP="00D36293">
      <w:pPr>
        <w:pStyle w:val="Zkladntext"/>
      </w:pPr>
    </w:p>
    <w:p w:rsidR="00A628AE" w:rsidRPr="00D36293" w:rsidRDefault="00A628AE" w:rsidP="00D36293">
      <w:pPr>
        <w:pStyle w:val="Zkladntext"/>
      </w:pPr>
    </w:p>
    <w:bookmarkEnd w:id="3"/>
    <w:bookmarkEnd w:id="4"/>
    <w:p w:rsidR="004D3B4A" w:rsidRDefault="004D3B4A" w:rsidP="004D3B4A">
      <w:pPr>
        <w:pStyle w:val="Zkladntext"/>
        <w:jc w:val="left"/>
      </w:pPr>
    </w:p>
    <w:p w:rsidR="004D3B4A" w:rsidRDefault="004D3B4A" w:rsidP="004D3B4A">
      <w:pPr>
        <w:pStyle w:val="Zkladntext"/>
      </w:pPr>
    </w:p>
    <w:p w:rsidR="0097669A" w:rsidRDefault="0097669A" w:rsidP="004D3B4A">
      <w:pPr>
        <w:pStyle w:val="Zkladntext"/>
      </w:pP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lastRenderedPageBreak/>
        <w:t>Informácie o konsolidovanom celku</w:t>
      </w:r>
    </w:p>
    <w:p w:rsidR="004D3B4A" w:rsidRDefault="004D3B4A" w:rsidP="004D3B4A">
      <w:pPr>
        <w:pStyle w:val="Zkladntext"/>
      </w:pPr>
    </w:p>
    <w:p w:rsidR="00D12699" w:rsidRPr="00E047FD" w:rsidRDefault="00D12699" w:rsidP="00D12699">
      <w:pPr>
        <w:pStyle w:val="Zkladntext"/>
        <w:ind w:left="360"/>
      </w:pPr>
      <w:r w:rsidRPr="00E047FD">
        <w:t xml:space="preserve">Spoločnosť </w:t>
      </w:r>
      <w:r w:rsidR="00E047FD">
        <w:t xml:space="preserve"> nie je súčasťou konsolidovaného celku. </w:t>
      </w:r>
      <w:r w:rsidRPr="00E047FD">
        <w:t>.</w:t>
      </w:r>
    </w:p>
    <w:p w:rsidR="00651689" w:rsidRPr="00E047FD" w:rsidRDefault="00651689" w:rsidP="00651689">
      <w:pPr>
        <w:pStyle w:val="Zkladntext"/>
      </w:pP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5" w:name="_Toc530739899"/>
      <w:r>
        <w:t xml:space="preserve">Informácie o účtovných </w:t>
      </w:r>
      <w:r w:rsidR="00E047FD">
        <w:t xml:space="preserve"> </w:t>
      </w:r>
      <w:r>
        <w:t xml:space="preserve">zásadách a účtovných metódach  </w:t>
      </w:r>
      <w:bookmarkEnd w:id="5"/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Východiská pre zostavenie účtovnej závierky</w:t>
      </w:r>
    </w:p>
    <w:p w:rsidR="004D3B4A" w:rsidRDefault="004D3B4A" w:rsidP="004D3B4A">
      <w:pPr>
        <w:pStyle w:val="Zkladntext"/>
        <w:ind w:left="450"/>
      </w:pPr>
      <w:r>
        <w:t>Účtovná závierka bola zostavená za predpokladu nepretržitého trvania Spoločnosti</w:t>
      </w:r>
      <w:r w:rsidR="002A4429">
        <w:t>.</w:t>
      </w:r>
      <w:r>
        <w:t>.</w:t>
      </w:r>
    </w:p>
    <w:p w:rsidR="004D3B4A" w:rsidRDefault="004D3B4A" w:rsidP="004D3B4A">
      <w:pPr>
        <w:pStyle w:val="Zkladntext"/>
        <w:ind w:left="450"/>
      </w:pPr>
    </w:p>
    <w:p w:rsidR="004D3B4A" w:rsidRDefault="004D3B4A" w:rsidP="004D3B4A">
      <w:pPr>
        <w:pStyle w:val="Zkladntext"/>
        <w:ind w:left="450"/>
      </w:pPr>
      <w:r w:rsidRPr="00194BFD">
        <w:t>Účtovné metódy a všeobecné účtovné zásady boli účtovnou jednotkou konzistentne aplikované</w:t>
      </w:r>
      <w:r w:rsidR="0097669A">
        <w:t>. Na základe opatrenia MF SR zmenil sa povinný obsah poznámok a predpísaných tabuliek. Oproti roku 2012 sa zverejňuje menej informácií o spoločníkoch a štatutárnych orgánoch</w:t>
      </w:r>
      <w:r w:rsidR="0019031F">
        <w:t xml:space="preserve">, o transakciách so spriaznenými osobami, o výnosoch a nákladov </w:t>
      </w:r>
      <w:r w:rsidR="0097669A">
        <w:t>a</w:t>
      </w:r>
      <w:r w:rsidR="002A4429">
        <w:t> </w:t>
      </w:r>
      <w:r w:rsidR="0097669A">
        <w:t>na</w:t>
      </w:r>
      <w:r w:rsidR="002A4429">
        <w:t xml:space="preserve"> </w:t>
      </w:r>
      <w:r w:rsidR="0097669A">
        <w:t>viac sa zverejňujú dopady významných opráv</w:t>
      </w:r>
      <w:r w:rsidR="00BD1087">
        <w:t>.</w:t>
      </w:r>
      <w:r w:rsidR="0097669A">
        <w:t xml:space="preserve"> </w:t>
      </w:r>
    </w:p>
    <w:p w:rsidR="006D3D0B" w:rsidRDefault="006D3D0B" w:rsidP="0097669A">
      <w:pPr>
        <w:pStyle w:val="Zkladntext"/>
        <w:ind w:left="0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Dlhodobý nehmotný majetok a dlhodobý hmotný majetok</w:t>
      </w:r>
    </w:p>
    <w:p w:rsidR="004D3B4A" w:rsidRDefault="004D3B4A" w:rsidP="004D3B4A">
      <w:pPr>
        <w:pStyle w:val="Zkladntext"/>
      </w:pPr>
      <w:r>
        <w:t xml:space="preserve">Dlhodobý majetok nakupovaný sa oceňuje obstarávacou cenou, ktorá zahŕňa cenu obstarania a náklady súvisiace s obstaraním (clo, prepravu, montáž, poistné a pod.). </w:t>
      </w:r>
    </w:p>
    <w:p w:rsidR="004D3B4A" w:rsidRDefault="004D3B4A" w:rsidP="004D3B4A">
      <w:pPr>
        <w:pStyle w:val="Zkladntext"/>
      </w:pPr>
    </w:p>
    <w:p w:rsidR="004D3B4A" w:rsidRDefault="004D3B4A" w:rsidP="00A55061">
      <w:pPr>
        <w:pStyle w:val="Zkladntext"/>
      </w:pPr>
      <w:r>
        <w:t>Súčasťou obstarávacej ceny dlhodobého hmot</w:t>
      </w:r>
      <w:r w:rsidR="00A55061">
        <w:t xml:space="preserve">ného a nehmotného majetku </w:t>
      </w:r>
      <w:r>
        <w:t>nie sú úroky z cudzích zdrojov ani realizované kurzové rozdiely, ktoré vznikli do momentu uvedenia dl</w:t>
      </w:r>
      <w:r w:rsidR="00A55061">
        <w:t xml:space="preserve">hodobého majetku do používania </w:t>
      </w:r>
      <w:r w:rsidR="00D12699">
        <w:rPr>
          <w:color w:val="FF0000"/>
        </w:rPr>
        <w:t>.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 xml:space="preserve">Dlhodobý majetok vytvorený vlastnou činnosťou sa oceňuje vlastnými nákladmi. Vlastnými nákladmi sú všetky priame náklady vynaložené na výrobu alebo inú činnosť a nepriame náklady, ktoré sa vzťahujú na výrobu alebo inú činnosť. </w:t>
      </w:r>
    </w:p>
    <w:p w:rsidR="0058479C" w:rsidRDefault="0058479C" w:rsidP="004D3B4A">
      <w:pPr>
        <w:pStyle w:val="Zkladntext"/>
      </w:pPr>
    </w:p>
    <w:p w:rsidR="004D3B4A" w:rsidRDefault="004D3B4A" w:rsidP="004D3B4A">
      <w:pPr>
        <w:pStyle w:val="Zkladntext"/>
      </w:pPr>
      <w:r>
        <w:t>Náklady na výskum sa neaktivujú, účtujú sa do nákladov účtovného obdobia, v ktorom vznikli. Náklady na vývoj sa účtujú do obdobia, v ktorom vznikli, ale tie náklady na vývoj, ktoré sa vzťahujú na jasne definovaný výrobok alebo proces, pri ktorých je možné preukázať technickú realizovateľnosť a možnosť predaja a spoločnosť má dostatočné zdroje na dokončenie projektu, jeho predaj alebo na vnútorné využitie jeho výsledkov, sa aktivujú, a to vo výške, ktorá je pravdepodobná, že sa získa späť z budúcich ekonomických úžitkov.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>Aktivované náklady na vývoj sa odpisujú počas maximálne 5 rokov, a to v tých účtovných obdobiach, v ktorých sa očakáva predaj produktu alebo využívanie procesu. Ak sa zníži ich hodnota, odpisujú sa na sumu, ktorá je pravdepodobná, že sa získa späť z budúcich ekonomických úžitkov.</w:t>
      </w:r>
    </w:p>
    <w:p w:rsidR="004D3B4A" w:rsidRDefault="004D3B4A" w:rsidP="004D3B4A">
      <w:pPr>
        <w:pStyle w:val="Zkladntext"/>
      </w:pPr>
      <w:r>
        <w:t xml:space="preserve"> </w:t>
      </w:r>
    </w:p>
    <w:p w:rsidR="004D3B4A" w:rsidRDefault="004D3B4A" w:rsidP="004D3B4A">
      <w:pPr>
        <w:pStyle w:val="Zkladntext"/>
      </w:pPr>
      <w:r>
        <w:t xml:space="preserve">Odpisy dlhodobého nehmotného majetku sú stanovené vychádzajúc z predpokladanej doby jeho používania a predpokladaného priebehu jeho opotrebenia. Odpisovať sa začína prvým dňom mesiaca nasledujúceho po uvedení dlhodobého majetku do používania. Drobný dlhodobý nehmotný majetok, ktorého obstarávacia cena (resp. vlastné náklady) je </w:t>
      </w:r>
      <w:r w:rsidRPr="00F7710B">
        <w:t>2</w:t>
      </w:r>
      <w:r w:rsidRPr="00DF04B4">
        <w:t> </w:t>
      </w:r>
      <w:r>
        <w:t>400</w:t>
      </w:r>
      <w:r w:rsidRPr="00DF04B4">
        <w:t xml:space="preserve"> EUR</w:t>
      </w:r>
      <w:r>
        <w:t xml:space="preserve"> a nižšia, sa odpisuje jednorazovo pri uvedení do používania.</w:t>
      </w:r>
      <w:r w:rsidR="00E047FD">
        <w:t xml:space="preserve"> Na odpiso</w:t>
      </w:r>
      <w:r w:rsidR="00982284">
        <w:t>vanie   sa používa lineárna metó</w:t>
      </w:r>
      <w:r w:rsidR="00E047FD">
        <w:t>da od</w:t>
      </w:r>
      <w:r w:rsidR="00982284">
        <w:t>p</w:t>
      </w:r>
      <w:r w:rsidR="00E047FD">
        <w:t>isovania nehmotného majetku a predpokladaná doba používania sa stanovuje v súlade so Zákonom o</w:t>
      </w:r>
      <w:r w:rsidR="00982284">
        <w:t> </w:t>
      </w:r>
      <w:r w:rsidR="00E047FD">
        <w:t>účtovníctve</w:t>
      </w:r>
      <w:r w:rsidR="00982284">
        <w:t>, najviac do doby 5 rokov</w:t>
      </w:r>
      <w:r w:rsidR="00E047FD">
        <w:t>. Účtovné a daňové odpisy sa v podstate rovnajú. Rozdiel predstavuje iba zaokrúhlenie mesačných účtovných od</w:t>
      </w:r>
      <w:r w:rsidR="00982284">
        <w:t>p</w:t>
      </w:r>
      <w:r w:rsidR="00E047FD">
        <w:t xml:space="preserve">isov na celé </w:t>
      </w:r>
      <w:r w:rsidR="00982284">
        <w:t xml:space="preserve">Eur smerom nahor. 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>Odpisy dlhodobého hmotného majetku sú stanovené vychádzajúc z predpokladanej doby jeho používania a predpokladaného priebehu jeho opotrebenia. Odpisovať sa začína prvým dňom mesiaca nasledujúceho po uvedení dlhodobého majetku do používania. Drobný dlhodobý hmotný majetok, ktorého obstarávacia cena (resp. vlastné náklady) je 1 700 EUR a nižšia, sa odpisuje jednorazovo pri uvedení do používania. Pozemky sa neodpisujú. Predpokladaná doba používania</w:t>
      </w:r>
      <w:r w:rsidR="00982284">
        <w:t xml:space="preserve"> sa stanovuje v súlade so Zákonom o účtovníctve</w:t>
      </w:r>
      <w:r>
        <w:t xml:space="preserve">, metóda odpisovania </w:t>
      </w:r>
      <w:r w:rsidR="00982284">
        <w:t>sa používa lineárna. Účtovné a daňové odpisy sa odlišujú iba o sumy, predstavujúce rozdiel zo zaokrúhlenia mesačných účtovných odpisov smerom nahor.</w:t>
      </w:r>
    </w:p>
    <w:p w:rsidR="00982284" w:rsidRDefault="00982284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Cenné papiere a podiely</w:t>
      </w:r>
    </w:p>
    <w:p w:rsidR="004D3B4A" w:rsidRDefault="004D3B4A" w:rsidP="004D3B4A">
      <w:pPr>
        <w:pStyle w:val="Zkladntext"/>
      </w:pPr>
      <w:r>
        <w:t xml:space="preserve">Cenné papiere a podiely sa oceňujú obstarávacími cenami vrátane nákladov súvisiacich s obstaraním. Od obstarávacej ceny je odpočítané zníženie hodnoty cenných papierov a podielov. 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 xml:space="preserve">Zásoby </w:t>
      </w:r>
    </w:p>
    <w:p w:rsidR="004D3B4A" w:rsidRDefault="004D3B4A" w:rsidP="004D3B4A">
      <w:pPr>
        <w:pStyle w:val="Zkladntext"/>
      </w:pPr>
      <w:r>
        <w:t>Zásoby sa oceňujú nižšou z nasledujúcich hodnôt: obstarávacou cenou (nakupované zásoby) alebo vlastnými nákladmi (zásoby vytvorené vlastnou činnosťou) ale</w:t>
      </w:r>
      <w:r w:rsidR="00A55061">
        <w:t xml:space="preserve">bo čistou realizačnou hodnotou. </w:t>
      </w:r>
      <w:r>
        <w:t>Obstarávacia cena zahŕňa cenu zásob a náklady súvisiace s obstaraním (clo, prepravu, poistné, provízie, skonto a po</w:t>
      </w:r>
      <w:r w:rsidR="00A55061">
        <w:t xml:space="preserve">d.). </w:t>
      </w:r>
      <w:r>
        <w:t xml:space="preserve">Nakupované zásoby sa </w:t>
      </w:r>
      <w:r w:rsidR="00A55061">
        <w:t xml:space="preserve">do spotreby </w:t>
      </w:r>
      <w:r w:rsidR="00D12699">
        <w:t xml:space="preserve">účtujú priamo na zákazku. Účtuje sa metódou </w:t>
      </w:r>
      <w:r>
        <w:t>Vlastné náklady zahŕňajú priame náklady (priamy materiál, priame mzdy a ostatné priame náklady) a časť nepriamych nákladov bezprostredne súvisiacich s vytvorením zásob vlastnou činnosťou (výrobná réžia). Výrobná réžia sa do vlastných nákladov zahŕňa v závislosti od stupňa rozpracovanosti týchto zásob. Správna réžia a odbytové náklady nie sú súčasťou vlastných nákladov. Súčasťou vlastných nákladov nie sú úroky z cudzích zdrojov.</w:t>
      </w:r>
    </w:p>
    <w:p w:rsidR="004D3B4A" w:rsidRDefault="004D3B4A" w:rsidP="004D3B4A">
      <w:pPr>
        <w:pStyle w:val="Zkladntext"/>
      </w:pPr>
    </w:p>
    <w:p w:rsidR="004D3B4A" w:rsidRDefault="00C14467" w:rsidP="004D3B4A">
      <w:pPr>
        <w:pStyle w:val="Zkladntext"/>
      </w:pPr>
      <w:r>
        <w:lastRenderedPageBreak/>
        <w:t>Č</w:t>
      </w:r>
      <w:r w:rsidR="004D3B4A">
        <w:t xml:space="preserve">istá realizačná hodnota je predpokladaná predajná cena znížená o predpokladané náklady na ich dokončenie a o predpokladané náklady súvisiace s ich predajom.  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>Zníženie hodnoty zásob sa upravuje vytvorením opravnej položky.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Zákazková výroba</w:t>
      </w:r>
    </w:p>
    <w:p w:rsidR="004D3B4A" w:rsidRDefault="004D3B4A" w:rsidP="002A4429">
      <w:pPr>
        <w:pStyle w:val="Zkladntext"/>
      </w:pPr>
      <w:r>
        <w:t>Zákazková výroba sa vykazuje použitím metódy stupňa dokončenia zákazky</w:t>
      </w:r>
      <w:r w:rsidR="002A4429">
        <w:t>.</w:t>
      </w:r>
    </w:p>
    <w:p w:rsidR="002A4429" w:rsidRDefault="002A4429" w:rsidP="002A4429">
      <w:pPr>
        <w:pStyle w:val="Zkladntext"/>
        <w:rPr>
          <w:b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Zákazková výstavba nehnuteľnost</w:t>
      </w:r>
      <w:r w:rsidR="00777324">
        <w:t>i</w:t>
      </w:r>
    </w:p>
    <w:p w:rsidR="00777324" w:rsidRDefault="00777324" w:rsidP="004D3B4A">
      <w:pPr>
        <w:pStyle w:val="Zkladntext"/>
      </w:pPr>
    </w:p>
    <w:p w:rsidR="00777324" w:rsidRPr="00FE2CC6" w:rsidRDefault="00A9048F" w:rsidP="004D3B4A">
      <w:pPr>
        <w:pStyle w:val="Zkladntext"/>
        <w:rPr>
          <w:b/>
          <w:i/>
        </w:rPr>
      </w:pPr>
      <w:r w:rsidRPr="00A9048F">
        <w:rPr>
          <w:b/>
          <w:i/>
        </w:rPr>
        <w:t>Zákazková výstavba nehnuteľnosti – priebežný transfer</w:t>
      </w:r>
    </w:p>
    <w:p w:rsidR="004D3B4A" w:rsidRDefault="00777324" w:rsidP="004D3B4A">
      <w:pPr>
        <w:pStyle w:val="Zkladntext"/>
      </w:pPr>
      <w:r>
        <w:t>Zákazková</w:t>
      </w:r>
      <w:r w:rsidR="004D3B4A">
        <w:t xml:space="preserve"> výstavb</w:t>
      </w:r>
      <w:r>
        <w:t>a</w:t>
      </w:r>
      <w:r w:rsidR="004D3B4A">
        <w:t xml:space="preserve"> nehnuteľnosti určen</w:t>
      </w:r>
      <w:r>
        <w:t>ej</w:t>
      </w:r>
      <w:r w:rsidR="004D3B4A">
        <w:t xml:space="preserve"> na predaj sa</w:t>
      </w:r>
      <w:r>
        <w:t xml:space="preserve"> vykazuje</w:t>
      </w:r>
      <w:r w:rsidR="004D3B4A">
        <w:t xml:space="preserve"> podľa metódy stupňa dokončenia. </w:t>
      </w:r>
    </w:p>
    <w:p w:rsidR="00777324" w:rsidRDefault="00777324" w:rsidP="004D3B4A">
      <w:pPr>
        <w:pStyle w:val="Zkladntext"/>
      </w:pPr>
    </w:p>
    <w:p w:rsidR="00777324" w:rsidRPr="00423AFA" w:rsidRDefault="00A9048F" w:rsidP="00777324">
      <w:pPr>
        <w:pStyle w:val="Zkladntext"/>
        <w:rPr>
          <w:b/>
          <w:i/>
        </w:rPr>
      </w:pPr>
      <w:r w:rsidRPr="00A9048F">
        <w:rPr>
          <w:b/>
          <w:i/>
        </w:rPr>
        <w:t>Zákazková výstavba nehnuteľnosti – ostatn</w:t>
      </w:r>
      <w:r w:rsidR="00260C4C">
        <w:rPr>
          <w:b/>
          <w:i/>
        </w:rPr>
        <w:t>á</w:t>
      </w:r>
      <w:r w:rsidRPr="00A9048F">
        <w:rPr>
          <w:b/>
          <w:i/>
        </w:rPr>
        <w:t xml:space="preserve"> (nie priebežný transfer)</w:t>
      </w:r>
    </w:p>
    <w:p w:rsidR="00777324" w:rsidRPr="00777324" w:rsidRDefault="00777324" w:rsidP="004D3B4A">
      <w:pPr>
        <w:pStyle w:val="Zkladntext"/>
      </w:pPr>
      <w:r w:rsidRPr="00777324">
        <w:t>Zá</w:t>
      </w:r>
      <w:r w:rsidR="002F5513">
        <w:t>kazková výstavba nehnuteľnosti určenej na predaj – ostatn</w:t>
      </w:r>
      <w:r w:rsidR="00260C4C">
        <w:t>á</w:t>
      </w:r>
      <w:r w:rsidR="002F5513">
        <w:t xml:space="preserve"> (nie priebežný transfer</w:t>
      </w:r>
      <w:r w:rsidR="006D3D0B" w:rsidRPr="006D3D0B">
        <w:t>) sa vykazuje metódou tzv. nulového zisku, t.</w:t>
      </w:r>
      <w:r w:rsidR="00CF2FC7">
        <w:t xml:space="preserve"> </w:t>
      </w:r>
      <w:r w:rsidR="006D3D0B" w:rsidRPr="006D3D0B">
        <w:t>j. zisk sa vykáže pri predaji nehnuteľnosti.</w:t>
      </w:r>
    </w:p>
    <w:p w:rsidR="004D3B4A" w:rsidRPr="00423AFA" w:rsidRDefault="004D3B4A" w:rsidP="00251BF2">
      <w:pPr>
        <w:pStyle w:val="Pismenka"/>
        <w:numPr>
          <w:ilvl w:val="0"/>
          <w:numId w:val="0"/>
        </w:numPr>
        <w:rPr>
          <w:b w:val="0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Pohľadávky</w:t>
      </w:r>
    </w:p>
    <w:p w:rsidR="004D3B4A" w:rsidRDefault="004D3B4A" w:rsidP="004D3B4A">
      <w:pPr>
        <w:pStyle w:val="Zkladntext"/>
      </w:pPr>
      <w:r>
        <w:t>Pohľadávky pri ich vzniku sa oceňujú ich menovitou hodnotou; postúpené pohľadávky a pohľadávky nadobudnuté vkladom do základného imania sa oceňujú obstarávacou cenou vrátane nákladov súvisiacich s obstaraním. Toto ocenenie sa znižuje o pochybné a nevymožiteľné pohľadávky.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Peňažné prostriedky a ceniny</w:t>
      </w:r>
    </w:p>
    <w:p w:rsidR="004D3B4A" w:rsidRDefault="004D3B4A" w:rsidP="004D3B4A">
      <w:pPr>
        <w:pStyle w:val="Zkladntext"/>
      </w:pPr>
      <w:r>
        <w:t>Peňažné prostriedky a ceniny sa oceňujú ich menovitou hodnotou. Zníženie ich hodnoty sa vyjadruje opravnou položkou.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Náklady budúcich období a príjmy budúcich období</w:t>
      </w:r>
    </w:p>
    <w:p w:rsidR="004D3B4A" w:rsidRDefault="004D3B4A" w:rsidP="004D3B4A">
      <w:pPr>
        <w:pStyle w:val="Zkladntext"/>
      </w:pPr>
      <w:r>
        <w:t>Náklady budúcich období a príjmy budúcich období sa vykazujú vo výške, ktorá je potrebná na dodržanie zásady vecnej a časovej súvislosti s účtovným obdobím.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Rezervy</w:t>
      </w:r>
    </w:p>
    <w:p w:rsidR="004D3B4A" w:rsidRDefault="004D3B4A" w:rsidP="004D3B4A">
      <w:pPr>
        <w:pStyle w:val="Zkladntext"/>
      </w:pPr>
      <w:r>
        <w:t>Rezervy sú záväzky s neurčitým časovým vymedzením alebo výškou; tvoria sa na krytie známych rizík alebo strát z podnikania. Oceňujú sa v očakávanej výške záväzku.</w:t>
      </w:r>
    </w:p>
    <w:p w:rsidR="004D3B4A" w:rsidRDefault="004D3B4A" w:rsidP="00251BF2">
      <w:pPr>
        <w:pStyle w:val="Pismenka"/>
        <w:numPr>
          <w:ilvl w:val="0"/>
          <w:numId w:val="0"/>
        </w:numPr>
        <w:ind w:left="360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Záväzky</w:t>
      </w:r>
    </w:p>
    <w:p w:rsidR="004D3B4A" w:rsidRDefault="004D3B4A" w:rsidP="004D3B4A">
      <w:pPr>
        <w:pStyle w:val="Zkladntext"/>
        <w:rPr>
          <w:sz w:val="24"/>
        </w:rPr>
      </w:pPr>
      <w:r>
        <w:t xml:space="preserve">Záväzky pri ich vzniku sa oceňujú menovitou hodnotou. Záväzky pri ich prevzatí sa oceňujú obstarávacou cenou. Ak sa pri inventarizácii zistí, že suma záväzkov je iná ako ich výška v účtovníctve, uvedú sa záväzky v účtovníctve a v účtovnej závierke v tomto zistenom ocenení. </w:t>
      </w:r>
    </w:p>
    <w:p w:rsidR="004D3B4A" w:rsidRDefault="004D3B4A" w:rsidP="00251BF2">
      <w:pPr>
        <w:pStyle w:val="Pismenka"/>
        <w:numPr>
          <w:ilvl w:val="0"/>
          <w:numId w:val="0"/>
        </w:numPr>
        <w:ind w:left="360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Odložené dane</w:t>
      </w:r>
    </w:p>
    <w:p w:rsidR="004D3B4A" w:rsidRDefault="004D3B4A" w:rsidP="004D3B4A">
      <w:pPr>
        <w:pStyle w:val="Zkladntext"/>
      </w:pPr>
      <w:r>
        <w:t xml:space="preserve">Odložené dane (odložená daňová pohľadávka a odložený daňový záväzok) sa vzťahujú na: </w:t>
      </w:r>
    </w:p>
    <w:p w:rsidR="004D3B4A" w:rsidRDefault="004D3B4A" w:rsidP="004D3B4A">
      <w:pPr>
        <w:pStyle w:val="Zkladntext"/>
        <w:numPr>
          <w:ilvl w:val="0"/>
          <w:numId w:val="8"/>
        </w:numPr>
      </w:pPr>
      <w:r>
        <w:t>dočasné rozdiely medzi účtovnou hodnotou majetku a účtovnou hodnotou záväzkov vykázanou v súvahe a ich daňovou základňou,</w:t>
      </w:r>
    </w:p>
    <w:p w:rsidR="004D3B4A" w:rsidRDefault="004D3B4A" w:rsidP="004D3B4A">
      <w:pPr>
        <w:pStyle w:val="Zkladntext"/>
        <w:numPr>
          <w:ilvl w:val="0"/>
          <w:numId w:val="8"/>
        </w:numPr>
      </w:pPr>
      <w:r>
        <w:t>možnosť umorovať daňovú stratu v budúcnosti, ktorou sa rozumie možnosť odpočítať daňovú stratu od základu dane v budúcnosti,</w:t>
      </w:r>
    </w:p>
    <w:p w:rsidR="004D3B4A" w:rsidRDefault="004D3B4A" w:rsidP="004D3B4A">
      <w:pPr>
        <w:pStyle w:val="Zkladntext"/>
        <w:numPr>
          <w:ilvl w:val="0"/>
          <w:numId w:val="8"/>
        </w:numPr>
      </w:pPr>
      <w:r>
        <w:t>možnosť previesť nevyužité daňové odpočty a iné daňové nároky do budúcich období.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Výdavky budúcich období a výnosy budúcich období</w:t>
      </w:r>
    </w:p>
    <w:p w:rsidR="004D3B4A" w:rsidRDefault="004D3B4A" w:rsidP="004D3B4A">
      <w:pPr>
        <w:pStyle w:val="Zkladntext"/>
      </w:pPr>
      <w:r>
        <w:t>Výdavky budúcich období a výnosy budúcich období sa vykazujú vo výške, ktorá je potrebná na dodržanie zásady vecnej a časovej súvislosti s účtovným obdobím.</w:t>
      </w:r>
    </w:p>
    <w:p w:rsidR="004007CA" w:rsidRDefault="004007C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Emisné kvóty</w:t>
      </w:r>
    </w:p>
    <w:p w:rsidR="004D3B4A" w:rsidRPr="00C24311" w:rsidRDefault="004D3B4A" w:rsidP="004D3B4A">
      <w:pPr>
        <w:pStyle w:val="Zkladntext"/>
      </w:pPr>
      <w:r w:rsidRPr="00C24311">
        <w:t xml:space="preserve">Bezodplatne pripísaný proporčný podiel emisných kvót v ocenení reprodukčnou obstarávacou cenou sa účtuje v prospech výnosov budúcich období. </w:t>
      </w:r>
    </w:p>
    <w:p w:rsidR="004D3B4A" w:rsidRPr="00C24311" w:rsidRDefault="004D3B4A" w:rsidP="004D3B4A">
      <w:pPr>
        <w:pStyle w:val="Zkladntext"/>
      </w:pPr>
    </w:p>
    <w:p w:rsidR="004D3B4A" w:rsidRDefault="004D3B4A" w:rsidP="004D3B4A">
      <w:pPr>
        <w:pStyle w:val="Zkladntext"/>
      </w:pPr>
      <w:r w:rsidRPr="00C24311">
        <w:t>Zúčtovanie výnosov budúcich období sa uskutočňuje v časovej a vecnej súvislosti s použitím bezodplatne pripísaných emisných kvót z dôvodu ich predaja alebo tvorby rezervy alebo splnenia povinnosti odovzdania emisných kvót.</w:t>
      </w:r>
    </w:p>
    <w:p w:rsidR="004D3B4A" w:rsidRDefault="004D3B4A" w:rsidP="004D3B4A">
      <w:pPr>
        <w:pStyle w:val="Zkladntext"/>
        <w:rPr>
          <w:sz w:val="16"/>
          <w:szCs w:val="16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Dotácie zo štátneho rozpočtu</w:t>
      </w:r>
    </w:p>
    <w:p w:rsidR="004D3B4A" w:rsidRPr="00E92175" w:rsidRDefault="004D3B4A" w:rsidP="004D3B4A">
      <w:pPr>
        <w:ind w:left="450"/>
        <w:jc w:val="both"/>
        <w:rPr>
          <w:sz w:val="18"/>
        </w:rPr>
      </w:pPr>
      <w:r>
        <w:rPr>
          <w:sz w:val="18"/>
        </w:rPr>
        <w:t>O nároku na d</w:t>
      </w:r>
      <w:r w:rsidRPr="00E92175">
        <w:rPr>
          <w:sz w:val="18"/>
        </w:rPr>
        <w:t>otáci</w:t>
      </w:r>
      <w:r>
        <w:rPr>
          <w:sz w:val="18"/>
        </w:rPr>
        <w:t>e</w:t>
      </w:r>
      <w:r w:rsidRPr="00E92175">
        <w:rPr>
          <w:sz w:val="18"/>
        </w:rPr>
        <w:t xml:space="preserve"> zo štátneho rozpočtu sa </w:t>
      </w:r>
      <w:r>
        <w:rPr>
          <w:sz w:val="18"/>
        </w:rPr>
        <w:t>účtuje</w:t>
      </w:r>
      <w:r w:rsidRPr="00E92175">
        <w:rPr>
          <w:sz w:val="18"/>
        </w:rPr>
        <w:t xml:space="preserve">, ak je takmer isté, že na základe splnených podmienok na poskytnutie dotácie sa </w:t>
      </w:r>
      <w:r>
        <w:rPr>
          <w:sz w:val="18"/>
        </w:rPr>
        <w:t>Spoločnosti</w:t>
      </w:r>
      <w:r w:rsidRPr="00E92175">
        <w:rPr>
          <w:sz w:val="18"/>
        </w:rPr>
        <w:t xml:space="preserve"> daná dotácia poskytne.</w:t>
      </w:r>
    </w:p>
    <w:p w:rsidR="004D3B4A" w:rsidRPr="00E92175" w:rsidRDefault="004D3B4A" w:rsidP="004D3B4A">
      <w:pPr>
        <w:ind w:left="450"/>
        <w:jc w:val="both"/>
        <w:rPr>
          <w:sz w:val="18"/>
        </w:rPr>
      </w:pPr>
    </w:p>
    <w:p w:rsidR="004D3B4A" w:rsidRPr="00E92175" w:rsidRDefault="004D3B4A" w:rsidP="004D3B4A">
      <w:pPr>
        <w:ind w:left="450"/>
        <w:jc w:val="both"/>
        <w:rPr>
          <w:sz w:val="18"/>
        </w:rPr>
      </w:pPr>
      <w:r w:rsidRPr="00E92175">
        <w:rPr>
          <w:sz w:val="18"/>
        </w:rPr>
        <w:t>Dotácie na hospodársku činnosť Spoločnosti sa</w:t>
      </w:r>
      <w:r>
        <w:rPr>
          <w:sz w:val="18"/>
        </w:rPr>
        <w:t xml:space="preserve"> najskôr</w:t>
      </w:r>
      <w:r w:rsidRPr="00E92175">
        <w:rPr>
          <w:sz w:val="18"/>
        </w:rPr>
        <w:t xml:space="preserve"> vykazujú ako výnosy budúcich období a do výkazu ziskov a strát sa rozpúšťajú ako výnosy z hospodárskej činnosti v časovej a vecnej súvislosti s vynaložením nákladov na príslušný účel.</w:t>
      </w:r>
    </w:p>
    <w:p w:rsidR="004D3B4A" w:rsidRPr="00E92175" w:rsidRDefault="004D3B4A" w:rsidP="004D3B4A">
      <w:pPr>
        <w:ind w:left="450"/>
        <w:jc w:val="both"/>
        <w:rPr>
          <w:sz w:val="18"/>
        </w:rPr>
      </w:pPr>
    </w:p>
    <w:p w:rsidR="004D3B4A" w:rsidRPr="00E92175" w:rsidRDefault="004D3B4A" w:rsidP="004D3B4A">
      <w:pPr>
        <w:ind w:left="450"/>
        <w:jc w:val="both"/>
        <w:rPr>
          <w:sz w:val="18"/>
        </w:rPr>
      </w:pPr>
      <w:r w:rsidRPr="00E92175">
        <w:rPr>
          <w:sz w:val="18"/>
        </w:rPr>
        <w:lastRenderedPageBreak/>
        <w:t xml:space="preserve">Dotácie na obstaranie </w:t>
      </w:r>
      <w:r>
        <w:rPr>
          <w:sz w:val="18"/>
        </w:rPr>
        <w:t>dlhodobého hmotného majetku a dlhodobého nehmotného majetku</w:t>
      </w:r>
      <w:r w:rsidRPr="00E92175">
        <w:rPr>
          <w:sz w:val="18"/>
        </w:rPr>
        <w:t xml:space="preserve"> </w:t>
      </w:r>
      <w:r>
        <w:rPr>
          <w:sz w:val="18"/>
        </w:rPr>
        <w:t>sa najskôr</w:t>
      </w:r>
      <w:r w:rsidRPr="00E92175">
        <w:rPr>
          <w:sz w:val="18"/>
        </w:rPr>
        <w:t xml:space="preserve"> vyk</w:t>
      </w:r>
      <w:r>
        <w:rPr>
          <w:sz w:val="18"/>
        </w:rPr>
        <w:t>a</w:t>
      </w:r>
      <w:r w:rsidRPr="00E92175">
        <w:rPr>
          <w:sz w:val="18"/>
        </w:rPr>
        <w:t>z</w:t>
      </w:r>
      <w:r>
        <w:rPr>
          <w:sz w:val="18"/>
        </w:rPr>
        <w:t>ujú</w:t>
      </w:r>
      <w:r w:rsidRPr="00E92175">
        <w:rPr>
          <w:sz w:val="18"/>
        </w:rPr>
        <w:t xml:space="preserve"> ako výnosy budúcich období a do výkaz</w:t>
      </w:r>
      <w:r>
        <w:rPr>
          <w:sz w:val="18"/>
        </w:rPr>
        <w:t>u</w:t>
      </w:r>
      <w:r w:rsidRPr="00E92175">
        <w:rPr>
          <w:sz w:val="18"/>
        </w:rPr>
        <w:t xml:space="preserve"> ziskov a strát sa rozpúšťajú v časovej a vecnej súvislosti so zaúčtovaním odpisov </w:t>
      </w:r>
      <w:r w:rsidR="00CF2FC7">
        <w:rPr>
          <w:sz w:val="18"/>
        </w:rPr>
        <w:br/>
      </w:r>
      <w:r w:rsidRPr="00E92175">
        <w:rPr>
          <w:sz w:val="18"/>
        </w:rPr>
        <w:t xml:space="preserve">z tohto dlhodobého majetku. </w:t>
      </w:r>
    </w:p>
    <w:p w:rsidR="004D3B4A" w:rsidRPr="00B1412B" w:rsidRDefault="004D3B4A" w:rsidP="004D3B4A">
      <w:pPr>
        <w:pStyle w:val="Zkladntext"/>
        <w:rPr>
          <w:sz w:val="16"/>
          <w:szCs w:val="16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Prenájom (lízing)</w:t>
      </w:r>
    </w:p>
    <w:p w:rsidR="004D3B4A" w:rsidRDefault="004D3B4A" w:rsidP="004D3B4A">
      <w:pPr>
        <w:pStyle w:val="Zkladntext"/>
      </w:pPr>
      <w:r>
        <w:t>Operatívny prenájom. Majetok prenajatý na základe operatívneho prenájmu vykazuje ako svoj majetok jeho vlastník, nie nájomca.</w:t>
      </w:r>
    </w:p>
    <w:p w:rsidR="00AB6B04" w:rsidRDefault="00AB6B04" w:rsidP="004D3B4A">
      <w:pPr>
        <w:pStyle w:val="Zkladntext"/>
      </w:pPr>
    </w:p>
    <w:p w:rsidR="004D3B4A" w:rsidRDefault="004D3B4A" w:rsidP="004D3B4A">
      <w:pPr>
        <w:pStyle w:val="Zkladntext"/>
      </w:pPr>
      <w:r>
        <w:t xml:space="preserve">Finančný prenájom (s kúpnou opciou; bez kúpnej opcie je považovaný za operatívny prenájom). Majetok prenajatý na základe zmluvy uzatvorenej do 31. decembra </w:t>
      </w:r>
      <w:r w:rsidRPr="002C6EEA">
        <w:t>2003 vykazuje ako svoj majetok jeho vlastník, nie nájomca. Majetok prenajatý na základe zmluvy uzatvorenej 1. januára 2004 a</w:t>
      </w:r>
      <w:r>
        <w:t> neskôr vykazuje ako svoj majetok jeho nájomca, nie vlastník.</w:t>
      </w:r>
    </w:p>
    <w:p w:rsidR="004D3B4A" w:rsidRDefault="004D3B4A" w:rsidP="004D3B4A">
      <w:pPr>
        <w:pStyle w:val="Zkladntext"/>
        <w:rPr>
          <w:sz w:val="16"/>
          <w:szCs w:val="16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Deriváty</w:t>
      </w:r>
    </w:p>
    <w:p w:rsidR="004D3B4A" w:rsidRDefault="004D3B4A" w:rsidP="004D3B4A">
      <w:pPr>
        <w:pStyle w:val="Zkladntext"/>
      </w:pPr>
      <w:r>
        <w:t>Deriváty sa oceňujú reálnou hodnotou.</w:t>
      </w:r>
    </w:p>
    <w:p w:rsidR="004D3B4A" w:rsidRPr="006201DD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>Zmeny reálnych hodnôt zabezpečovacích derivátov sa účtujú bez vplyvu na výsledok hospodárenia, priamo do vlastného imania.</w:t>
      </w:r>
    </w:p>
    <w:p w:rsidR="004D3B4A" w:rsidRPr="006201DD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>Zmeny reálnych hodnôt derivátov určených na obchodovanie na tuzemskej burze, zahraničnej burze alebo</w:t>
      </w:r>
      <w:r w:rsidR="00CF2FC7">
        <w:t xml:space="preserve"> na</w:t>
      </w:r>
      <w:r>
        <w:t xml:space="preserve"> inom verejnom trhu sa účtujú s vplyvom na výsledok hospodárenia.</w:t>
      </w:r>
    </w:p>
    <w:p w:rsidR="004D3B4A" w:rsidRPr="006201DD" w:rsidRDefault="004D3B4A" w:rsidP="004D3B4A">
      <w:pPr>
        <w:pStyle w:val="Zkladntext"/>
      </w:pPr>
    </w:p>
    <w:p w:rsidR="004D3B4A" w:rsidRDefault="004D3B4A" w:rsidP="004D3B4A">
      <w:pPr>
        <w:pStyle w:val="Zkladntext"/>
      </w:pPr>
      <w:r>
        <w:t>Zmeny reálnych hodnôt derivátov určených na obchodovanie na neverejnom trhu sa účtujú bez vplyvu na výsledok hospodárenia, priamo do vlastného imania.</w:t>
      </w:r>
    </w:p>
    <w:p w:rsidR="004D3B4A" w:rsidRPr="006201DD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Majetok a záväzky zabezpečené derivátmi</w:t>
      </w:r>
    </w:p>
    <w:p w:rsidR="004D3B4A" w:rsidRDefault="004D3B4A" w:rsidP="004D3B4A">
      <w:pPr>
        <w:pStyle w:val="Zkladntext"/>
      </w:pPr>
      <w:r>
        <w:t xml:space="preserve">Majetok a záväzky zabezpečené derivátmi sa oceňujú reálnou hodnotou. Zmeny reálnych hodnôt majetku a záväzkov zabezpečených derivátmi sa účtujú bez vplyvu na výsledok hospodárenia, priamo do vlastného imania. </w:t>
      </w:r>
    </w:p>
    <w:p w:rsidR="004D3B4A" w:rsidRPr="00B1412B" w:rsidRDefault="004D3B4A" w:rsidP="004D3B4A">
      <w:pPr>
        <w:pStyle w:val="Zkladntext"/>
        <w:rPr>
          <w:sz w:val="16"/>
          <w:szCs w:val="16"/>
        </w:rPr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Cudzia mena</w:t>
      </w:r>
    </w:p>
    <w:p w:rsidR="004D3B4A" w:rsidRDefault="004D3B4A" w:rsidP="004D3B4A">
      <w:pPr>
        <w:pStyle w:val="Zkladntext"/>
      </w:pPr>
      <w:r w:rsidRPr="00194BFD">
        <w:t xml:space="preserve">Majetok a záväzky vyjadrené v cudzej mene sa ku dňu uskutočnenia účtovného prípadu </w:t>
      </w:r>
      <w:r>
        <w:t xml:space="preserve">prepočítavajú na menu euro referenčným výmenným </w:t>
      </w:r>
      <w:r w:rsidRPr="00194BFD">
        <w:t>kurzom</w:t>
      </w:r>
      <w:r>
        <w:t xml:space="preserve"> určeným a vyhláseným Európskou centrálnou bankou alebo Národnou bankou Slovenska v deň predchádzajúci dňu uskutočnenia účtovného prípadu. </w:t>
      </w:r>
    </w:p>
    <w:p w:rsidR="004D3B4A" w:rsidRDefault="004D3B4A" w:rsidP="004D3B4A">
      <w:pPr>
        <w:pStyle w:val="Zkladntext"/>
      </w:pPr>
    </w:p>
    <w:p w:rsidR="004D3B4A" w:rsidRDefault="004D3B4A" w:rsidP="004D3B4A">
      <w:pPr>
        <w:pStyle w:val="Zkladntext"/>
      </w:pPr>
      <w:r w:rsidRPr="00194BFD">
        <w:t>Majetok a záväzky vyjadrené v cudzej mene (</w:t>
      </w:r>
      <w:r>
        <w:t>okrem</w:t>
      </w:r>
      <w:r w:rsidRPr="00194BFD">
        <w:t xml:space="preserve"> prijatých a poskytnutých preddavkov) sa ku dňu, ku ktorému</w:t>
      </w:r>
      <w:r>
        <w:t xml:space="preserve"> sa</w:t>
      </w:r>
      <w:r w:rsidRPr="00194BFD">
        <w:t xml:space="preserve"> zostavuje účtovná závierka</w:t>
      </w:r>
      <w:r>
        <w:t>,</w:t>
      </w:r>
      <w:r w:rsidRPr="00194BFD">
        <w:t xml:space="preserve"> prepočítavajú na </w:t>
      </w:r>
      <w:r>
        <w:t xml:space="preserve">menu euro referenčným výmenným </w:t>
      </w:r>
      <w:r w:rsidRPr="00194BFD">
        <w:t xml:space="preserve">kurzom </w:t>
      </w:r>
      <w:r>
        <w:t>určeným a vyhláseným Európskou centrálnou bankou alebo Národnou bankou Slovenska v deň, ku ktorému sa zostavuje účtovná závierka,</w:t>
      </w:r>
      <w:r w:rsidRPr="00194BFD">
        <w:t xml:space="preserve"> a účtujú sa s vplyvom na výsledok hospodárenia. </w:t>
      </w:r>
    </w:p>
    <w:p w:rsidR="004D3B4A" w:rsidRDefault="004D3B4A" w:rsidP="004D3B4A">
      <w:pPr>
        <w:pStyle w:val="Zkladntext"/>
      </w:pPr>
    </w:p>
    <w:p w:rsidR="006E554A" w:rsidRDefault="004D3B4A" w:rsidP="004D3B4A">
      <w:pPr>
        <w:pStyle w:val="Zkladntext"/>
      </w:pPr>
      <w:r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</w:t>
      </w:r>
    </w:p>
    <w:p w:rsidR="006E554A" w:rsidRDefault="006E554A" w:rsidP="004D3B4A">
      <w:pPr>
        <w:pStyle w:val="Zkladntext"/>
      </w:pPr>
    </w:p>
    <w:p w:rsidR="00BB2336" w:rsidRDefault="004D3B4A" w:rsidP="004D3B4A">
      <w:pPr>
        <w:pStyle w:val="Zkladntext"/>
      </w:pPr>
      <w:r>
        <w:t xml:space="preserve">Prijaté a poskytnuté preddavky v cudzej mene na účet zriadený v eurách a z účtu zriadeného v eurách sa prepočítavajú na menu euro kurzom, za ktorý boli tieto hodnoty nakúpené alebo predané. </w:t>
      </w:r>
    </w:p>
    <w:p w:rsidR="00BB2336" w:rsidRDefault="00BB2336" w:rsidP="004D3B4A">
      <w:pPr>
        <w:pStyle w:val="Zkladntext"/>
      </w:pPr>
    </w:p>
    <w:p w:rsidR="004D3B4A" w:rsidRDefault="00BB2336" w:rsidP="004D3B4A">
      <w:pPr>
        <w:pStyle w:val="Zkladntext"/>
      </w:pPr>
      <w:r>
        <w:t>Prijaté a poskytnuté preddavky sa k</w:t>
      </w:r>
      <w:r w:rsidR="004D3B4A">
        <w:t xml:space="preserve">u dňu, ku ktorému sa zostavuje účtovná závierka, na menu euro už neprepočítavajú. </w:t>
      </w:r>
    </w:p>
    <w:p w:rsidR="004D3B4A" w:rsidRDefault="004D3B4A" w:rsidP="004D3B4A">
      <w:pPr>
        <w:pStyle w:val="Zkladntext"/>
      </w:pPr>
    </w:p>
    <w:p w:rsidR="004D3B4A" w:rsidRDefault="004D3B4A" w:rsidP="00251BF2">
      <w:pPr>
        <w:pStyle w:val="Pismenka"/>
        <w:tabs>
          <w:tab w:val="clear" w:pos="426"/>
        </w:tabs>
        <w:ind w:left="426"/>
      </w:pPr>
      <w:r>
        <w:t>Výnosy</w:t>
      </w:r>
    </w:p>
    <w:p w:rsidR="004D3B4A" w:rsidRDefault="004D3B4A" w:rsidP="004D3B4A">
      <w:pPr>
        <w:pStyle w:val="Zkladntext"/>
      </w:pPr>
      <w:r>
        <w:t>Tržby za vlastné výkony a tovar neobsahujú daň z pridanej hodnoty. Sú tiež znížené o zľavy a zrážky (rabaty, bonusy, skontá, dobropisy a pod.), bez ohľadu na to, či zákazník mal vopred na zľavu nárok, alebo či ide o dodatočne uznanú zľavu.</w:t>
      </w:r>
    </w:p>
    <w:p w:rsidR="00E7672A" w:rsidRDefault="00E7672A" w:rsidP="004D3B4A">
      <w:pPr>
        <w:pStyle w:val="Zkladntext"/>
      </w:pPr>
    </w:p>
    <w:p w:rsidR="00E7672A" w:rsidRDefault="00E7672A" w:rsidP="004D3B4A">
      <w:pPr>
        <w:pStyle w:val="Zkladntext"/>
        <w:rPr>
          <w:sz w:val="16"/>
          <w:szCs w:val="16"/>
        </w:rPr>
      </w:pPr>
    </w:p>
    <w:p w:rsidR="00E7672A" w:rsidRPr="005538D1" w:rsidRDefault="00E7672A" w:rsidP="00E7672A">
      <w:pPr>
        <w:pStyle w:val="Pismenka"/>
      </w:pPr>
      <w:bookmarkStart w:id="6" w:name="_Toc530739900"/>
      <w:r w:rsidRPr="005A1A4C">
        <w:t xml:space="preserve">Uskutočnené významné opravy s vplyvom na minulé výsledky hospodárenia </w:t>
      </w:r>
    </w:p>
    <w:p w:rsidR="00E7672A" w:rsidRPr="005A1A4C" w:rsidRDefault="002870BE" w:rsidP="00E7672A">
      <w:pPr>
        <w:pStyle w:val="Pismenka"/>
        <w:numPr>
          <w:ilvl w:val="0"/>
          <w:numId w:val="0"/>
        </w:numPr>
        <w:ind w:left="360"/>
        <w:rPr>
          <w:b w:val="0"/>
          <w:i/>
        </w:rPr>
      </w:pPr>
      <w:r>
        <w:rPr>
          <w:b w:val="0"/>
          <w:i/>
        </w:rPr>
        <w:t>Neboli účtované žiadne významné opravy, ktoré by mali vplyv na minulé výsledky hospodárenia</w:t>
      </w:r>
    </w:p>
    <w:p w:rsidR="007F0FB7" w:rsidRDefault="007F0FB7" w:rsidP="00920573">
      <w:pPr>
        <w:pStyle w:val="Nadpis1"/>
        <w:numPr>
          <w:ilvl w:val="0"/>
          <w:numId w:val="0"/>
        </w:numPr>
        <w:spacing w:before="120" w:after="60"/>
        <w:ind w:left="360" w:firstLine="708"/>
      </w:pPr>
    </w:p>
    <w:p w:rsidR="002870BE" w:rsidRDefault="002870BE" w:rsidP="002870BE"/>
    <w:p w:rsidR="002870BE" w:rsidRDefault="002870BE" w:rsidP="002870BE"/>
    <w:p w:rsidR="002870BE" w:rsidRDefault="002870BE" w:rsidP="002870BE"/>
    <w:p w:rsidR="002870BE" w:rsidRDefault="002870BE" w:rsidP="002870BE"/>
    <w:p w:rsidR="002870BE" w:rsidRDefault="002870BE" w:rsidP="002870BE"/>
    <w:p w:rsidR="002870BE" w:rsidRPr="002870BE" w:rsidRDefault="002870BE" w:rsidP="002870BE"/>
    <w:p w:rsidR="007F0FB7" w:rsidRDefault="007F0FB7" w:rsidP="00920573">
      <w:pPr>
        <w:pStyle w:val="Nadpis1"/>
        <w:numPr>
          <w:ilvl w:val="0"/>
          <w:numId w:val="0"/>
        </w:numPr>
        <w:shd w:val="clear" w:color="auto" w:fill="FFFFFF" w:themeFill="background1"/>
        <w:spacing w:before="120" w:after="60"/>
        <w:ind w:left="360"/>
      </w:pPr>
    </w:p>
    <w:p w:rsidR="004D3B4A" w:rsidRDefault="004D3B4A" w:rsidP="00920573">
      <w:pPr>
        <w:pStyle w:val="Nadpis1"/>
        <w:numPr>
          <w:ilvl w:val="0"/>
          <w:numId w:val="0"/>
        </w:numPr>
        <w:shd w:val="clear" w:color="auto" w:fill="FFFFFF" w:themeFill="background1"/>
        <w:spacing w:before="120" w:after="60"/>
        <w:ind w:left="360"/>
      </w:pPr>
      <w:r>
        <w:t>informácie o údajoch na strane aktív súvahy</w:t>
      </w:r>
      <w:bookmarkEnd w:id="6"/>
    </w:p>
    <w:p w:rsidR="004D3B4A" w:rsidRPr="00B1412B" w:rsidRDefault="004D3B4A" w:rsidP="004D3B4A">
      <w:pPr>
        <w:pStyle w:val="Hlavika"/>
        <w:numPr>
          <w:ilvl w:val="12"/>
          <w:numId w:val="0"/>
        </w:numPr>
        <w:jc w:val="both"/>
        <w:rPr>
          <w:sz w:val="16"/>
          <w:szCs w:val="16"/>
        </w:rPr>
      </w:pPr>
    </w:p>
    <w:p w:rsidR="004D3B4A" w:rsidRDefault="004D3B4A" w:rsidP="00C02C96">
      <w:pPr>
        <w:pStyle w:val="Nadpis2"/>
        <w:numPr>
          <w:ilvl w:val="0"/>
          <w:numId w:val="25"/>
        </w:numPr>
        <w:tabs>
          <w:tab w:val="clear" w:pos="360"/>
          <w:tab w:val="num" w:pos="426"/>
        </w:tabs>
      </w:pPr>
      <w:bookmarkStart w:id="7" w:name="_Toc530739901"/>
      <w:r>
        <w:t>Dlhodobý nehmotný majetok a dlhodobý hmotný majetok</w:t>
      </w:r>
      <w:bookmarkEnd w:id="7"/>
    </w:p>
    <w:p w:rsidR="004D3B4A" w:rsidRPr="00B1412B" w:rsidRDefault="004D3B4A" w:rsidP="004D3B4A">
      <w:pPr>
        <w:pStyle w:val="Zkladntext"/>
        <w:rPr>
          <w:sz w:val="16"/>
          <w:szCs w:val="16"/>
        </w:rPr>
      </w:pPr>
    </w:p>
    <w:p w:rsidR="004D3B4A" w:rsidRPr="00D50F39" w:rsidRDefault="004D3B4A" w:rsidP="004D3B4A">
      <w:pPr>
        <w:pStyle w:val="Zkladntext"/>
        <w:rPr>
          <w:color w:val="000000" w:themeColor="text1"/>
        </w:rPr>
      </w:pPr>
      <w:r>
        <w:t>Prehľad o pohybe dlhodobého nehmotného majetku a dlhodobého hmo</w:t>
      </w:r>
      <w:r w:rsidR="00A55061">
        <w:t>tného majetku od 1. januára 2013</w:t>
      </w:r>
      <w:r>
        <w:t xml:space="preserve"> do </w:t>
      </w:r>
      <w:r>
        <w:br/>
        <w:t xml:space="preserve">31. </w:t>
      </w:r>
      <w:r w:rsidR="00A55061">
        <w:t>decembra 2013</w:t>
      </w:r>
      <w:r w:rsidRPr="00C24B6B">
        <w:t xml:space="preserve"> a za porovna</w:t>
      </w:r>
      <w:r w:rsidR="00A55061">
        <w:t>teľné obdobie od 1. januára 2012 do 31. decembra 2012</w:t>
      </w:r>
      <w:r w:rsidRPr="00C24B6B">
        <w:t xml:space="preserve"> je uvedený v tabuľk</w:t>
      </w:r>
      <w:r w:rsidR="00887683" w:rsidRPr="00C24B6B">
        <w:t>ách</w:t>
      </w:r>
      <w:r w:rsidRPr="00C24B6B">
        <w:t xml:space="preserve"> </w:t>
      </w:r>
      <w:r w:rsidR="00D50F39">
        <w:t>na stranách 7</w:t>
      </w:r>
      <w:r w:rsidR="00003C63" w:rsidRPr="00C24B6B">
        <w:t xml:space="preserve"> a</w:t>
      </w:r>
      <w:r w:rsidR="00AD6758" w:rsidRPr="00AD6758">
        <w:t>ž</w:t>
      </w:r>
      <w:r w:rsidR="00BD48D8">
        <w:t> </w:t>
      </w:r>
      <w:r w:rsidR="00D50F39" w:rsidRPr="00D50F39">
        <w:rPr>
          <w:color w:val="000000" w:themeColor="text1"/>
        </w:rPr>
        <w:t>8</w:t>
      </w:r>
      <w:r w:rsidR="00D50F39">
        <w:rPr>
          <w:color w:val="000000" w:themeColor="text1"/>
        </w:rPr>
        <w:t>.</w:t>
      </w:r>
    </w:p>
    <w:p w:rsidR="00D11549" w:rsidRDefault="00D11549" w:rsidP="004D3B4A">
      <w:pPr>
        <w:pStyle w:val="Zkladntext"/>
      </w:pPr>
    </w:p>
    <w:p w:rsidR="0074037C" w:rsidRDefault="0074037C" w:rsidP="004D3B4A">
      <w:pPr>
        <w:pStyle w:val="Zkladntext"/>
      </w:pPr>
      <w:r>
        <w:t>Dlhodobý nehmotný majetok</w:t>
      </w:r>
      <w:r w:rsidR="001B1DFF">
        <w:t>, ktorého obstarávacia cena by bola nad 2 400 Eur Spoločnosť nevlastní.</w:t>
      </w:r>
      <w:r>
        <w:t>.</w:t>
      </w:r>
    </w:p>
    <w:p w:rsidR="004D3B4A" w:rsidRDefault="004D3B4A" w:rsidP="004D3B4A">
      <w:pPr>
        <w:pStyle w:val="Zkladntext"/>
      </w:pPr>
    </w:p>
    <w:p w:rsidR="004D3B4A" w:rsidRPr="002130D8" w:rsidRDefault="004D3B4A" w:rsidP="004D3B4A">
      <w:pPr>
        <w:pStyle w:val="Zkladntext"/>
        <w:rPr>
          <w:szCs w:val="18"/>
        </w:rPr>
      </w:pPr>
      <w:r>
        <w:t>Na</w:t>
      </w:r>
      <w:r w:rsidR="00537105">
        <w:t xml:space="preserve"> dlhodobý nehmotný majetok a dlhodo</w:t>
      </w:r>
      <w:r w:rsidR="0074037C">
        <w:t xml:space="preserve">bý hmotný majetok </w:t>
      </w:r>
      <w:r w:rsidR="00537105">
        <w:t>nebolo zriadené záložné právo.</w:t>
      </w:r>
    </w:p>
    <w:p w:rsidR="004D3B4A" w:rsidRDefault="004D3B4A" w:rsidP="004D3B4A">
      <w:pPr>
        <w:pStyle w:val="Zkladntext"/>
        <w:ind w:left="0"/>
      </w:pPr>
    </w:p>
    <w:p w:rsidR="004D3B4A" w:rsidRDefault="001B1DFF" w:rsidP="004D3B4A">
      <w:pPr>
        <w:pStyle w:val="Zkladntext"/>
      </w:pPr>
      <w:r>
        <w:t xml:space="preserve">V roku 2013 neboli </w:t>
      </w:r>
      <w:r w:rsidR="00537105">
        <w:t>a  na výskum a</w:t>
      </w:r>
      <w:r>
        <w:t> </w:t>
      </w:r>
      <w:r w:rsidR="00537105">
        <w:t>vývoj</w:t>
      </w:r>
      <w:r>
        <w:t xml:space="preserve"> vynaložené </w:t>
      </w:r>
      <w:r w:rsidR="00537105">
        <w:t xml:space="preserve"> žiadne náklady.</w:t>
      </w:r>
    </w:p>
    <w:p w:rsidR="004D3B4A" w:rsidRDefault="004D3B4A" w:rsidP="004D3B4A">
      <w:pPr>
        <w:pStyle w:val="Zkladntext"/>
      </w:pPr>
    </w:p>
    <w:p w:rsidR="00D276C2" w:rsidRDefault="00D276C2" w:rsidP="00B55A09">
      <w:pPr>
        <w:ind w:left="425"/>
      </w:pPr>
    </w:p>
    <w:p w:rsidR="00E47A52" w:rsidRDefault="00E47A52" w:rsidP="00B55A09">
      <w:pPr>
        <w:ind w:left="425"/>
      </w:pPr>
    </w:p>
    <w:p w:rsidR="00E47A52" w:rsidRDefault="00E47A52" w:rsidP="00B55A09">
      <w:pPr>
        <w:ind w:left="425"/>
        <w:sectPr w:rsidR="00E47A52" w:rsidSect="005B316E">
          <w:headerReference w:type="first" r:id="rId15"/>
          <w:footerReference w:type="first" r:id="rId16"/>
          <w:pgSz w:w="11907" w:h="16840" w:code="9"/>
          <w:pgMar w:top="1979" w:right="1021" w:bottom="1134" w:left="1673" w:header="675" w:footer="408" w:gutter="0"/>
          <w:cols w:space="708"/>
          <w:titlePg/>
        </w:sectPr>
      </w:pPr>
    </w:p>
    <w:tbl>
      <w:tblPr>
        <w:tblW w:w="149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307"/>
        <w:gridCol w:w="1298"/>
        <w:gridCol w:w="1306"/>
        <w:gridCol w:w="1366"/>
        <w:gridCol w:w="1327"/>
        <w:gridCol w:w="1306"/>
        <w:gridCol w:w="1306"/>
        <w:gridCol w:w="1306"/>
        <w:gridCol w:w="1120"/>
      </w:tblGrid>
      <w:tr w:rsidR="00E47A52" w:rsidRPr="00D67E81" w:rsidTr="00E47A52">
        <w:trPr>
          <w:trHeight w:val="300"/>
        </w:trPr>
        <w:tc>
          <w:tcPr>
            <w:tcW w:w="14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47A52" w:rsidRPr="00D67E81" w:rsidRDefault="00E47A52" w:rsidP="000E2D70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D67E81">
              <w:rPr>
                <w:i/>
                <w:iCs/>
                <w:color w:val="000000"/>
                <w:sz w:val="22"/>
                <w:szCs w:val="22"/>
                <w:lang w:eastAsia="sk-SK"/>
              </w:rPr>
              <w:lastRenderedPageBreak/>
              <w:t>Prehľad o pohybe dlhodobého hmotného majetku</w:t>
            </w:r>
          </w:p>
        </w:tc>
      </w:tr>
      <w:tr w:rsidR="00E47A52" w:rsidRPr="00D67E81" w:rsidTr="00E47A52">
        <w:trPr>
          <w:trHeight w:val="300"/>
        </w:trPr>
        <w:tc>
          <w:tcPr>
            <w:tcW w:w="14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47A52" w:rsidRPr="00D67E81" w:rsidRDefault="00E47A52" w:rsidP="000E2D70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sk-SK"/>
              </w:rPr>
              <w:t>31.12.2013</w:t>
            </w:r>
          </w:p>
        </w:tc>
      </w:tr>
      <w:tr w:rsidR="00E47A52" w:rsidRPr="00D25902" w:rsidTr="00E47A52">
        <w:trPr>
          <w:trHeight w:val="300"/>
        </w:trPr>
        <w:tc>
          <w:tcPr>
            <w:tcW w:w="326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47A52" w:rsidRPr="00D25902" w:rsidRDefault="00E47A52" w:rsidP="000E2D70">
            <w:pPr>
              <w:rPr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A52" w:rsidRPr="00D25902" w:rsidRDefault="00E47A52" w:rsidP="000E2D70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D25902">
              <w:rPr>
                <w:b/>
                <w:color w:val="000000"/>
                <w:sz w:val="18"/>
                <w:szCs w:val="18"/>
                <w:lang w:eastAsia="sk-SK"/>
              </w:rPr>
              <w:t>Bežné účtovné obdobie</w:t>
            </w:r>
          </w:p>
        </w:tc>
      </w:tr>
      <w:tr w:rsidR="00E47A52" w:rsidRPr="00D67E81" w:rsidTr="00D25902">
        <w:trPr>
          <w:trHeight w:val="1200"/>
        </w:trPr>
        <w:tc>
          <w:tcPr>
            <w:tcW w:w="3264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Pozemky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Stavby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Samostatné hnuteľné veci a súbory hnuteľných vecí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Pestovateľské celky trvalých porastov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Základné stádo a ťažné zvieratá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Ostatný dlhodobý hmotný majetok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Obstarávaný dlhodobý hmotný majetok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Poskytnuté preddavky na dlhodobý hmotný majetok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E47A52" w:rsidRPr="00D67E81" w:rsidTr="00D25902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7A5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7A52" w:rsidRPr="00D67E81" w:rsidRDefault="00E47A52" w:rsidP="000E2D7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j</w:t>
            </w:r>
          </w:p>
        </w:tc>
      </w:tr>
      <w:tr w:rsidR="00D25902" w:rsidRPr="00D67E81" w:rsidTr="00D25902">
        <w:trPr>
          <w:trHeight w:val="222"/>
        </w:trPr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5902" w:rsidRPr="00D25902" w:rsidRDefault="00D25902" w:rsidP="00D25902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Prvotné ocenenie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5902" w:rsidRPr="00D67E81" w:rsidRDefault="00D25902" w:rsidP="00D259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25902" w:rsidRPr="00D67E81" w:rsidTr="000E2D70">
        <w:trPr>
          <w:trHeight w:val="222"/>
        </w:trPr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E11574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138 852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902" w:rsidRPr="00D67E81" w:rsidRDefault="00D25902" w:rsidP="00D259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25902" w:rsidRPr="00D67E81" w:rsidTr="00E47A52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E11574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299  927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E11574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299 276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E47A52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E11574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299 276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E47A52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E11574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428 129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Oprávky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45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E11574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45 953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902" w:rsidRPr="00D67E81" w:rsidRDefault="00D25902" w:rsidP="00D259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25902" w:rsidRPr="00D67E81" w:rsidTr="00E47A52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E11574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72 445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E47A52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E11574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118398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Opravné položky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45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902" w:rsidRPr="00D67E81" w:rsidRDefault="00D25902" w:rsidP="00D259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25902" w:rsidRPr="00D67E81" w:rsidTr="00E47A52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E47A52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Zostatková hodnota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29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E11574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92 899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D25902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902" w:rsidRPr="00D67E81" w:rsidRDefault="00D25902" w:rsidP="00D259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E11574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319 731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E47A52" w:rsidRDefault="00E47A52" w:rsidP="00D276C2"/>
    <w:p w:rsidR="00D25902" w:rsidRDefault="00D25902">
      <w:pPr>
        <w:spacing w:after="200" w:line="276" w:lineRule="auto"/>
      </w:pPr>
      <w:r>
        <w:br w:type="page"/>
      </w:r>
    </w:p>
    <w:p w:rsidR="00D25902" w:rsidRDefault="00D25902" w:rsidP="00D276C2"/>
    <w:tbl>
      <w:tblPr>
        <w:tblW w:w="149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307"/>
        <w:gridCol w:w="1298"/>
        <w:gridCol w:w="1306"/>
        <w:gridCol w:w="1366"/>
        <w:gridCol w:w="1327"/>
        <w:gridCol w:w="1306"/>
        <w:gridCol w:w="1306"/>
        <w:gridCol w:w="1306"/>
        <w:gridCol w:w="1120"/>
      </w:tblGrid>
      <w:tr w:rsidR="00D25902" w:rsidRPr="00D67E81" w:rsidTr="000E2D70">
        <w:trPr>
          <w:trHeight w:val="300"/>
        </w:trPr>
        <w:tc>
          <w:tcPr>
            <w:tcW w:w="14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5902" w:rsidRPr="00D67E81" w:rsidRDefault="00D25902" w:rsidP="000E2D70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D67E81">
              <w:rPr>
                <w:i/>
                <w:iCs/>
                <w:color w:val="000000"/>
                <w:sz w:val="22"/>
                <w:szCs w:val="22"/>
                <w:lang w:eastAsia="sk-SK"/>
              </w:rPr>
              <w:t>Prehľad o pohybe dlhodobého hmotného majetku</w:t>
            </w:r>
          </w:p>
        </w:tc>
      </w:tr>
      <w:tr w:rsidR="00D25902" w:rsidRPr="00D67E81" w:rsidTr="000E2D70">
        <w:trPr>
          <w:trHeight w:val="300"/>
        </w:trPr>
        <w:tc>
          <w:tcPr>
            <w:tcW w:w="14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25902" w:rsidRPr="00D67E81" w:rsidRDefault="00D25902" w:rsidP="00D25902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sk-SK"/>
              </w:rPr>
              <w:t>31.12.2012</w:t>
            </w:r>
          </w:p>
        </w:tc>
      </w:tr>
      <w:tr w:rsidR="00D25902" w:rsidRPr="00D25902" w:rsidTr="000E2D70">
        <w:trPr>
          <w:trHeight w:val="300"/>
        </w:trPr>
        <w:tc>
          <w:tcPr>
            <w:tcW w:w="326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25902" w:rsidRPr="00D25902" w:rsidRDefault="00D25902" w:rsidP="000E2D70">
            <w:pPr>
              <w:rPr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902" w:rsidRPr="00D25902" w:rsidRDefault="00D25902" w:rsidP="000E2D70">
            <w:pPr>
              <w:jc w:val="center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D25902">
              <w:rPr>
                <w:b/>
                <w:color w:val="000000"/>
                <w:sz w:val="18"/>
                <w:szCs w:val="18"/>
                <w:lang w:eastAsia="sk-SK"/>
              </w:rPr>
              <w:t>Predchádzajúce účtovné obdobie</w:t>
            </w:r>
          </w:p>
        </w:tc>
      </w:tr>
      <w:tr w:rsidR="00D25902" w:rsidRPr="00D67E81" w:rsidTr="000E2D70">
        <w:trPr>
          <w:trHeight w:val="1200"/>
        </w:trPr>
        <w:tc>
          <w:tcPr>
            <w:tcW w:w="3264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Pozemky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Stavby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Samostatné hnuteľné veci a súbory hnuteľných vecí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Pestovateľské celky trvalých porastov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Základné stádo a ťažné zvieratá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Ostatný dlhodobý hmotný majetok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Obstarávaný dlhodobý hmotný majetok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Poskytnuté preddavky na dlhodobý hmotný majetok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g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j</w:t>
            </w:r>
          </w:p>
        </w:tc>
      </w:tr>
      <w:tr w:rsidR="00D25902" w:rsidRPr="00D67E81" w:rsidTr="000E2D70">
        <w:trPr>
          <w:trHeight w:val="222"/>
        </w:trPr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5902" w:rsidRPr="00D25902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Prvotné ocenenie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5902" w:rsidRPr="00D67E81" w:rsidRDefault="00D25902" w:rsidP="000E2D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25902" w:rsidRPr="00D67E81" w:rsidTr="000E2D70">
        <w:trPr>
          <w:trHeight w:val="222"/>
        </w:trPr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902" w:rsidRPr="00D67E81" w:rsidRDefault="00D25902" w:rsidP="000E2D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Presuny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E11574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138 852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1B1DFF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138 852</w:t>
            </w: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Oprávky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45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902" w:rsidRPr="00D67E81" w:rsidRDefault="00D25902" w:rsidP="000E2D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E11574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45 953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1B1DFF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45 953</w:t>
            </w: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Opravné položky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45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902" w:rsidRPr="00D67E81" w:rsidRDefault="00D25902" w:rsidP="000E2D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Prírastky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Úbytky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color w:val="000000"/>
                <w:sz w:val="18"/>
                <w:szCs w:val="18"/>
                <w:lang w:eastAsia="sk-SK"/>
              </w:rPr>
              <w:t>Zostatková hodnota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25902" w:rsidRPr="00D67E81" w:rsidTr="000E2D70">
        <w:trPr>
          <w:trHeight w:val="29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začiatku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25902" w:rsidRPr="00D67E81" w:rsidRDefault="00D25902" w:rsidP="000E2D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D25902" w:rsidRPr="00D67E81" w:rsidTr="000E2D70">
        <w:trPr>
          <w:trHeight w:val="300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5902" w:rsidRPr="00D67E81" w:rsidRDefault="00D25902" w:rsidP="000E2D70">
            <w:pPr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67E81">
              <w:rPr>
                <w:b/>
                <w:bCs/>
                <w:color w:val="000000"/>
                <w:sz w:val="18"/>
                <w:szCs w:val="18"/>
                <w:lang w:eastAsia="sk-SK"/>
              </w:rPr>
              <w:t>Stav na konci účtovného obdobia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E11574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92 869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D25902" w:rsidP="000E2D70">
            <w:pPr>
              <w:jc w:val="right"/>
              <w:rPr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5902" w:rsidRPr="00D67E81" w:rsidRDefault="001B1DFF" w:rsidP="000E2D7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92 869</w:t>
            </w:r>
          </w:p>
        </w:tc>
      </w:tr>
    </w:tbl>
    <w:p w:rsidR="00E47A52" w:rsidRDefault="00E47A52" w:rsidP="00D276C2"/>
    <w:p w:rsidR="00D276C2" w:rsidRDefault="00D276C2" w:rsidP="00D276C2"/>
    <w:p w:rsidR="00D276C2" w:rsidRDefault="00D276C2" w:rsidP="00D276C2">
      <w:pPr>
        <w:sectPr w:rsidR="00D276C2" w:rsidSect="00D276C2">
          <w:headerReference w:type="default" r:id="rId17"/>
          <w:pgSz w:w="16840" w:h="11907" w:orient="landscape" w:code="9"/>
          <w:pgMar w:top="1673" w:right="1979" w:bottom="1021" w:left="1134" w:header="675" w:footer="408" w:gutter="0"/>
          <w:cols w:space="708"/>
          <w:titlePg/>
          <w:docGrid w:linePitch="272"/>
        </w:sectPr>
      </w:pPr>
    </w:p>
    <w:p w:rsidR="00D276C2" w:rsidRPr="00D276C2" w:rsidRDefault="00D276C2" w:rsidP="00D276C2">
      <w:pPr>
        <w:pStyle w:val="Nadpis2"/>
        <w:numPr>
          <w:ilvl w:val="0"/>
          <w:numId w:val="0"/>
        </w:numPr>
        <w:ind w:left="360"/>
      </w:pPr>
    </w:p>
    <w:p w:rsidR="004D3B4A" w:rsidRDefault="004D3B4A" w:rsidP="00D276C2">
      <w:pPr>
        <w:pStyle w:val="Nadpis2"/>
      </w:pPr>
      <w:r>
        <w:t>Dlhodobý finančný majetok</w:t>
      </w:r>
    </w:p>
    <w:p w:rsidR="007F0FB7" w:rsidRDefault="007F0FB7" w:rsidP="007F0FB7">
      <w:r>
        <w:t>Spoločnosť v</w:t>
      </w:r>
      <w:r w:rsidR="00A628AE">
        <w:t> </w:t>
      </w:r>
      <w:r>
        <w:t>roku</w:t>
      </w:r>
      <w:r w:rsidR="00A628AE">
        <w:t xml:space="preserve"> 2012</w:t>
      </w:r>
      <w:r w:rsidR="002E7514">
        <w:t>ani</w:t>
      </w:r>
      <w:r w:rsidR="008B1B02">
        <w:t xml:space="preserve"> </w:t>
      </w:r>
      <w:bookmarkStart w:id="8" w:name="_GoBack"/>
      <w:bookmarkEnd w:id="8"/>
      <w:r w:rsidR="00A628AE">
        <w:t xml:space="preserve"> v roku </w:t>
      </w:r>
      <w:r>
        <w:t xml:space="preserve"> 2013 neúčtovala o dlhodobom finančn</w:t>
      </w:r>
      <w:r w:rsidR="00EE3020">
        <w:t>om majetku, nemá náplň pre túto položku.</w:t>
      </w:r>
    </w:p>
    <w:p w:rsidR="00920573" w:rsidRDefault="00920573" w:rsidP="007F0FB7"/>
    <w:p w:rsidR="00920573" w:rsidRPr="007F0FB7" w:rsidRDefault="00920573" w:rsidP="007F0FB7"/>
    <w:p w:rsidR="004D3B4A" w:rsidRDefault="004D3B4A" w:rsidP="00920573">
      <w:pPr>
        <w:pStyle w:val="Nadpis2"/>
      </w:pPr>
      <w:bookmarkStart w:id="9" w:name="_Toc530739903"/>
      <w:r w:rsidRPr="00E3042F">
        <w:t>Zásoby</w:t>
      </w:r>
      <w:bookmarkEnd w:id="9"/>
    </w:p>
    <w:p w:rsidR="00B417EF" w:rsidRPr="00B417EF" w:rsidRDefault="00B417EF" w:rsidP="00B417EF"/>
    <w:p w:rsidR="004D3B4A" w:rsidRDefault="004D3B4A" w:rsidP="004D3B4A">
      <w:pPr>
        <w:pStyle w:val="Zkladntext"/>
      </w:pPr>
    </w:p>
    <w:p w:rsidR="00E34DCA" w:rsidRPr="001B1DFF" w:rsidRDefault="001B1DFF">
      <w:pPr>
        <w:ind w:left="425"/>
        <w:rPr>
          <w:b/>
        </w:rPr>
      </w:pPr>
      <w:r w:rsidRPr="001B1DFF">
        <w:rPr>
          <w:b/>
        </w:rPr>
        <w:t>Opravná položka ku zásobám nebola tvorená, na zásoby nie je zriadené záložné právo. So všetkým zásobami  má účtovná jednotka  neobmedzené právo nakladať.</w:t>
      </w:r>
    </w:p>
    <w:p w:rsidR="00086A82" w:rsidRDefault="00086A82" w:rsidP="004D3B4A">
      <w:pPr>
        <w:pStyle w:val="Zkladntext"/>
      </w:pPr>
    </w:p>
    <w:p w:rsidR="004A4D80" w:rsidRDefault="00B417EF" w:rsidP="004D3B4A">
      <w:pPr>
        <w:pStyle w:val="Zkladntext"/>
      </w:pPr>
      <w:r w:rsidRPr="0078754C">
        <w:object w:dxaOrig="8711" w:dyaOrig="1201">
          <v:shape id="_x0000_i1026" type="#_x0000_t75" style="width:430.5pt;height:66.75pt" o:ole="" o:preferrelative="f">
            <v:imagedata r:id="rId18" o:title=""/>
            <o:lock v:ext="edit" aspectratio="f"/>
          </v:shape>
          <o:OLEObject Type="Embed" ProgID="Excel.Sheet.12" ShapeID="_x0000_i1026" DrawAspect="Content" ObjectID="_1465627815" r:id="rId19"/>
        </w:object>
      </w:r>
    </w:p>
    <w:p w:rsidR="004D3B4A" w:rsidRDefault="004D3B4A" w:rsidP="00920573">
      <w:pPr>
        <w:pStyle w:val="Nadpis2"/>
      </w:pPr>
      <w:r w:rsidRPr="007D5600">
        <w:t>Údaje o zákazkovej výrobe</w:t>
      </w:r>
    </w:p>
    <w:p w:rsidR="004D3B4A" w:rsidRDefault="004D3B4A" w:rsidP="004D3B4A">
      <w:pPr>
        <w:pStyle w:val="Zkladntext"/>
      </w:pPr>
    </w:p>
    <w:p w:rsidR="004D3B4A" w:rsidRDefault="007B314C" w:rsidP="004D3B4A">
      <w:pPr>
        <w:pStyle w:val="Zkladntext"/>
      </w:pPr>
      <w:r>
        <w:t>Výnosy zo zákazkovej výrob</w:t>
      </w:r>
      <w:r w:rsidR="00D02B99">
        <w:t>y</w:t>
      </w:r>
      <w:r>
        <w:t xml:space="preserve"> boli stanovené na základe ceny</w:t>
      </w:r>
      <w:r w:rsidR="008669C1">
        <w:t xml:space="preserve"> dohodnutej v zmluve </w:t>
      </w:r>
      <w:r>
        <w:t>a </w:t>
      </w:r>
      <w:r w:rsidR="004D3B4A" w:rsidRPr="00A20792">
        <w:t>vykázané v bežnom účtovnom období podľa stupňa dokončenia zákazky.</w:t>
      </w:r>
      <w:r w:rsidR="004D3B4A">
        <w:t xml:space="preserve"> </w:t>
      </w:r>
      <w:r w:rsidR="004D3B4A" w:rsidRPr="00A20792">
        <w:t>Stupeň dokončenia zákazky sa zistil ako pomer skutočne vynaložených nákladov na zákazkovú výrobu za vykonanú prácu a rozpočtovaných zmluvných nákladov na zákazkovú výrobu.</w:t>
      </w:r>
      <w:r w:rsidR="004D3B4A">
        <w:t xml:space="preserve"> </w:t>
      </w:r>
      <w:r w:rsidR="004D3B4A" w:rsidRPr="00A20792">
        <w:t>Do výpočtu sa zahrnuli len tie náklady, ktoré zodpovedajú už vykonanej práci.</w:t>
      </w:r>
    </w:p>
    <w:p w:rsidR="002873AF" w:rsidRDefault="002870BE" w:rsidP="004D3B4A">
      <w:pPr>
        <w:pStyle w:val="Zkladntext"/>
      </w:pPr>
      <w:r>
        <w:t xml:space="preserve">Výsledky prepočtu zákazkovej výroby boli zaúčtované na účet 316 Čistá hodnota zákazky, so súvzťažným zápisom na účte 606 Výnos zo zákazky. </w:t>
      </w:r>
    </w:p>
    <w:p w:rsidR="002870BE" w:rsidRDefault="002870BE" w:rsidP="004D3B4A">
      <w:pPr>
        <w:pStyle w:val="Zkladntext"/>
      </w:pPr>
    </w:p>
    <w:p w:rsidR="002870BE" w:rsidRDefault="002870BE" w:rsidP="004D3B4A">
      <w:pPr>
        <w:pStyle w:val="Zkladntext"/>
      </w:pPr>
      <w:r>
        <w:t xml:space="preserve">Názov zákazky                                              </w:t>
      </w:r>
      <w:r w:rsidR="001A0125">
        <w:t xml:space="preserve">               </w:t>
      </w:r>
      <w:r>
        <w:t xml:space="preserve">        r. 2013                            </w:t>
      </w:r>
      <w:r w:rsidR="001A0125">
        <w:t xml:space="preserve">           </w:t>
      </w:r>
      <w:r>
        <w:t xml:space="preserve">      r.2012</w:t>
      </w:r>
    </w:p>
    <w:p w:rsidR="002873AF" w:rsidRDefault="002873AF" w:rsidP="004D3B4A">
      <w:pPr>
        <w:pStyle w:val="Zkladntext"/>
      </w:pPr>
    </w:p>
    <w:p w:rsidR="00DA2806" w:rsidRDefault="002870BE" w:rsidP="004D3B4A">
      <w:pPr>
        <w:pStyle w:val="Zkladntext"/>
      </w:pPr>
      <w:r>
        <w:t xml:space="preserve">13-008 KLD15 Štart                                        </w:t>
      </w:r>
      <w:r w:rsidR="001A0125">
        <w:t xml:space="preserve">               </w:t>
      </w:r>
      <w:r>
        <w:t xml:space="preserve">     128 007</w:t>
      </w:r>
    </w:p>
    <w:p w:rsidR="002870BE" w:rsidRDefault="002870BE" w:rsidP="004D3B4A">
      <w:pPr>
        <w:pStyle w:val="Zkladntext"/>
      </w:pPr>
      <w:r>
        <w:t xml:space="preserve">13-007 HIPO Aréna Šamorín                 </w:t>
      </w:r>
      <w:r w:rsidR="001A0125">
        <w:t xml:space="preserve">                              -46 867</w:t>
      </w:r>
    </w:p>
    <w:p w:rsidR="002870BE" w:rsidRDefault="002870BE" w:rsidP="004D3B4A">
      <w:pPr>
        <w:pStyle w:val="Zkladntext"/>
      </w:pPr>
      <w:r>
        <w:t xml:space="preserve">13-011 RD </w:t>
      </w:r>
      <w:proofErr w:type="spellStart"/>
      <w:r>
        <w:t>Esin</w:t>
      </w:r>
      <w:proofErr w:type="spellEnd"/>
      <w:r>
        <w:t xml:space="preserve">                                           </w:t>
      </w:r>
      <w:r w:rsidR="001A0125">
        <w:t xml:space="preserve">                </w:t>
      </w:r>
      <w:r>
        <w:t xml:space="preserve">        - 92 513</w:t>
      </w:r>
    </w:p>
    <w:p w:rsidR="002870BE" w:rsidRDefault="002870BE" w:rsidP="004D3B4A">
      <w:pPr>
        <w:pStyle w:val="Zkladntext"/>
      </w:pPr>
      <w:r>
        <w:t xml:space="preserve">13-040 Rotunda                                            </w:t>
      </w:r>
      <w:r w:rsidR="001A0125">
        <w:t xml:space="preserve">                </w:t>
      </w:r>
      <w:r>
        <w:t xml:space="preserve">       </w:t>
      </w:r>
      <w:r w:rsidR="001A0125">
        <w:t>-</w:t>
      </w:r>
      <w:r>
        <w:t xml:space="preserve"> 32 957</w:t>
      </w:r>
    </w:p>
    <w:p w:rsidR="002870BE" w:rsidRDefault="002870BE" w:rsidP="004D3B4A">
      <w:pPr>
        <w:pStyle w:val="Zkladntext"/>
      </w:pPr>
      <w:r>
        <w:t xml:space="preserve">13-051 Farma Oborín            </w:t>
      </w:r>
      <w:r w:rsidR="001A0125">
        <w:t xml:space="preserve">                                                </w:t>
      </w:r>
      <w:r>
        <w:t>32 146</w:t>
      </w:r>
    </w:p>
    <w:p w:rsidR="002870BE" w:rsidRDefault="001A0125" w:rsidP="004D3B4A">
      <w:pPr>
        <w:pStyle w:val="Zkladntext"/>
      </w:pPr>
      <w:r>
        <w:t>13-033 KLD -2.etapa                                                           - 23 992</w:t>
      </w:r>
    </w:p>
    <w:p w:rsidR="001A0125" w:rsidRDefault="001A0125" w:rsidP="004D3B4A">
      <w:pPr>
        <w:pStyle w:val="Zkladntext"/>
      </w:pPr>
      <w:r>
        <w:t xml:space="preserve">13-053 RD </w:t>
      </w:r>
      <w:proofErr w:type="spellStart"/>
      <w:r>
        <w:t>Mold</w:t>
      </w:r>
      <w:proofErr w:type="spellEnd"/>
      <w:r>
        <w:t xml:space="preserve"> -2.etapa                                                        7 536</w:t>
      </w:r>
    </w:p>
    <w:p w:rsidR="00335C04" w:rsidRDefault="001A0125" w:rsidP="004D3B4A">
      <w:pPr>
        <w:pStyle w:val="Zkladntext"/>
        <w:rPr>
          <w:b/>
        </w:rPr>
      </w:pPr>
      <w:r w:rsidRPr="001A0125">
        <w:rPr>
          <w:b/>
        </w:rPr>
        <w:t>Čistá hodnota zákazky /krátkodobý záväzok/  spolu      28</w:t>
      </w:r>
      <w:r>
        <w:rPr>
          <w:b/>
        </w:rPr>
        <w:t> </w:t>
      </w:r>
      <w:r w:rsidRPr="001A0125">
        <w:rPr>
          <w:b/>
        </w:rPr>
        <w:t>640</w:t>
      </w:r>
    </w:p>
    <w:p w:rsidR="001A0125" w:rsidRDefault="001A0125" w:rsidP="004D3B4A">
      <w:pPr>
        <w:pStyle w:val="Zkladntext"/>
        <w:rPr>
          <w:b/>
        </w:rPr>
      </w:pPr>
    </w:p>
    <w:p w:rsidR="001A0125" w:rsidRDefault="001A0125" w:rsidP="004D3B4A">
      <w:pPr>
        <w:pStyle w:val="Zkladntext"/>
        <w:rPr>
          <w:b/>
        </w:rPr>
      </w:pPr>
      <w:r w:rsidRPr="001A0125">
        <w:t>V roku 2012 sa o zákazkovej výrobe neúčtovalo</w:t>
      </w:r>
      <w:r>
        <w:rPr>
          <w:b/>
        </w:rPr>
        <w:t xml:space="preserve">. </w:t>
      </w: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BF6A70" w:rsidRDefault="00BF6A70" w:rsidP="004D3B4A">
      <w:pPr>
        <w:pStyle w:val="Zkladntext"/>
        <w:rPr>
          <w:b/>
        </w:rPr>
      </w:pPr>
    </w:p>
    <w:p w:rsidR="005D2A89" w:rsidRDefault="00CA441D" w:rsidP="00920573">
      <w:pPr>
        <w:pStyle w:val="Nadpis2"/>
      </w:pPr>
      <w:bookmarkStart w:id="10" w:name="_Toc530739904"/>
      <w:r>
        <w:lastRenderedPageBreak/>
        <w:t>Pohľadávky</w:t>
      </w:r>
      <w:bookmarkEnd w:id="10"/>
    </w:p>
    <w:p w:rsidR="00CA441D" w:rsidRDefault="00CA441D" w:rsidP="00CA441D">
      <w:pPr>
        <w:pStyle w:val="Zkladntext"/>
      </w:pPr>
    </w:p>
    <w:p w:rsidR="0064520D" w:rsidRDefault="00D11549" w:rsidP="00BF6A70">
      <w:pPr>
        <w:pStyle w:val="Zkladntext"/>
      </w:pPr>
      <w:r>
        <w:t>Opravné položky k pohľadávkam v roku 2013, ani v prechádzajúcom účtovnom období neboli tvorené.</w:t>
      </w:r>
    </w:p>
    <w:p w:rsidR="00BF6A70" w:rsidRDefault="00BF6A70" w:rsidP="00BF6A70">
      <w:pPr>
        <w:pStyle w:val="Zkladntext"/>
      </w:pPr>
    </w:p>
    <w:p w:rsidR="00BF6A70" w:rsidRDefault="00BF6A70" w:rsidP="00BF6A70">
      <w:pPr>
        <w:pStyle w:val="Zkladntext"/>
      </w:pPr>
    </w:p>
    <w:p w:rsidR="00BF6A70" w:rsidRDefault="00BF6A70" w:rsidP="00BF6A70">
      <w:pPr>
        <w:pStyle w:val="Zkladntext"/>
      </w:pPr>
    </w:p>
    <w:p w:rsidR="00BF6A70" w:rsidRPr="00BF6A70" w:rsidRDefault="00BF6A70" w:rsidP="00BF6A70">
      <w:pPr>
        <w:pStyle w:val="Zkladntext"/>
      </w:pPr>
    </w:p>
    <w:p w:rsidR="00CA441D" w:rsidRPr="00D11549" w:rsidRDefault="00D11549" w:rsidP="00D11549">
      <w:pPr>
        <w:spacing w:after="200" w:line="276" w:lineRule="auto"/>
        <w:rPr>
          <w:sz w:val="18"/>
        </w:rPr>
      </w:pPr>
      <w:r>
        <w:t xml:space="preserve">         </w:t>
      </w:r>
      <w:r w:rsidR="00CA441D">
        <w:t xml:space="preserve">Veková štruktúra pohľadávok </w:t>
      </w:r>
      <w:r w:rsidR="00515879">
        <w:t xml:space="preserve">za bežné účtovné obdobie </w:t>
      </w:r>
      <w:r w:rsidR="00CA441D">
        <w:t>je uvedená v nasledujúcom prehľade:</w:t>
      </w:r>
    </w:p>
    <w:p w:rsidR="0034119B" w:rsidRDefault="0034119B" w:rsidP="00CA441D">
      <w:pPr>
        <w:pStyle w:val="Zkladntext"/>
      </w:pPr>
    </w:p>
    <w:p w:rsidR="0034119B" w:rsidRDefault="007B17A7" w:rsidP="007B17A7">
      <w:pPr>
        <w:pStyle w:val="Zkladntext"/>
        <w:tabs>
          <w:tab w:val="left" w:pos="7215"/>
        </w:tabs>
      </w:pPr>
      <w:r>
        <w:tab/>
      </w:r>
    </w:p>
    <w:bookmarkStart w:id="11" w:name="_MON_1450593695"/>
    <w:bookmarkEnd w:id="11"/>
    <w:p w:rsidR="00086A82" w:rsidRDefault="00BF6A70" w:rsidP="00342E08">
      <w:pPr>
        <w:pStyle w:val="Zkladntext"/>
      </w:pPr>
      <w:r>
        <w:object w:dxaOrig="8869" w:dyaOrig="6070">
          <v:shape id="_x0000_i1027" type="#_x0000_t75" style="width:431.25pt;height:330pt" o:ole="" o:preferrelative="f">
            <v:imagedata r:id="rId20" o:title=""/>
            <o:lock v:ext="edit" aspectratio="f"/>
          </v:shape>
          <o:OLEObject Type="Embed" ProgID="Excel.Sheet.12" ShapeID="_x0000_i1027" DrawAspect="Content" ObjectID="_1465627816" r:id="rId21"/>
        </w:object>
      </w: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5429D8" w:rsidRDefault="005429D8" w:rsidP="00342E08">
      <w:pPr>
        <w:pStyle w:val="Zkladntext"/>
      </w:pPr>
    </w:p>
    <w:p w:rsidR="00342E08" w:rsidRDefault="00342E08" w:rsidP="00342E08">
      <w:pPr>
        <w:pStyle w:val="Zkladntext"/>
      </w:pPr>
      <w:r>
        <w:lastRenderedPageBreak/>
        <w:t>Veková štruktúra pohľadávok za predchádzajúce účtovné obdobie je uvedená v nasledujúcom prehľade:</w:t>
      </w:r>
    </w:p>
    <w:bookmarkStart w:id="12" w:name="_MON_1450595602"/>
    <w:bookmarkEnd w:id="12"/>
    <w:p w:rsidR="00342E08" w:rsidRDefault="006115CB" w:rsidP="00CA441D">
      <w:pPr>
        <w:pStyle w:val="Zkladntext"/>
      </w:pPr>
      <w:r>
        <w:object w:dxaOrig="9063" w:dyaOrig="6093">
          <v:shape id="_x0000_i1028" type="#_x0000_t75" style="width:442.5pt;height:333pt" o:ole="" o:preferrelative="f">
            <v:imagedata r:id="rId22" o:title=""/>
            <o:lock v:ext="edit" aspectratio="f"/>
          </v:shape>
          <o:OLEObject Type="Embed" ProgID="Excel.Sheet.12" ShapeID="_x0000_i1028" DrawAspect="Content" ObjectID="_1465627817" r:id="rId23"/>
        </w:object>
      </w:r>
    </w:p>
    <w:p w:rsidR="00142DDE" w:rsidRDefault="00142DDE" w:rsidP="00142DDE">
      <w:pPr>
        <w:pStyle w:val="Zkladntext"/>
      </w:pPr>
    </w:p>
    <w:p w:rsidR="00367A6E" w:rsidRDefault="00367A6E" w:rsidP="00142DDE">
      <w:pPr>
        <w:pStyle w:val="Zkladntext"/>
      </w:pPr>
    </w:p>
    <w:p w:rsidR="00367A6E" w:rsidRPr="00423AFA" w:rsidRDefault="00367A6E" w:rsidP="00142DDE">
      <w:pPr>
        <w:pStyle w:val="Zkladntext"/>
      </w:pPr>
    </w:p>
    <w:p w:rsidR="004A4D80" w:rsidRDefault="004A4D80" w:rsidP="00CA441D">
      <w:pPr>
        <w:pStyle w:val="Zkladntext"/>
      </w:pPr>
    </w:p>
    <w:p w:rsidR="00CA441D" w:rsidRDefault="00CA441D" w:rsidP="00920573">
      <w:pPr>
        <w:pStyle w:val="Nadpis2"/>
      </w:pPr>
      <w:bookmarkStart w:id="13" w:name="_Toc530739905"/>
      <w:r>
        <w:t>Finančné účty</w:t>
      </w:r>
      <w:bookmarkEnd w:id="13"/>
    </w:p>
    <w:p w:rsidR="00CA441D" w:rsidRDefault="00CA441D" w:rsidP="00CA441D">
      <w:pPr>
        <w:pStyle w:val="Zkladntext"/>
      </w:pPr>
    </w:p>
    <w:p w:rsidR="00CA441D" w:rsidRDefault="00CA441D" w:rsidP="00CA441D">
      <w:pPr>
        <w:pStyle w:val="Zkladntext"/>
      </w:pPr>
      <w:r>
        <w:t>Ako finančné účty sú vykázané peniaze v pokladnici, účty v bankách a cenné papiere. Účtami v bankách mô</w:t>
      </w:r>
      <w:r w:rsidR="007C59E3">
        <w:t>že Spoločnosť voľne disponovať.</w:t>
      </w:r>
    </w:p>
    <w:p w:rsidR="004262D7" w:rsidRPr="00EA4742" w:rsidRDefault="00442157" w:rsidP="00086A82">
      <w:pPr>
        <w:pStyle w:val="Zkladntext"/>
      </w:pPr>
      <w:r>
        <w:t>Prehľad jednotlivých položiek finančných účtov:</w:t>
      </w:r>
      <w:bookmarkStart w:id="14" w:name="_MON_1450595633"/>
      <w:bookmarkEnd w:id="14"/>
      <w:r w:rsidR="00B417EF" w:rsidRPr="00003C63">
        <w:object w:dxaOrig="8845" w:dyaOrig="1892">
          <v:shape id="_x0000_i1029" type="#_x0000_t75" style="width:432.75pt;height:102.75pt" o:ole="" o:preferrelative="f">
            <v:imagedata r:id="rId24" o:title=""/>
            <o:lock v:ext="edit" aspectratio="f"/>
          </v:shape>
          <o:OLEObject Type="Embed" ProgID="Excel.Sheet.12" ShapeID="_x0000_i1029" DrawAspect="Content" ObjectID="_1465627818" r:id="rId25"/>
        </w:object>
      </w:r>
    </w:p>
    <w:p w:rsidR="00CA441D" w:rsidRDefault="00CA441D" w:rsidP="00920573">
      <w:pPr>
        <w:pStyle w:val="Nadpis2"/>
      </w:pPr>
      <w:r>
        <w:t>Krátkodobý finančný majetok</w:t>
      </w:r>
    </w:p>
    <w:p w:rsidR="00CA441D" w:rsidRDefault="00CA441D" w:rsidP="00CA441D">
      <w:pPr>
        <w:pStyle w:val="Zkladntext"/>
      </w:pPr>
    </w:p>
    <w:p w:rsidR="00CA441D" w:rsidRDefault="00E81BCF" w:rsidP="00CA441D">
      <w:pPr>
        <w:pStyle w:val="Zkladntext"/>
      </w:pPr>
      <w:r>
        <w:t xml:space="preserve">Spoločnosť </w:t>
      </w:r>
      <w:r w:rsidR="00B417EF">
        <w:t>v roku 2013 ani v predchádzajúcom roku o krátkodobom finančnom majetku neúčtovala.</w:t>
      </w:r>
      <w:r>
        <w:t>.</w:t>
      </w:r>
    </w:p>
    <w:p w:rsidR="00CA441D" w:rsidRDefault="00CA441D" w:rsidP="00CA441D">
      <w:pPr>
        <w:pStyle w:val="Zkladntext"/>
      </w:pPr>
    </w:p>
    <w:p w:rsidR="00920573" w:rsidRDefault="00920573" w:rsidP="00CA441D">
      <w:pPr>
        <w:pStyle w:val="Zkladntext"/>
      </w:pPr>
    </w:p>
    <w:p w:rsidR="00920573" w:rsidRDefault="00920573" w:rsidP="00CA441D">
      <w:pPr>
        <w:pStyle w:val="Zkladntext"/>
      </w:pPr>
    </w:p>
    <w:p w:rsidR="00920573" w:rsidRDefault="00920573" w:rsidP="00CA441D">
      <w:pPr>
        <w:pStyle w:val="Zkladntext"/>
      </w:pPr>
    </w:p>
    <w:p w:rsidR="00920573" w:rsidRDefault="00920573" w:rsidP="00CA441D">
      <w:pPr>
        <w:pStyle w:val="Zkladntext"/>
      </w:pPr>
    </w:p>
    <w:p w:rsidR="00920573" w:rsidRDefault="00920573" w:rsidP="00CA441D">
      <w:pPr>
        <w:pStyle w:val="Zkladntext"/>
      </w:pPr>
    </w:p>
    <w:p w:rsidR="00920573" w:rsidRDefault="00920573" w:rsidP="00CA441D">
      <w:pPr>
        <w:pStyle w:val="Zkladntext"/>
      </w:pPr>
    </w:p>
    <w:p w:rsidR="00920573" w:rsidRDefault="00920573" w:rsidP="00CA441D">
      <w:pPr>
        <w:pStyle w:val="Zkladntext"/>
      </w:pPr>
    </w:p>
    <w:p w:rsidR="006D7585" w:rsidRDefault="006D7585" w:rsidP="009D0700">
      <w:pPr>
        <w:ind w:left="426"/>
      </w:pPr>
    </w:p>
    <w:p w:rsidR="00491AF0" w:rsidRPr="00C44B4D" w:rsidRDefault="00491AF0" w:rsidP="00C44B4D">
      <w:pPr>
        <w:pStyle w:val="Nadpis1"/>
      </w:pPr>
      <w:r>
        <w:lastRenderedPageBreak/>
        <w:t>Informácie o údajoch na strane pasív súvahy</w:t>
      </w:r>
    </w:p>
    <w:p w:rsidR="00491AF0" w:rsidRDefault="00491AF0" w:rsidP="00491AF0">
      <w:pPr>
        <w:pStyle w:val="Zkladntext"/>
      </w:pPr>
    </w:p>
    <w:p w:rsidR="00491AF0" w:rsidRDefault="00491AF0" w:rsidP="00491AF0">
      <w:pPr>
        <w:pStyle w:val="Nadpis2"/>
        <w:numPr>
          <w:ilvl w:val="0"/>
          <w:numId w:val="20"/>
        </w:numPr>
      </w:pPr>
      <w:bookmarkStart w:id="15" w:name="_Toc530739908"/>
      <w:r>
        <w:t>Vlastné imanie</w:t>
      </w:r>
    </w:p>
    <w:p w:rsidR="00491AF0" w:rsidRDefault="00491AF0" w:rsidP="00491AF0"/>
    <w:p w:rsidR="004A4D80" w:rsidRDefault="00491AF0" w:rsidP="00491AF0">
      <w:pPr>
        <w:pStyle w:val="Zkladntext"/>
      </w:pPr>
      <w:r>
        <w:t>Informácie o vlastnom imaní sú uvedené v časti C a P.</w:t>
      </w:r>
    </w:p>
    <w:p w:rsidR="004A4D80" w:rsidRDefault="004A4D80" w:rsidP="00491AF0">
      <w:pPr>
        <w:pStyle w:val="Zkladntext"/>
      </w:pPr>
    </w:p>
    <w:p w:rsidR="004262D7" w:rsidRDefault="004262D7" w:rsidP="00491AF0">
      <w:pPr>
        <w:pStyle w:val="Zkladntext"/>
      </w:pPr>
    </w:p>
    <w:p w:rsidR="004A4D80" w:rsidRDefault="004A4D80" w:rsidP="004A4D80">
      <w:pPr>
        <w:pStyle w:val="Nadpis2"/>
        <w:numPr>
          <w:ilvl w:val="0"/>
          <w:numId w:val="20"/>
        </w:numPr>
      </w:pPr>
      <w:r>
        <w:t>Rezervy</w:t>
      </w:r>
    </w:p>
    <w:bookmarkEnd w:id="15"/>
    <w:p w:rsidR="00491AF0" w:rsidRDefault="00491AF0" w:rsidP="00491AF0">
      <w:pPr>
        <w:pStyle w:val="Zkladntext"/>
      </w:pPr>
    </w:p>
    <w:p w:rsidR="00491AF0" w:rsidRPr="00EC0203" w:rsidRDefault="00491AF0" w:rsidP="00491AF0">
      <w:pPr>
        <w:pStyle w:val="Zkladntext"/>
      </w:pPr>
      <w:r>
        <w:t>Prehľad o rezervách za bežné účtovné obdobie je uvedený v nasledujúc</w:t>
      </w:r>
      <w:r w:rsidR="00D75116">
        <w:t>om</w:t>
      </w:r>
      <w:r>
        <w:t xml:space="preserve"> </w:t>
      </w:r>
      <w:r w:rsidR="00D75116">
        <w:t>prehľade</w:t>
      </w:r>
      <w:r>
        <w:t>:</w:t>
      </w:r>
    </w:p>
    <w:bookmarkStart w:id="16" w:name="_MON_1450595692"/>
    <w:bookmarkEnd w:id="16"/>
    <w:p w:rsidR="00B12204" w:rsidRDefault="00BF6A70" w:rsidP="009D0700">
      <w:pPr>
        <w:ind w:left="426"/>
      </w:pPr>
      <w:r>
        <w:object w:dxaOrig="8595" w:dyaOrig="7279">
          <v:shape id="_x0000_i1030" type="#_x0000_t75" style="width:431.25pt;height:406.5pt" o:ole="" o:preferrelative="f">
            <v:imagedata r:id="rId26" o:title=""/>
            <o:lock v:ext="edit" aspectratio="f"/>
          </v:shape>
          <o:OLEObject Type="Embed" ProgID="Excel.Sheet.12" ShapeID="_x0000_i1030" DrawAspect="Content" ObjectID="_1465627819" r:id="rId27"/>
        </w:object>
      </w:r>
    </w:p>
    <w:p w:rsidR="00491AF0" w:rsidRDefault="00491AF0" w:rsidP="00491AF0">
      <w:pPr>
        <w:pStyle w:val="Zkladntext"/>
        <w:jc w:val="left"/>
      </w:pPr>
      <w:bookmarkStart w:id="17" w:name="OLE_LINK17"/>
      <w:bookmarkStart w:id="18" w:name="OLE_LINK18"/>
    </w:p>
    <w:p w:rsidR="007C59E3" w:rsidRDefault="007C59E3" w:rsidP="007C59E3">
      <w:pPr>
        <w:pStyle w:val="Zkladntext"/>
        <w:ind w:right="-1"/>
      </w:pPr>
      <w:r w:rsidRPr="009310A9">
        <w:t xml:space="preserve">Rezerva na záručné opravy vo výške </w:t>
      </w:r>
      <w:r w:rsidRPr="00BF6A70">
        <w:rPr>
          <w:color w:val="000000" w:themeColor="text1"/>
        </w:rPr>
        <w:t>10 000 EUR</w:t>
      </w:r>
      <w:r w:rsidRPr="009310A9">
        <w:t xml:space="preserve"> bola vytvorená na predpokladané ná</w:t>
      </w:r>
      <w:r>
        <w:t>klady na zá</w:t>
      </w:r>
      <w:r w:rsidR="00BF6A70">
        <w:t>ručné opravy výrobkov a stavieb.</w:t>
      </w:r>
      <w:r w:rsidRPr="009310A9">
        <w:t>.</w:t>
      </w:r>
      <w:r>
        <w:t xml:space="preserve"> Spoločnosť doteraz rezervu netvorila. Preto tá</w:t>
      </w:r>
      <w:r w:rsidRPr="009310A9">
        <w:t xml:space="preserve">to časť rezervy </w:t>
      </w:r>
      <w:r>
        <w:t>je</w:t>
      </w:r>
      <w:r w:rsidRPr="009310A9">
        <w:t xml:space="preserve"> </w:t>
      </w:r>
      <w:r>
        <w:t xml:space="preserve">vytvorená  </w:t>
      </w:r>
      <w:r w:rsidRPr="009310A9">
        <w:t xml:space="preserve"> </w:t>
      </w:r>
      <w:r w:rsidR="00B417EF">
        <w:t xml:space="preserve">odhadom </w:t>
      </w:r>
      <w:r w:rsidR="00C3442F">
        <w:t>.</w:t>
      </w:r>
      <w:r w:rsidRPr="009310A9">
        <w:t xml:space="preserve"> </w:t>
      </w:r>
      <w:r>
        <w:t>Rezerva</w:t>
      </w:r>
      <w:r w:rsidRPr="009310A9">
        <w:t xml:space="preserve"> bude použitá v</w:t>
      </w:r>
      <w:r>
        <w:t> </w:t>
      </w:r>
      <w:r w:rsidRPr="009310A9">
        <w:t>priebehu</w:t>
      </w:r>
      <w:r>
        <w:t xml:space="preserve"> </w:t>
      </w:r>
      <w:r w:rsidRPr="009310A9">
        <w:t xml:space="preserve">účtovných období </w:t>
      </w:r>
      <w:r>
        <w:t>2014</w:t>
      </w:r>
      <w:r w:rsidRPr="009310A9">
        <w:t xml:space="preserve"> a </w:t>
      </w:r>
      <w:r>
        <w:t>2015</w:t>
      </w:r>
      <w:r w:rsidRPr="009310A9">
        <w:t>.</w:t>
      </w:r>
    </w:p>
    <w:p w:rsidR="00491AF0" w:rsidRDefault="00491AF0" w:rsidP="00491AF0">
      <w:pPr>
        <w:rPr>
          <w:sz w:val="18"/>
        </w:rPr>
      </w:pPr>
    </w:p>
    <w:p w:rsidR="001C3468" w:rsidRDefault="00491AF0" w:rsidP="00763BF6">
      <w:pPr>
        <w:pStyle w:val="Zkladntext"/>
      </w:pPr>
      <w:r>
        <w:lastRenderedPageBreak/>
        <w:t>Prehľad o rezervách za predchádzajúce účtovné obdobie je uvedený v nasledujúc</w:t>
      </w:r>
      <w:r w:rsidR="00076486">
        <w:t>om</w:t>
      </w:r>
      <w:r>
        <w:t xml:space="preserve"> </w:t>
      </w:r>
      <w:proofErr w:type="spellStart"/>
      <w:r w:rsidR="00076486">
        <w:t>pr</w:t>
      </w:r>
      <w:proofErr w:type="spellEnd"/>
      <w:bookmarkStart w:id="19" w:name="_MON_1450595717"/>
      <w:bookmarkEnd w:id="19"/>
      <w:r w:rsidR="00C62D84">
        <w:object w:dxaOrig="8853" w:dyaOrig="5561">
          <v:shape id="_x0000_i1031" type="#_x0000_t75" style="width:441pt;height:309.75pt" o:ole="" o:preferrelative="f">
            <v:imagedata r:id="rId28" o:title=""/>
            <o:lock v:ext="edit" aspectratio="f"/>
          </v:shape>
          <o:OLEObject Type="Embed" ProgID="Excel.Sheet.12" ShapeID="_x0000_i1031" DrawAspect="Content" ObjectID="_1465627820" r:id="rId29"/>
        </w:object>
      </w:r>
      <w:bookmarkEnd w:id="17"/>
      <w:bookmarkEnd w:id="18"/>
    </w:p>
    <w:p w:rsidR="00C62D84" w:rsidRDefault="00C62D84" w:rsidP="00763BF6">
      <w:pPr>
        <w:pStyle w:val="Zkladntext"/>
      </w:pPr>
    </w:p>
    <w:p w:rsidR="00C62D84" w:rsidRDefault="00C62D84" w:rsidP="00763BF6">
      <w:pPr>
        <w:pStyle w:val="Zkladntext"/>
      </w:pPr>
    </w:p>
    <w:p w:rsidR="00C62D84" w:rsidRDefault="00C62D84" w:rsidP="00763BF6">
      <w:pPr>
        <w:pStyle w:val="Zkladntext"/>
      </w:pPr>
    </w:p>
    <w:p w:rsidR="00491AF0" w:rsidRDefault="00491AF0" w:rsidP="00920573">
      <w:pPr>
        <w:pStyle w:val="Nadpis2"/>
      </w:pPr>
      <w:bookmarkStart w:id="20" w:name="_Toc530739909"/>
      <w:r>
        <w:t>Záväzky</w:t>
      </w:r>
      <w:bookmarkEnd w:id="20"/>
    </w:p>
    <w:p w:rsidR="00491AF0" w:rsidRDefault="00491AF0" w:rsidP="00491AF0">
      <w:pPr>
        <w:pStyle w:val="Zkladntext"/>
      </w:pPr>
    </w:p>
    <w:p w:rsidR="00491AF0" w:rsidRDefault="00491AF0" w:rsidP="00491AF0">
      <w:pPr>
        <w:pStyle w:val="Zkladntext"/>
      </w:pPr>
      <w:r>
        <w:t>Štruktúra záväzkov (okrem bankových úverov) podľa zostatkovej doby splatnosti je uvedená v nasledujúcom prehľade:</w:t>
      </w:r>
    </w:p>
    <w:p w:rsidR="00491AF0" w:rsidRDefault="00491AF0" w:rsidP="00491AF0">
      <w:pPr>
        <w:pStyle w:val="Zkladntext"/>
      </w:pPr>
    </w:p>
    <w:bookmarkStart w:id="21" w:name="_MON_1450595791"/>
    <w:bookmarkEnd w:id="21"/>
    <w:p w:rsidR="002A7CDF" w:rsidRDefault="00D50F39" w:rsidP="009D0700">
      <w:pPr>
        <w:ind w:left="426"/>
      </w:pPr>
      <w:r>
        <w:object w:dxaOrig="8764" w:dyaOrig="2843">
          <v:shape id="_x0000_i1032" type="#_x0000_t75" style="width:430.5pt;height:156pt" o:ole="" o:preferrelative="f">
            <v:imagedata r:id="rId30" o:title=""/>
            <o:lock v:ext="edit" aspectratio="f"/>
          </v:shape>
          <o:OLEObject Type="Embed" ProgID="Excel.Sheet.12" ShapeID="_x0000_i1032" DrawAspect="Content" ObjectID="_1465627821" r:id="rId31"/>
        </w:object>
      </w:r>
    </w:p>
    <w:p w:rsidR="00086A82" w:rsidRDefault="00086A82" w:rsidP="00491AF0">
      <w:pPr>
        <w:pStyle w:val="Zkladntext"/>
      </w:pPr>
    </w:p>
    <w:p w:rsidR="00491AF0" w:rsidRDefault="00491AF0" w:rsidP="00491AF0">
      <w:pPr>
        <w:pStyle w:val="Zkladntext"/>
      </w:pPr>
      <w:r>
        <w:t xml:space="preserve">Záväzky </w:t>
      </w:r>
      <w:r w:rsidR="00E81BCF">
        <w:t>Spoločno</w:t>
      </w:r>
      <w:r w:rsidR="005429D8">
        <w:t>s</w:t>
      </w:r>
      <w:r w:rsidR="00E81BCF">
        <w:t>ti nie sú kryté záložný právom.</w:t>
      </w:r>
    </w:p>
    <w:p w:rsidR="00491AF0" w:rsidRDefault="00491AF0" w:rsidP="00491AF0">
      <w:pPr>
        <w:pStyle w:val="Zkladntext"/>
      </w:pPr>
    </w:p>
    <w:p w:rsidR="00491AF0" w:rsidRDefault="00491AF0" w:rsidP="00491AF0">
      <w:pPr>
        <w:pStyle w:val="Zkladntext"/>
      </w:pPr>
    </w:p>
    <w:p w:rsidR="007A005F" w:rsidRPr="009246E5" w:rsidRDefault="00C3442F" w:rsidP="00C3442F">
      <w:pPr>
        <w:pStyle w:val="Zkladntext"/>
        <w:ind w:left="0"/>
        <w:rPr>
          <w:lang w:val="de-DE"/>
        </w:rPr>
      </w:pPr>
      <w:r>
        <w:t xml:space="preserve">        </w:t>
      </w:r>
      <w:r w:rsidR="00491AF0" w:rsidRPr="009310A9">
        <w:t xml:space="preserve">Spoločnosť </w:t>
      </w:r>
      <w:r w:rsidR="00E81BCF">
        <w:t>v roku 2013 ne</w:t>
      </w:r>
      <w:r w:rsidR="00AC12B2">
        <w:t>má</w:t>
      </w:r>
      <w:r w:rsidR="00AC12B2" w:rsidRPr="009310A9">
        <w:t xml:space="preserve"> </w:t>
      </w:r>
      <w:r w:rsidR="00491AF0" w:rsidRPr="009310A9">
        <w:t>záväzky z finančného prenájmu</w:t>
      </w:r>
      <w:r w:rsidR="00E81BCF">
        <w:t>.</w:t>
      </w:r>
      <w:r w:rsidR="00E81BCF" w:rsidRPr="009246E5">
        <w:rPr>
          <w:lang w:val="de-DE"/>
        </w:rPr>
        <w:t xml:space="preserve"> </w:t>
      </w:r>
    </w:p>
    <w:p w:rsidR="00E231BA" w:rsidRPr="00763BF6" w:rsidRDefault="00763BF6" w:rsidP="007C59E3">
      <w:pPr>
        <w:pStyle w:val="Nadpis2"/>
        <w:numPr>
          <w:ilvl w:val="0"/>
          <w:numId w:val="0"/>
        </w:numPr>
        <w:ind w:left="360"/>
        <w:rPr>
          <w:b w:val="0"/>
        </w:rPr>
      </w:pPr>
      <w:r w:rsidRPr="00763BF6">
        <w:rPr>
          <w:b w:val="0"/>
        </w:rPr>
        <w:t>O odloženom daňovom záväzku ani pohľadávky, spoločnosť v </w:t>
      </w:r>
      <w:proofErr w:type="spellStart"/>
      <w:r w:rsidRPr="00763BF6">
        <w:rPr>
          <w:b w:val="0"/>
        </w:rPr>
        <w:t>rou</w:t>
      </w:r>
      <w:proofErr w:type="spellEnd"/>
      <w:r w:rsidRPr="00763BF6">
        <w:rPr>
          <w:b w:val="0"/>
        </w:rPr>
        <w:t xml:space="preserve"> 2013.a 2012 neúčtovala.</w:t>
      </w:r>
    </w:p>
    <w:p w:rsidR="00E231BA" w:rsidRDefault="00E231BA" w:rsidP="00E231BA"/>
    <w:p w:rsidR="007A005F" w:rsidRDefault="007A005F" w:rsidP="007A005F">
      <w:pPr>
        <w:pStyle w:val="Zkladntext"/>
        <w:rPr>
          <w:lang w:val="de-DE"/>
        </w:rPr>
      </w:pPr>
    </w:p>
    <w:p w:rsidR="00C62D84" w:rsidRDefault="00C62D84" w:rsidP="007A005F">
      <w:pPr>
        <w:pStyle w:val="Zkladntext"/>
        <w:rPr>
          <w:lang w:val="de-DE"/>
        </w:rPr>
      </w:pPr>
    </w:p>
    <w:p w:rsidR="00C62D84" w:rsidRDefault="00C62D84" w:rsidP="007A005F">
      <w:pPr>
        <w:pStyle w:val="Zkladntext"/>
        <w:rPr>
          <w:lang w:val="de-DE"/>
        </w:rPr>
      </w:pPr>
    </w:p>
    <w:p w:rsidR="00C62D84" w:rsidRPr="007D2F0F" w:rsidRDefault="00C62D84" w:rsidP="007A005F">
      <w:pPr>
        <w:pStyle w:val="Zkladntext"/>
        <w:rPr>
          <w:lang w:val="de-DE"/>
        </w:rPr>
      </w:pPr>
    </w:p>
    <w:p w:rsidR="00E231BA" w:rsidRPr="003D140B" w:rsidRDefault="00E231BA" w:rsidP="00D04D91">
      <w:pPr>
        <w:pStyle w:val="Zkladntext"/>
      </w:pPr>
    </w:p>
    <w:p w:rsidR="00E231BA" w:rsidRDefault="00E231BA" w:rsidP="00920573">
      <w:pPr>
        <w:pStyle w:val="Nadpis2"/>
      </w:pPr>
      <w:bookmarkStart w:id="22" w:name="_Toc530739911"/>
      <w:r>
        <w:lastRenderedPageBreak/>
        <w:t>Sociálny fond</w:t>
      </w:r>
      <w:bookmarkEnd w:id="22"/>
    </w:p>
    <w:p w:rsidR="00E231BA" w:rsidRDefault="00E231BA" w:rsidP="00E231BA">
      <w:pPr>
        <w:pStyle w:val="Zkladntext"/>
      </w:pPr>
    </w:p>
    <w:p w:rsidR="00E231BA" w:rsidRDefault="00E231BA" w:rsidP="00E231BA">
      <w:pPr>
        <w:pStyle w:val="Zkladntext"/>
      </w:pPr>
      <w:r>
        <w:t>Tvorba a čerpanie sociálneho fondu v priebehu účtovného obdobia sú znázornené v nasledujúcom prehľade:</w:t>
      </w:r>
    </w:p>
    <w:p w:rsidR="00E231BA" w:rsidRDefault="00E231BA" w:rsidP="00E231BA">
      <w:pPr>
        <w:pStyle w:val="Zkladntext"/>
      </w:pPr>
    </w:p>
    <w:bookmarkStart w:id="23" w:name="_MON_1385829255"/>
    <w:bookmarkEnd w:id="23"/>
    <w:p w:rsidR="00DE28E7" w:rsidRDefault="00E81BCF" w:rsidP="00DE28E7">
      <w:pPr>
        <w:pStyle w:val="Zkladntext"/>
      </w:pPr>
      <w:r>
        <w:object w:dxaOrig="8972" w:dyaOrig="2809">
          <v:shape id="_x0000_i1033" type="#_x0000_t75" style="width:441pt;height:154.5pt" o:ole="" o:preferrelative="f">
            <v:imagedata r:id="rId32" o:title=""/>
            <o:lock v:ext="edit" aspectratio="f"/>
          </v:shape>
          <o:OLEObject Type="Embed" ProgID="Excel.Sheet.12" ShapeID="_x0000_i1033" DrawAspect="Content" ObjectID="_1465627822" r:id="rId33"/>
        </w:object>
      </w:r>
      <w:bookmarkStart w:id="24" w:name="_Toc530739912"/>
    </w:p>
    <w:p w:rsidR="00763BF6" w:rsidRDefault="00DE28E7" w:rsidP="00763BF6">
      <w:pPr>
        <w:pStyle w:val="Zkladntext"/>
      </w:pPr>
      <w:r>
        <w:t>Sociálny fond bol tvorený vo výške 0,6% . Použitý bol na príspevky</w:t>
      </w:r>
      <w:r w:rsidR="005429D8">
        <w:t xml:space="preserve"> zamestnancom na stravovanie.</w:t>
      </w:r>
    </w:p>
    <w:p w:rsidR="00763BF6" w:rsidRDefault="00763BF6" w:rsidP="00DE28E7">
      <w:pPr>
        <w:pStyle w:val="Zkladntext"/>
      </w:pPr>
    </w:p>
    <w:p w:rsidR="005429D8" w:rsidRDefault="005429D8" w:rsidP="00DE28E7">
      <w:pPr>
        <w:pStyle w:val="Zkladntext"/>
      </w:pPr>
    </w:p>
    <w:p w:rsidR="00E231BA" w:rsidRPr="005429D8" w:rsidRDefault="005429D8" w:rsidP="00DE28E7">
      <w:pPr>
        <w:pStyle w:val="Zkladntext"/>
        <w:rPr>
          <w:b/>
        </w:rPr>
      </w:pPr>
      <w:r w:rsidRPr="005429D8">
        <w:rPr>
          <w:b/>
        </w:rPr>
        <w:t xml:space="preserve">5. </w:t>
      </w:r>
      <w:r w:rsidR="00E231BA" w:rsidRPr="005429D8">
        <w:rPr>
          <w:b/>
        </w:rPr>
        <w:t>Bankové úvery</w:t>
      </w:r>
      <w:bookmarkEnd w:id="24"/>
    </w:p>
    <w:p w:rsidR="00E231BA" w:rsidRDefault="00E231BA" w:rsidP="00E231BA">
      <w:pPr>
        <w:pStyle w:val="Zkladntext"/>
      </w:pPr>
    </w:p>
    <w:p w:rsidR="00E231BA" w:rsidRDefault="00E231BA" w:rsidP="005429D8">
      <w:pPr>
        <w:pStyle w:val="Zkladntext"/>
        <w:ind w:left="0"/>
      </w:pPr>
      <w:r w:rsidRPr="00BF5606">
        <w:t>Štruktúra bankových úverov je uvedená v nasledujúcom prehľade:</w:t>
      </w:r>
    </w:p>
    <w:bookmarkStart w:id="25" w:name="_MON_1385829367"/>
    <w:bookmarkEnd w:id="25"/>
    <w:p w:rsidR="00086A82" w:rsidRDefault="00C3442F" w:rsidP="00C3442F">
      <w:pPr>
        <w:pStyle w:val="Zkladntext"/>
        <w:ind w:left="0"/>
      </w:pPr>
      <w:r w:rsidRPr="00FD4736">
        <w:object w:dxaOrig="8764" w:dyaOrig="3289">
          <v:shape id="_x0000_i1034" type="#_x0000_t75" style="width:429.75pt;height:179.25pt" o:ole="" o:preferrelative="f">
            <v:imagedata r:id="rId34" o:title=""/>
            <o:lock v:ext="edit" aspectratio="f"/>
          </v:shape>
          <o:OLEObject Type="Embed" ProgID="Excel.Sheet.12" ShapeID="_x0000_i1034" DrawAspect="Content" ObjectID="_1465627823" r:id="rId35"/>
        </w:object>
      </w:r>
    </w:p>
    <w:p w:rsidR="00086A82" w:rsidRDefault="00086A82" w:rsidP="00E231BA">
      <w:pPr>
        <w:pStyle w:val="Zkladntext"/>
      </w:pPr>
    </w:p>
    <w:p w:rsidR="00E231BA" w:rsidRDefault="00C3442F" w:rsidP="00E231BA">
      <w:pPr>
        <w:pStyle w:val="Zkladntext"/>
        <w:ind w:left="0"/>
      </w:pPr>
      <w:r>
        <w:t>Úverový rámec kontokorentného úveru</w:t>
      </w:r>
      <w:r w:rsidR="00763BF6">
        <w:t xml:space="preserve"> č. 710/2013/UZ</w:t>
      </w:r>
      <w:r>
        <w:t xml:space="preserve"> je stanovený vo výške </w:t>
      </w:r>
      <w:r w:rsidR="00763BF6">
        <w:t>200 000</w:t>
      </w:r>
      <w:r>
        <w:t xml:space="preserve">.Eur, Krytý je záložným právom na </w:t>
      </w:r>
      <w:r w:rsidR="00763BF6">
        <w:t>pohľadávky.</w:t>
      </w:r>
    </w:p>
    <w:p w:rsidR="00E231BA" w:rsidRDefault="00C3442F" w:rsidP="00E231BA">
      <w:pPr>
        <w:pStyle w:val="Zkladntext"/>
        <w:ind w:left="0"/>
      </w:pPr>
      <w:r>
        <w:t xml:space="preserve">Úverový rámec revolvingového úveru </w:t>
      </w:r>
      <w:r w:rsidR="00763BF6">
        <w:t xml:space="preserve"> č. 1806/2013/ZZ</w:t>
      </w:r>
      <w:r>
        <w:t xml:space="preserve"> je vo výške </w:t>
      </w:r>
      <w:r w:rsidR="00763BF6">
        <w:t>300 000</w:t>
      </w:r>
      <w:r>
        <w:t xml:space="preserve"> Eur, Krytý je záložným právom na p</w:t>
      </w:r>
      <w:r w:rsidR="00763BF6">
        <w:t>ohľadávky.</w:t>
      </w:r>
    </w:p>
    <w:p w:rsidR="00763BF6" w:rsidRDefault="00763BF6" w:rsidP="00E231BA">
      <w:pPr>
        <w:pStyle w:val="Zkladntext"/>
        <w:ind w:left="0"/>
      </w:pPr>
    </w:p>
    <w:p w:rsidR="00763BF6" w:rsidRDefault="00763BF6" w:rsidP="00E231BA">
      <w:pPr>
        <w:pStyle w:val="Zkladntext"/>
        <w:ind w:left="0"/>
      </w:pPr>
    </w:p>
    <w:p w:rsidR="00763BF6" w:rsidRDefault="00763BF6" w:rsidP="00E231BA">
      <w:pPr>
        <w:pStyle w:val="Zkladntext"/>
        <w:ind w:left="0"/>
      </w:pPr>
    </w:p>
    <w:p w:rsidR="00BC631F" w:rsidRDefault="000B6195" w:rsidP="00920573">
      <w:pPr>
        <w:pStyle w:val="Nadpis2"/>
      </w:pPr>
      <w:r w:rsidRPr="00401F9E">
        <w:t>Deriváty</w:t>
      </w:r>
    </w:p>
    <w:p w:rsidR="002940BE" w:rsidRPr="002940BE" w:rsidRDefault="002940BE" w:rsidP="002940BE">
      <w:r>
        <w:t>Spoločnosť nemá náplň pre túto položku</w:t>
      </w:r>
    </w:p>
    <w:p w:rsidR="00BC631F" w:rsidRDefault="00BC631F" w:rsidP="00BC631F">
      <w:pPr>
        <w:pStyle w:val="Zkladntext"/>
      </w:pPr>
    </w:p>
    <w:p w:rsidR="00C235CB" w:rsidRDefault="00C235CB" w:rsidP="00BC631F">
      <w:pPr>
        <w:pStyle w:val="Zkladntext"/>
      </w:pPr>
      <w:bookmarkStart w:id="26" w:name="_MON_1385829697"/>
      <w:bookmarkStart w:id="27" w:name="_MON_1385829710"/>
      <w:bookmarkEnd w:id="26"/>
      <w:bookmarkEnd w:id="27"/>
    </w:p>
    <w:p w:rsidR="002E7514" w:rsidRDefault="002E7514" w:rsidP="00BC631F">
      <w:pPr>
        <w:pStyle w:val="Zkladntext"/>
      </w:pPr>
    </w:p>
    <w:p w:rsidR="002E7514" w:rsidRDefault="002E7514" w:rsidP="00BC631F">
      <w:pPr>
        <w:pStyle w:val="Zkladntext"/>
      </w:pPr>
    </w:p>
    <w:p w:rsidR="00C62D84" w:rsidRDefault="00C62D84" w:rsidP="00BC631F">
      <w:pPr>
        <w:pStyle w:val="Zkladntext"/>
      </w:pPr>
    </w:p>
    <w:p w:rsidR="00C62D84" w:rsidRDefault="00C62D84" w:rsidP="00BC631F">
      <w:pPr>
        <w:pStyle w:val="Zkladntext"/>
      </w:pPr>
    </w:p>
    <w:p w:rsidR="00C62D84" w:rsidRDefault="00C62D84" w:rsidP="00BC631F">
      <w:pPr>
        <w:pStyle w:val="Zkladntext"/>
      </w:pPr>
    </w:p>
    <w:p w:rsidR="00C62D84" w:rsidRDefault="00C62D84" w:rsidP="00BC631F">
      <w:pPr>
        <w:pStyle w:val="Zkladntext"/>
      </w:pPr>
    </w:p>
    <w:p w:rsidR="00C62D84" w:rsidRDefault="00C62D84" w:rsidP="00BC631F">
      <w:pPr>
        <w:pStyle w:val="Zkladntext"/>
      </w:pPr>
    </w:p>
    <w:p w:rsidR="002E7514" w:rsidRDefault="002E7514" w:rsidP="00BC631F">
      <w:pPr>
        <w:pStyle w:val="Zkladntext"/>
      </w:pPr>
    </w:p>
    <w:p w:rsidR="002E7514" w:rsidRDefault="002E7514" w:rsidP="00BC631F">
      <w:pPr>
        <w:pStyle w:val="Zkladntext"/>
      </w:pPr>
    </w:p>
    <w:p w:rsidR="00E231BA" w:rsidRDefault="00E231BA" w:rsidP="00015257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lastRenderedPageBreak/>
        <w:t>informácie o výnosoch</w:t>
      </w:r>
    </w:p>
    <w:p w:rsidR="00E231BA" w:rsidRDefault="00E231BA" w:rsidP="00E231BA">
      <w:pPr>
        <w:pStyle w:val="Nadpis2"/>
        <w:numPr>
          <w:ilvl w:val="0"/>
          <w:numId w:val="0"/>
        </w:numPr>
      </w:pPr>
      <w:bookmarkStart w:id="28" w:name="_Toc530739914"/>
    </w:p>
    <w:bookmarkEnd w:id="28"/>
    <w:p w:rsidR="00235BF4" w:rsidRPr="00763BF6" w:rsidRDefault="00763BF6" w:rsidP="001C3468">
      <w:pPr>
        <w:pStyle w:val="Zkladntext"/>
        <w:ind w:left="0"/>
        <w:rPr>
          <w:i/>
          <w:color w:val="FF0000"/>
        </w:rPr>
      </w:pPr>
      <w:r w:rsidRPr="00763BF6">
        <w:rPr>
          <w:i/>
          <w:color w:val="000000" w:themeColor="text1"/>
        </w:rPr>
        <w:t>Výnosy spoločnosti boli dosiahnuté hlavne z realizovania elektroinštalačných práca a stavebnej činnosti</w:t>
      </w:r>
      <w:r w:rsidRPr="00763BF6">
        <w:rPr>
          <w:i/>
          <w:color w:val="FF0000"/>
        </w:rPr>
        <w:t xml:space="preserve"> .</w:t>
      </w:r>
    </w:p>
    <w:p w:rsidR="00E231BA" w:rsidRPr="00763BF6" w:rsidRDefault="00235BF4" w:rsidP="001C3468">
      <w:pPr>
        <w:pStyle w:val="Zkladntext"/>
        <w:ind w:left="0"/>
        <w:rPr>
          <w:i/>
          <w:color w:val="FF0000"/>
        </w:rPr>
      </w:pPr>
      <w:r w:rsidRPr="00763BF6">
        <w:rPr>
          <w:i/>
          <w:color w:val="FF0000"/>
        </w:rPr>
        <w:t xml:space="preserve"> </w:t>
      </w:r>
    </w:p>
    <w:p w:rsidR="00235BF4" w:rsidRDefault="00235BF4" w:rsidP="00235BF4">
      <w:pPr>
        <w:pStyle w:val="Nadpis2"/>
        <w:numPr>
          <w:ilvl w:val="0"/>
          <w:numId w:val="15"/>
        </w:numPr>
      </w:pPr>
      <w:r>
        <w:t>Tržby za vlastné výkony a tovar</w:t>
      </w:r>
    </w:p>
    <w:p w:rsidR="00235BF4" w:rsidRPr="009E0FB5" w:rsidRDefault="00235BF4" w:rsidP="00235BF4"/>
    <w:p w:rsidR="00235BF4" w:rsidRDefault="00235BF4" w:rsidP="00235BF4">
      <w:pPr>
        <w:pStyle w:val="Zkladntext"/>
      </w:pPr>
    </w:p>
    <w:p w:rsidR="00235BF4" w:rsidRDefault="00235BF4" w:rsidP="00235BF4">
      <w:pPr>
        <w:pStyle w:val="Zkladntext"/>
      </w:pPr>
      <w:r>
        <w:t>Tržby za vlastné výkony a tovar (r.01 a 05) v komoditnom a teritoriálnom členení sú uvedené v nasledujúcom prehľade (v EUR):</w:t>
      </w:r>
    </w:p>
    <w:p w:rsidR="00235BF4" w:rsidRDefault="00235BF4" w:rsidP="00235BF4">
      <w:pPr>
        <w:pStyle w:val="Zkladntext"/>
      </w:pPr>
    </w:p>
    <w:bookmarkStart w:id="29" w:name="_MON_1385829927"/>
    <w:bookmarkStart w:id="30" w:name="_MON_1385829942"/>
    <w:bookmarkEnd w:id="29"/>
    <w:bookmarkEnd w:id="30"/>
    <w:bookmarkStart w:id="31" w:name="_MON_1385829851"/>
    <w:bookmarkEnd w:id="31"/>
    <w:p w:rsidR="00235BF4" w:rsidRDefault="00635C99" w:rsidP="00235BF4">
      <w:pPr>
        <w:pStyle w:val="Zkladntext"/>
        <w:ind w:left="284"/>
      </w:pPr>
      <w:r>
        <w:object w:dxaOrig="11811" w:dyaOrig="2435">
          <v:shape id="_x0000_i1035" type="#_x0000_t75" style="width:528.75pt;height:132pt" o:ole="" o:preferrelative="f">
            <v:imagedata r:id="rId36" o:title=""/>
            <o:lock v:ext="edit" aspectratio="f"/>
          </v:shape>
          <o:OLEObject Type="Embed" ProgID="Excel.Sheet.12" ShapeID="_x0000_i1035" DrawAspect="Content" ObjectID="_1465627824" r:id="rId37"/>
        </w:object>
      </w:r>
    </w:p>
    <w:p w:rsidR="00FE02B0" w:rsidRDefault="00FE02B0" w:rsidP="00235BF4">
      <w:pPr>
        <w:pStyle w:val="Zkladntext"/>
        <w:ind w:left="284"/>
        <w:rPr>
          <w:i/>
          <w:highlight w:val="green"/>
        </w:rPr>
      </w:pPr>
    </w:p>
    <w:p w:rsidR="00FE02B0" w:rsidRDefault="00FE02B0" w:rsidP="00235BF4">
      <w:pPr>
        <w:pStyle w:val="Zkladntext"/>
        <w:ind w:left="284"/>
        <w:rPr>
          <w:i/>
          <w:highlight w:val="green"/>
        </w:rPr>
      </w:pPr>
    </w:p>
    <w:p w:rsidR="00712053" w:rsidRDefault="00712053" w:rsidP="00B84670">
      <w:pPr>
        <w:pStyle w:val="Zkladntext"/>
        <w:ind w:left="284"/>
        <w:rPr>
          <w:i/>
        </w:rPr>
      </w:pPr>
    </w:p>
    <w:p w:rsidR="00E231BA" w:rsidRDefault="00E231BA" w:rsidP="00235BF4">
      <w:pPr>
        <w:pStyle w:val="Nadpis2"/>
        <w:numPr>
          <w:ilvl w:val="0"/>
          <w:numId w:val="15"/>
        </w:numPr>
      </w:pPr>
      <w:bookmarkStart w:id="32" w:name="_Toc530739915"/>
      <w:r>
        <w:t>Zmena stavu zásob vlastnej výroby</w:t>
      </w:r>
      <w:bookmarkEnd w:id="32"/>
      <w:r w:rsidR="006A15E1">
        <w:t xml:space="preserve"> </w:t>
      </w:r>
    </w:p>
    <w:p w:rsidR="00E231BA" w:rsidRDefault="00E231BA" w:rsidP="00E231BA">
      <w:pPr>
        <w:pStyle w:val="Zkladntext"/>
      </w:pPr>
    </w:p>
    <w:p w:rsidR="00E231BA" w:rsidRDefault="00E231BA" w:rsidP="00E231BA">
      <w:pPr>
        <w:pStyle w:val="Zkladntext"/>
      </w:pPr>
    </w:p>
    <w:bookmarkStart w:id="33" w:name="_MON_1385830048"/>
    <w:bookmarkEnd w:id="33"/>
    <w:p w:rsidR="00B825EB" w:rsidRDefault="00635C99" w:rsidP="00E231BA">
      <w:pPr>
        <w:pStyle w:val="Zkladntext"/>
      </w:pPr>
      <w:r w:rsidRPr="00003C63">
        <w:object w:dxaOrig="8672" w:dyaOrig="3981">
          <v:shape id="_x0000_i1036" type="#_x0000_t75" style="width:6in;height:222pt" o:ole="" o:preferrelative="f">
            <v:imagedata r:id="rId38" o:title=""/>
            <o:lock v:ext="edit" aspectratio="f"/>
          </v:shape>
          <o:OLEObject Type="Embed" ProgID="Excel.Sheet.12" ShapeID="_x0000_i1036" DrawAspect="Content" ObjectID="_1465627825" r:id="rId39"/>
        </w:object>
      </w:r>
    </w:p>
    <w:p w:rsidR="00166BBC" w:rsidRDefault="00166BBC" w:rsidP="00E231BA">
      <w:pPr>
        <w:pStyle w:val="Zkladntext"/>
      </w:pPr>
      <w:r>
        <w:t>Zmenu stavu nedokončenej výroby /prírastok</w:t>
      </w:r>
      <w:r w:rsidR="008418C1">
        <w:t>/</w:t>
      </w:r>
      <w:r>
        <w:t xml:space="preserve"> predstavujú vykonané a nevyfaktu</w:t>
      </w:r>
      <w:r w:rsidR="00635C99">
        <w:t>rované stavebné práce na zákazkách.</w:t>
      </w:r>
      <w:r>
        <w:t>.</w:t>
      </w:r>
      <w:r w:rsidR="00A31895">
        <w:t xml:space="preserve"> V roku 2012  sa o nedokončenej  výrobe neúčtovalo.</w:t>
      </w:r>
    </w:p>
    <w:p w:rsidR="00635C99" w:rsidRDefault="00635C99" w:rsidP="00E231BA">
      <w:pPr>
        <w:pStyle w:val="Zkladntext"/>
      </w:pPr>
    </w:p>
    <w:p w:rsidR="00635C99" w:rsidRDefault="00635C99" w:rsidP="00E231BA">
      <w:pPr>
        <w:pStyle w:val="Zkladntext"/>
      </w:pPr>
    </w:p>
    <w:p w:rsidR="00635C99" w:rsidRDefault="00635C99" w:rsidP="00E231BA">
      <w:pPr>
        <w:pStyle w:val="Zkladntext"/>
      </w:pPr>
    </w:p>
    <w:p w:rsidR="00635C99" w:rsidRDefault="00635C99" w:rsidP="00E231BA">
      <w:pPr>
        <w:pStyle w:val="Zkladntext"/>
      </w:pPr>
    </w:p>
    <w:p w:rsidR="00635C99" w:rsidRDefault="00635C99" w:rsidP="00E231BA">
      <w:pPr>
        <w:pStyle w:val="Zkladntext"/>
      </w:pPr>
    </w:p>
    <w:p w:rsidR="00635C99" w:rsidRDefault="00635C99" w:rsidP="00E231BA">
      <w:pPr>
        <w:pStyle w:val="Zkladntext"/>
      </w:pPr>
    </w:p>
    <w:p w:rsidR="00D50F39" w:rsidRDefault="00D50F39" w:rsidP="00E231BA">
      <w:pPr>
        <w:pStyle w:val="Zkladntext"/>
      </w:pPr>
    </w:p>
    <w:p w:rsidR="00635C99" w:rsidRDefault="00635C99" w:rsidP="00E231BA">
      <w:pPr>
        <w:pStyle w:val="Zkladntext"/>
      </w:pPr>
    </w:p>
    <w:p w:rsidR="00635C99" w:rsidRDefault="00635C99" w:rsidP="00E231BA">
      <w:pPr>
        <w:pStyle w:val="Zkladntext"/>
      </w:pPr>
    </w:p>
    <w:p w:rsidR="00635C99" w:rsidRDefault="00635C99" w:rsidP="00E231BA">
      <w:pPr>
        <w:pStyle w:val="Zkladntext"/>
      </w:pPr>
    </w:p>
    <w:p w:rsidR="00712053" w:rsidRDefault="00712053" w:rsidP="006A238E">
      <w:pPr>
        <w:pStyle w:val="Zkladntext"/>
        <w:ind w:left="0"/>
      </w:pPr>
    </w:p>
    <w:p w:rsidR="005C50FC" w:rsidRPr="006407DE" w:rsidRDefault="005C50FC" w:rsidP="006407DE">
      <w:pPr>
        <w:pStyle w:val="Nadpis2"/>
      </w:pPr>
      <w:r>
        <w:lastRenderedPageBreak/>
        <w:t xml:space="preserve">Čistý obrat </w:t>
      </w:r>
    </w:p>
    <w:p w:rsidR="005C50FC" w:rsidRDefault="005C50FC" w:rsidP="005C50FC">
      <w:pPr>
        <w:pStyle w:val="Zkladntext"/>
      </w:pPr>
    </w:p>
    <w:p w:rsidR="005C50FC" w:rsidRDefault="005C50FC" w:rsidP="006407DE">
      <w:pPr>
        <w:pStyle w:val="Zkladntext"/>
      </w:pPr>
      <w:r>
        <w:t xml:space="preserve">Čistý obrat Spoločnosti </w:t>
      </w:r>
      <w:r w:rsidR="00B825EB">
        <w:t xml:space="preserve">na </w:t>
      </w:r>
      <w:r>
        <w:t>účely</w:t>
      </w:r>
      <w:r w:rsidR="00BF5CA9">
        <w:t xml:space="preserve"> zistenia povinnosti overenia individuálnej účtovnej závierky audítorom</w:t>
      </w:r>
      <w:r>
        <w:t xml:space="preserve"> </w:t>
      </w:r>
      <w:r w:rsidR="000F40C4">
        <w:t>[</w:t>
      </w:r>
      <w:r w:rsidRPr="00F85E30">
        <w:t>§ 19 ods. 1 písm. a) zákona o</w:t>
      </w:r>
      <w:r w:rsidR="000F40C4">
        <w:t> </w:t>
      </w:r>
      <w:r w:rsidRPr="00F85E30">
        <w:t>účtovníctve</w:t>
      </w:r>
      <w:r w:rsidR="000F40C4">
        <w:t>]</w:t>
      </w:r>
      <w:r w:rsidRPr="00F85E30">
        <w:t xml:space="preserve"> </w:t>
      </w:r>
      <w:r>
        <w:t>je u</w:t>
      </w:r>
      <w:r w:rsidR="006407DE">
        <w:t>vedený v nasledujúcom prehľade:</w:t>
      </w:r>
    </w:p>
    <w:bookmarkStart w:id="34" w:name="_MON_1385830309"/>
    <w:bookmarkEnd w:id="34"/>
    <w:p w:rsidR="00423EF8" w:rsidRDefault="00D50F39" w:rsidP="0000290B">
      <w:pPr>
        <w:pStyle w:val="Zkladntext"/>
      </w:pPr>
      <w:r>
        <w:object w:dxaOrig="8537" w:dyaOrig="2367">
          <v:shape id="_x0000_i1037" type="#_x0000_t75" style="width:430.5pt;height:133.5pt" o:ole="" o:preferrelative="f">
            <v:imagedata r:id="rId40" o:title=""/>
            <o:lock v:ext="edit" aspectratio="f"/>
          </v:shape>
          <o:OLEObject Type="Embed" ProgID="Excel.Sheet.12" ShapeID="_x0000_i1037" DrawAspect="Content" ObjectID="_1465627826" r:id="rId41"/>
        </w:object>
      </w:r>
    </w:p>
    <w:p w:rsidR="005429D8" w:rsidRDefault="005429D8" w:rsidP="0000290B">
      <w:pPr>
        <w:pStyle w:val="Zkladntext"/>
      </w:pPr>
    </w:p>
    <w:p w:rsidR="0000290B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o nákladoch</w:t>
      </w:r>
    </w:p>
    <w:p w:rsidR="00A31895" w:rsidRDefault="00A31895" w:rsidP="00235BF4">
      <w:pPr>
        <w:pStyle w:val="Zkladntext"/>
        <w:rPr>
          <w:i/>
          <w:highlight w:val="green"/>
        </w:rPr>
      </w:pPr>
    </w:p>
    <w:p w:rsidR="00A31895" w:rsidRPr="00A31895" w:rsidRDefault="00A31895" w:rsidP="00A31895">
      <w:pPr>
        <w:rPr>
          <w:b/>
        </w:rPr>
      </w:pPr>
      <w:r w:rsidRPr="00A31895">
        <w:rPr>
          <w:b/>
        </w:rPr>
        <w:t>1. Náklady na poskytnuté služby</w:t>
      </w:r>
    </w:p>
    <w:p w:rsidR="00A31895" w:rsidRPr="00A31895" w:rsidRDefault="00A31895" w:rsidP="00A31895">
      <w:pPr>
        <w:rPr>
          <w:b/>
          <w:highlight w:val="green"/>
        </w:rPr>
      </w:pPr>
    </w:p>
    <w:p w:rsidR="00A31895" w:rsidRPr="00A31895" w:rsidRDefault="00A31895" w:rsidP="00A31895">
      <w:pPr>
        <w:rPr>
          <w:highlight w:val="green"/>
        </w:rPr>
      </w:pPr>
    </w:p>
    <w:p w:rsidR="008418C1" w:rsidRPr="00A31895" w:rsidRDefault="008418C1" w:rsidP="00A31895">
      <w:pPr>
        <w:tabs>
          <w:tab w:val="left" w:pos="1020"/>
        </w:tabs>
        <w:rPr>
          <w:color w:val="000000" w:themeColor="text1"/>
        </w:rPr>
      </w:pPr>
      <w:r w:rsidRPr="00A31895">
        <w:rPr>
          <w:color w:val="000000" w:themeColor="text1"/>
        </w:rPr>
        <w:t xml:space="preserve">                                                                               </w:t>
      </w:r>
    </w:p>
    <w:bookmarkStart w:id="35" w:name="_MON_1450879463"/>
    <w:bookmarkEnd w:id="35"/>
    <w:p w:rsidR="0000696D" w:rsidRDefault="00635C99" w:rsidP="00A31895">
      <w:pPr>
        <w:ind w:left="360"/>
      </w:pPr>
      <w:r>
        <w:object w:dxaOrig="8787" w:dyaOrig="3174">
          <v:shape id="_x0000_i1038" type="#_x0000_t75" style="width:442.5pt;height:153.75pt" o:ole="">
            <v:imagedata r:id="rId42" o:title=""/>
          </v:shape>
          <o:OLEObject Type="Embed" ProgID="Excel.Sheet.12" ShapeID="_x0000_i1038" DrawAspect="Content" ObjectID="_1465627827" r:id="rId43"/>
        </w:object>
      </w:r>
    </w:p>
    <w:p w:rsidR="008A6028" w:rsidRDefault="008A6028" w:rsidP="008A6028">
      <w:pPr>
        <w:pStyle w:val="Zkladntext"/>
      </w:pPr>
    </w:p>
    <w:p w:rsidR="008A6028" w:rsidRDefault="008A6028" w:rsidP="008A6028">
      <w:pPr>
        <w:pStyle w:val="Zkladntext"/>
      </w:pPr>
    </w:p>
    <w:p w:rsidR="008A6028" w:rsidRPr="008A6028" w:rsidRDefault="00DE28E7" w:rsidP="008A6028">
      <w:bookmarkStart w:id="36" w:name="_MON_1385830329"/>
      <w:bookmarkEnd w:id="36"/>
      <w:r>
        <w:t>Spoločnosť nemá povinnosť overiť účtovnú závierku audítorom, neboli vynaložené žiadne prostr</w:t>
      </w:r>
      <w:r w:rsidR="00A31895">
        <w:t>i</w:t>
      </w:r>
      <w:r>
        <w:t>edky.</w:t>
      </w:r>
      <w:r w:rsidR="00EA4742" w:rsidRPr="008A6028">
        <w:t xml:space="preserve"> </w:t>
      </w:r>
    </w:p>
    <w:p w:rsidR="008A6028" w:rsidRPr="008A6028" w:rsidRDefault="008A6028" w:rsidP="008A6028"/>
    <w:p w:rsidR="00712053" w:rsidRPr="000C447C" w:rsidRDefault="00A31895" w:rsidP="006A238E">
      <w:pPr>
        <w:ind w:left="360"/>
        <w:rPr>
          <w:b/>
          <w:color w:val="000000" w:themeColor="text1"/>
        </w:rPr>
      </w:pPr>
      <w:r w:rsidRPr="000C447C">
        <w:rPr>
          <w:b/>
          <w:color w:val="000000" w:themeColor="text1"/>
        </w:rPr>
        <w:t xml:space="preserve">2. </w:t>
      </w:r>
      <w:r w:rsidR="000C447C" w:rsidRPr="000C447C">
        <w:rPr>
          <w:b/>
          <w:color w:val="000000" w:themeColor="text1"/>
        </w:rPr>
        <w:t>Náklady na spotrebu  materiálu</w:t>
      </w:r>
    </w:p>
    <w:p w:rsidR="00712053" w:rsidRDefault="00712053" w:rsidP="006A238E">
      <w:pPr>
        <w:ind w:left="360"/>
      </w:pPr>
    </w:p>
    <w:bookmarkStart w:id="37" w:name="_MON_1463039733"/>
    <w:bookmarkEnd w:id="37"/>
    <w:p w:rsidR="00712053" w:rsidRDefault="00C62D84" w:rsidP="008A6028">
      <w:r>
        <w:object w:dxaOrig="8971" w:dyaOrig="2213">
          <v:shape id="_x0000_i1039" type="#_x0000_t75" style="width:451.5pt;height:107.25pt" o:ole="">
            <v:imagedata r:id="rId44" o:title=""/>
          </v:shape>
          <o:OLEObject Type="Embed" ProgID="Excel.Sheet.12" ShapeID="_x0000_i1039" DrawAspect="Content" ObjectID="_1465627828" r:id="rId45"/>
        </w:object>
      </w:r>
    </w:p>
    <w:p w:rsidR="000C447C" w:rsidRDefault="000C447C" w:rsidP="008A6028">
      <w:pPr>
        <w:rPr>
          <w:color w:val="FF0000"/>
        </w:rPr>
      </w:pPr>
    </w:p>
    <w:p w:rsidR="00635C99" w:rsidRDefault="000C447C" w:rsidP="008A6028">
      <w:pPr>
        <w:rPr>
          <w:b/>
          <w:color w:val="000000" w:themeColor="text1"/>
        </w:rPr>
      </w:pPr>
      <w:r w:rsidRPr="000C447C">
        <w:rPr>
          <w:b/>
          <w:color w:val="000000" w:themeColor="text1"/>
        </w:rPr>
        <w:t xml:space="preserve">      </w:t>
      </w:r>
    </w:p>
    <w:p w:rsidR="00635C99" w:rsidRDefault="00635C99" w:rsidP="008A6028">
      <w:pPr>
        <w:rPr>
          <w:b/>
          <w:color w:val="000000" w:themeColor="text1"/>
        </w:rPr>
      </w:pPr>
    </w:p>
    <w:p w:rsidR="00635C99" w:rsidRDefault="00635C99" w:rsidP="008A6028">
      <w:pPr>
        <w:rPr>
          <w:b/>
          <w:color w:val="000000" w:themeColor="text1"/>
        </w:rPr>
      </w:pPr>
    </w:p>
    <w:p w:rsidR="00C62D84" w:rsidRDefault="00C62D84" w:rsidP="008A6028">
      <w:pPr>
        <w:rPr>
          <w:b/>
          <w:color w:val="000000" w:themeColor="text1"/>
        </w:rPr>
      </w:pPr>
    </w:p>
    <w:p w:rsidR="00C62D84" w:rsidRDefault="00C62D84" w:rsidP="008A6028">
      <w:pPr>
        <w:rPr>
          <w:b/>
          <w:color w:val="000000" w:themeColor="text1"/>
        </w:rPr>
      </w:pPr>
    </w:p>
    <w:p w:rsidR="00C62D84" w:rsidRDefault="00C62D84" w:rsidP="008A6028">
      <w:pPr>
        <w:rPr>
          <w:b/>
          <w:color w:val="000000" w:themeColor="text1"/>
        </w:rPr>
      </w:pPr>
    </w:p>
    <w:p w:rsidR="00635C99" w:rsidRDefault="00635C99" w:rsidP="008A6028">
      <w:pPr>
        <w:rPr>
          <w:b/>
          <w:color w:val="000000" w:themeColor="text1"/>
        </w:rPr>
      </w:pPr>
    </w:p>
    <w:p w:rsidR="000C447C" w:rsidRPr="000C447C" w:rsidRDefault="000C447C" w:rsidP="008A6028">
      <w:pPr>
        <w:rPr>
          <w:b/>
          <w:color w:val="000000" w:themeColor="text1"/>
        </w:rPr>
      </w:pPr>
      <w:r w:rsidRPr="000C447C">
        <w:rPr>
          <w:b/>
          <w:color w:val="000000" w:themeColor="text1"/>
        </w:rPr>
        <w:lastRenderedPageBreak/>
        <w:t xml:space="preserve">   3. Ostatné významné  položky nákladov</w:t>
      </w:r>
    </w:p>
    <w:p w:rsidR="000C447C" w:rsidRDefault="000C447C" w:rsidP="008A6028">
      <w:pPr>
        <w:rPr>
          <w:color w:val="FF0000"/>
        </w:rPr>
      </w:pPr>
    </w:p>
    <w:bookmarkStart w:id="38" w:name="_MON_1463039945"/>
    <w:bookmarkEnd w:id="38"/>
    <w:p w:rsidR="000C447C" w:rsidRDefault="00D50F39" w:rsidP="008A6028">
      <w:pPr>
        <w:rPr>
          <w:color w:val="FF0000"/>
        </w:rPr>
      </w:pPr>
      <w:r>
        <w:object w:dxaOrig="8787" w:dyaOrig="3174">
          <v:shape id="_x0000_i1040" type="#_x0000_t75" style="width:442.5pt;height:153.75pt" o:ole="">
            <v:imagedata r:id="rId46" o:title=""/>
          </v:shape>
          <o:OLEObject Type="Embed" ProgID="Excel.Sheet.12" ShapeID="_x0000_i1040" DrawAspect="Content" ObjectID="_1465627829" r:id="rId47"/>
        </w:object>
      </w:r>
    </w:p>
    <w:p w:rsidR="000C447C" w:rsidRPr="000C447C" w:rsidRDefault="000C447C" w:rsidP="000C447C">
      <w:pPr>
        <w:rPr>
          <w:color w:val="000000"/>
          <w:sz w:val="18"/>
          <w:szCs w:val="18"/>
          <w:lang w:eastAsia="sk-SK"/>
        </w:rPr>
      </w:pPr>
      <w:r w:rsidRPr="000C447C">
        <w:rPr>
          <w:color w:val="000000"/>
          <w:sz w:val="18"/>
          <w:szCs w:val="18"/>
          <w:lang w:eastAsia="sk-SK"/>
        </w:rPr>
        <w:t> </w:t>
      </w:r>
    </w:p>
    <w:p w:rsidR="000C447C" w:rsidRDefault="000C447C" w:rsidP="008A6028">
      <w:pPr>
        <w:rPr>
          <w:color w:val="FF0000"/>
        </w:rPr>
      </w:pPr>
    </w:p>
    <w:p w:rsidR="001D6D41" w:rsidRDefault="001D6D41" w:rsidP="008A6028">
      <w:pPr>
        <w:rPr>
          <w:color w:val="FF0000"/>
        </w:rPr>
      </w:pPr>
    </w:p>
    <w:p w:rsidR="00B84670" w:rsidRDefault="00B84670" w:rsidP="008A6028">
      <w:pPr>
        <w:rPr>
          <w:color w:val="FF0000"/>
        </w:rPr>
      </w:pPr>
    </w:p>
    <w:p w:rsidR="0000290B" w:rsidRDefault="0000290B" w:rsidP="006407DE">
      <w:pPr>
        <w:pStyle w:val="Nadpis1"/>
      </w:pPr>
      <w:r>
        <w:t>Informácie o daniach z</w:t>
      </w:r>
      <w:r w:rsidR="00635C99">
        <w:t> </w:t>
      </w:r>
      <w:r>
        <w:t>príjmov</w:t>
      </w:r>
    </w:p>
    <w:p w:rsidR="00635C99" w:rsidRDefault="00635C99" w:rsidP="00635C99">
      <w:pPr>
        <w:ind w:left="450"/>
      </w:pPr>
    </w:p>
    <w:p w:rsidR="00635C99" w:rsidRPr="00635C99" w:rsidRDefault="00635C99" w:rsidP="00635C99">
      <w:pPr>
        <w:ind w:left="450"/>
      </w:pPr>
      <w:r>
        <w:t xml:space="preserve">Hospodársky výsledok pred zdanením bol vykázaný v sume </w:t>
      </w:r>
      <w:r w:rsidR="007B0970">
        <w:t xml:space="preserve"> </w:t>
      </w:r>
      <w:r w:rsidR="00005FE9">
        <w:t xml:space="preserve"> </w:t>
      </w:r>
      <w:r>
        <w:t>+179</w:t>
      </w:r>
      <w:r w:rsidR="00005FE9">
        <w:t> </w:t>
      </w:r>
      <w:r>
        <w:t>45</w:t>
      </w:r>
      <w:r w:rsidR="002E7514">
        <w:t>3</w:t>
      </w:r>
      <w:r w:rsidR="00005FE9">
        <w:t xml:space="preserve">, pripočítateľné položky / daňovo neuznané </w:t>
      </w:r>
      <w:r w:rsidR="002E7514">
        <w:t>výdavky / v sume 24 565</w:t>
      </w:r>
      <w:r w:rsidR="00005FE9">
        <w:t>,. Spolu základ dane  +204</w:t>
      </w:r>
      <w:r w:rsidR="007B0970">
        <w:t> </w:t>
      </w:r>
      <w:r w:rsidR="00005FE9">
        <w:t>018</w:t>
      </w:r>
      <w:r w:rsidR="002E7514">
        <w:t xml:space="preserve"> </w:t>
      </w:r>
      <w:r w:rsidR="007B0970">
        <w:t>. D</w:t>
      </w:r>
      <w:r w:rsidR="002E7514">
        <w:t xml:space="preserve">aň  </w:t>
      </w:r>
      <w:r w:rsidR="007B0970">
        <w:t xml:space="preserve"> </w:t>
      </w:r>
      <w:r w:rsidR="00005FE9">
        <w:t xml:space="preserve">na úhradu  predstavuje sumu </w:t>
      </w:r>
      <w:r w:rsidR="007B0970">
        <w:t xml:space="preserve"> </w:t>
      </w:r>
      <w:r w:rsidR="002E7514">
        <w:t>46 925, sadzba dane 23%</w:t>
      </w:r>
    </w:p>
    <w:p w:rsidR="0000290B" w:rsidRDefault="0000290B" w:rsidP="0000290B">
      <w:pPr>
        <w:pStyle w:val="Zkladntext"/>
      </w:pPr>
    </w:p>
    <w:p w:rsidR="008A6028" w:rsidRDefault="008A6028" w:rsidP="0000290B">
      <w:pPr>
        <w:pStyle w:val="Zkladntext"/>
      </w:pPr>
    </w:p>
    <w:p w:rsidR="006407DE" w:rsidRPr="00555FAD" w:rsidRDefault="006407DE" w:rsidP="0000290B">
      <w:pPr>
        <w:pStyle w:val="Zkladntext"/>
      </w:pPr>
    </w:p>
    <w:p w:rsidR="0000290B" w:rsidRDefault="0000290B" w:rsidP="006407DE">
      <w:pPr>
        <w:pStyle w:val="Nadpis1"/>
      </w:pPr>
      <w:r>
        <w:t>Informácie o údajoch na podsúvahových  účtoch</w:t>
      </w:r>
    </w:p>
    <w:p w:rsidR="002D5554" w:rsidRPr="002D5554" w:rsidRDefault="002D5554" w:rsidP="002D5554"/>
    <w:p w:rsidR="0000290B" w:rsidRDefault="000E58D9" w:rsidP="0000290B">
      <w:pPr>
        <w:pStyle w:val="Zkladntext"/>
      </w:pPr>
      <w:r>
        <w:t>Spoločnosť na podsúvahových účtoch v roku 2013 , ani v predchádzajúcich obdobiach neviedla žiadnu evidenciu.</w:t>
      </w:r>
    </w:p>
    <w:p w:rsidR="000B5186" w:rsidRDefault="000B5186" w:rsidP="0000290B">
      <w:pPr>
        <w:pStyle w:val="Zkladntext"/>
      </w:pPr>
    </w:p>
    <w:p w:rsidR="0000290B" w:rsidRDefault="0000290B" w:rsidP="0000290B">
      <w:pPr>
        <w:pStyle w:val="Zkladntext"/>
      </w:pPr>
    </w:p>
    <w:p w:rsidR="000B5186" w:rsidRDefault="000B5186" w:rsidP="0000290B">
      <w:pPr>
        <w:pStyle w:val="Zkladntext"/>
      </w:pPr>
    </w:p>
    <w:p w:rsidR="0000290B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r>
        <w:t>Informácie o iných aktívach a iných pasívach</w:t>
      </w:r>
    </w:p>
    <w:p w:rsidR="00DE28E7" w:rsidRPr="00DE28E7" w:rsidRDefault="00DE28E7" w:rsidP="00DE28E7">
      <w:r>
        <w:t>Spoločnosť nemá náplň pre túto spoločnosť</w:t>
      </w:r>
    </w:p>
    <w:p w:rsidR="0000290B" w:rsidRDefault="0000290B" w:rsidP="0000290B">
      <w:pPr>
        <w:pStyle w:val="Zkladntext"/>
        <w:ind w:left="0"/>
      </w:pPr>
    </w:p>
    <w:p w:rsidR="0000290B" w:rsidRDefault="0000290B" w:rsidP="002F770F">
      <w:pPr>
        <w:pStyle w:val="Nadpis2"/>
        <w:numPr>
          <w:ilvl w:val="0"/>
          <w:numId w:val="29"/>
        </w:numPr>
      </w:pPr>
      <w:bookmarkStart w:id="39" w:name="_Toc530739921"/>
      <w:r>
        <w:t>Podmienené záväzky</w:t>
      </w:r>
      <w:bookmarkEnd w:id="39"/>
    </w:p>
    <w:p w:rsidR="0000290B" w:rsidRDefault="0000290B" w:rsidP="0000290B">
      <w:pPr>
        <w:pStyle w:val="Zkladntext"/>
      </w:pPr>
    </w:p>
    <w:p w:rsidR="0000290B" w:rsidRDefault="0000290B" w:rsidP="0000290B">
      <w:pPr>
        <w:pStyle w:val="Zkladntext"/>
        <w:ind w:left="0"/>
      </w:pPr>
    </w:p>
    <w:p w:rsidR="000B5186" w:rsidRDefault="0000290B" w:rsidP="0000290B">
      <w:pPr>
        <w:pStyle w:val="Zkladntext"/>
      </w:pPr>
      <w:r>
        <w:t>Vzhľadom na to, že mnohé oblasti slovenského daňového práva doteraz neboli dostatočne overené praxou, existuje neistota v tom, ako ich budú daňové orgány aplikovať. Mieru tejto neistoty nie je možné</w:t>
      </w:r>
      <w:r w:rsidR="002D5554">
        <w:t xml:space="preserve"> teraz</w:t>
      </w:r>
      <w:r>
        <w:t xml:space="preserve"> kvantifikovať</w:t>
      </w:r>
      <w:r w:rsidR="002D5554">
        <w:t>.</w:t>
      </w:r>
    </w:p>
    <w:p w:rsidR="000B5186" w:rsidRDefault="000B5186" w:rsidP="0000290B">
      <w:pPr>
        <w:pStyle w:val="Zkladntext"/>
      </w:pPr>
    </w:p>
    <w:p w:rsidR="000B5186" w:rsidRDefault="000B5186" w:rsidP="0000290B">
      <w:pPr>
        <w:pStyle w:val="Zkladntext"/>
      </w:pPr>
    </w:p>
    <w:p w:rsidR="0000290B" w:rsidRDefault="0000290B" w:rsidP="00235BF4">
      <w:pPr>
        <w:pStyle w:val="Nadpis2"/>
        <w:numPr>
          <w:ilvl w:val="0"/>
          <w:numId w:val="15"/>
        </w:numPr>
      </w:pPr>
      <w:bookmarkStart w:id="40" w:name="_Toc530739922"/>
      <w:r>
        <w:t>Ostatné finančné povinnosti</w:t>
      </w:r>
      <w:bookmarkEnd w:id="40"/>
    </w:p>
    <w:p w:rsidR="0000290B" w:rsidRDefault="0000290B" w:rsidP="0000290B">
      <w:pPr>
        <w:pStyle w:val="Zkladntext"/>
      </w:pPr>
    </w:p>
    <w:p w:rsidR="0000290B" w:rsidRDefault="0000290B" w:rsidP="0000290B">
      <w:pPr>
        <w:pStyle w:val="Zkladntext"/>
      </w:pPr>
      <w:r>
        <w:t>Ostatné finančné povinnosti, ktoré sa nesledujú v bežnom účtovníctve a neuvádzajú v</w:t>
      </w:r>
      <w:r w:rsidR="002D5554">
        <w:t> </w:t>
      </w:r>
      <w:r>
        <w:t>súvahe</w:t>
      </w:r>
      <w:r w:rsidR="002D5554">
        <w:t xml:space="preserve"> spoločnosť nemá..</w:t>
      </w:r>
    </w:p>
    <w:p w:rsidR="0000290B" w:rsidRDefault="0000290B" w:rsidP="0000290B">
      <w:pPr>
        <w:pStyle w:val="Zkladntext"/>
      </w:pPr>
    </w:p>
    <w:p w:rsidR="0000290B" w:rsidRDefault="0000290B" w:rsidP="0000290B">
      <w:pPr>
        <w:pStyle w:val="Zkladntext"/>
      </w:pPr>
    </w:p>
    <w:p w:rsidR="0000290B" w:rsidRDefault="0000290B" w:rsidP="0000290B">
      <w:pPr>
        <w:pStyle w:val="Zkladntext"/>
      </w:pPr>
    </w:p>
    <w:p w:rsidR="0000290B" w:rsidRDefault="0000290B" w:rsidP="00235BF4">
      <w:pPr>
        <w:pStyle w:val="Nadpis2"/>
        <w:numPr>
          <w:ilvl w:val="0"/>
          <w:numId w:val="15"/>
        </w:numPr>
      </w:pPr>
      <w:r>
        <w:t>Podmienený majetok</w:t>
      </w:r>
    </w:p>
    <w:p w:rsidR="0000290B" w:rsidRPr="00DB0ECB" w:rsidRDefault="0000290B" w:rsidP="0000290B"/>
    <w:p w:rsidR="00627B6C" w:rsidRDefault="007C59E3" w:rsidP="0000290B">
      <w:pPr>
        <w:pStyle w:val="Zkladntext"/>
      </w:pPr>
      <w:r>
        <w:t>Spoločnosť nemá náplň pre túto položku</w:t>
      </w:r>
    </w:p>
    <w:p w:rsidR="00627B6C" w:rsidRDefault="00627B6C" w:rsidP="0000290B">
      <w:pPr>
        <w:pStyle w:val="Zkladntext"/>
      </w:pPr>
    </w:p>
    <w:p w:rsidR="000B5186" w:rsidRDefault="000B5186" w:rsidP="0000290B">
      <w:pPr>
        <w:pStyle w:val="Zkladntext"/>
      </w:pPr>
    </w:p>
    <w:p w:rsidR="0000290B" w:rsidRDefault="0000290B" w:rsidP="0000290B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41" w:name="_Toc530739923"/>
      <w:r>
        <w:t>Informácie o príjmoch a výhodách členov štatutárnych orgánov, dozorných orgánov</w:t>
      </w:r>
      <w:bookmarkEnd w:id="41"/>
      <w:r>
        <w:t xml:space="preserve"> a iných orgánov účtovnej jednotky</w:t>
      </w:r>
    </w:p>
    <w:p w:rsidR="0000290B" w:rsidRDefault="0000290B" w:rsidP="0000290B">
      <w:pPr>
        <w:pStyle w:val="Zkladntext"/>
      </w:pPr>
    </w:p>
    <w:p w:rsidR="001D6D41" w:rsidRDefault="001D6D41" w:rsidP="0000290B">
      <w:pPr>
        <w:pStyle w:val="Zkladntext"/>
      </w:pPr>
      <w:r>
        <w:t>Spoločnosť nevlastní akcie obchodované na burze, nemá povinnosť vyplňovať tieto údaje.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4"/>
        <w:gridCol w:w="1358"/>
        <w:gridCol w:w="80"/>
        <w:gridCol w:w="161"/>
        <w:gridCol w:w="1152"/>
        <w:gridCol w:w="2650"/>
      </w:tblGrid>
      <w:tr w:rsidR="001D6D41" w:rsidRPr="001D6D41">
        <w:trPr>
          <w:trHeight w:val="288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1D6D41" w:rsidRPr="001D6D41">
        <w:trPr>
          <w:trHeight w:val="288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1D6D41" w:rsidRPr="001D6D41">
        <w:trPr>
          <w:trHeight w:val="288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1D6D41" w:rsidRPr="001D6D41" w:rsidRDefault="001D6D41" w:rsidP="001D6D4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:rsidR="005518EF" w:rsidRPr="002E7D1F" w:rsidRDefault="005518EF" w:rsidP="002E7D1F">
      <w:pPr>
        <w:pStyle w:val="Nadpis1"/>
        <w:tabs>
          <w:tab w:val="clear" w:pos="450"/>
          <w:tab w:val="num" w:pos="360"/>
        </w:tabs>
        <w:spacing w:before="120" w:after="60"/>
        <w:ind w:left="360"/>
        <w:rPr>
          <w:i/>
        </w:rPr>
      </w:pPr>
      <w:r w:rsidRPr="00347EBF">
        <w:t xml:space="preserve">Informácie o ekonomických vzťahoch účtovnej jednotky a spriaznených osôb, ktoré sa </w:t>
      </w:r>
      <w:r w:rsidRPr="00347EBF">
        <w:rPr>
          <w:u w:val="single"/>
        </w:rPr>
        <w:t>neuskutočnili za Obvyklých obchodných podmienok</w:t>
      </w:r>
    </w:p>
    <w:p w:rsidR="005518EF" w:rsidRPr="0063468E" w:rsidRDefault="005518EF" w:rsidP="005518EF">
      <w:pPr>
        <w:pStyle w:val="Zkladntext"/>
      </w:pPr>
    </w:p>
    <w:p w:rsidR="005518EF" w:rsidRDefault="005518EF" w:rsidP="005518EF">
      <w:pPr>
        <w:pStyle w:val="Zkladntext"/>
      </w:pPr>
      <w:r>
        <w:t>Spoločnosť</w:t>
      </w:r>
      <w:r w:rsidR="002D5554">
        <w:t xml:space="preserve"> ne</w:t>
      </w:r>
      <w:r>
        <w:t>uskutočnila v priebehu úč</w:t>
      </w:r>
      <w:r w:rsidR="002D5554">
        <w:t xml:space="preserve">tovného obdobia 2013 </w:t>
      </w:r>
      <w:r>
        <w:t xml:space="preserve"> transakcie so spriaznenými osobami </w:t>
      </w:r>
      <w:r w:rsidR="002D5554">
        <w:t>, ktoré by sa neuskutočnili za obvyklých podmienok.</w:t>
      </w:r>
    </w:p>
    <w:p w:rsidR="005518EF" w:rsidRDefault="005518EF" w:rsidP="005518EF">
      <w:pPr>
        <w:pStyle w:val="Zkladntext"/>
      </w:pPr>
    </w:p>
    <w:p w:rsidR="005518EF" w:rsidRDefault="005518EF" w:rsidP="005518EF">
      <w:pPr>
        <w:pStyle w:val="Zkladntext"/>
      </w:pPr>
    </w:p>
    <w:p w:rsidR="00627B6C" w:rsidRPr="000B5186" w:rsidRDefault="00627B6C" w:rsidP="000B5186">
      <w:pPr>
        <w:pStyle w:val="Zkladntext"/>
        <w:rPr>
          <w:color w:val="FF0000"/>
        </w:rPr>
      </w:pPr>
    </w:p>
    <w:p w:rsidR="003E0FA2" w:rsidRDefault="003E0FA2" w:rsidP="003E0FA2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42" w:name="_Toc530739925"/>
      <w:r>
        <w:t>Informácie o skutočnostiach, ktoré nastali po dni, ku ktorému sa zostavuje účtovná závierka, do dňa zostavenia účtovnej závierky</w:t>
      </w:r>
      <w:bookmarkEnd w:id="42"/>
    </w:p>
    <w:p w:rsidR="003E0FA2" w:rsidRDefault="003E0FA2" w:rsidP="003E0FA2">
      <w:pPr>
        <w:pStyle w:val="Zkladntext"/>
      </w:pPr>
    </w:p>
    <w:p w:rsidR="003E0FA2" w:rsidRDefault="006407DE" w:rsidP="003E0FA2">
      <w:pPr>
        <w:pStyle w:val="Zkladntext"/>
      </w:pPr>
      <w:r>
        <w:t>Po 31. decembri 2013</w:t>
      </w:r>
      <w:r w:rsidR="003E0FA2">
        <w:t xml:space="preserve"> nastali tieto udalosti majúce významný vplyv na verné zobrazenie skutočností, ktoré sú predmetom účtovníctva:</w:t>
      </w:r>
    </w:p>
    <w:p w:rsidR="003E0FA2" w:rsidRPr="003B60E9" w:rsidRDefault="003E0FA2" w:rsidP="002E7D1F">
      <w:pPr>
        <w:pStyle w:val="Zkladntext"/>
        <w:ind w:left="482"/>
        <w:rPr>
          <w:color w:val="FF0000"/>
        </w:rPr>
      </w:pPr>
    </w:p>
    <w:p w:rsidR="0063468E" w:rsidRDefault="0063468E" w:rsidP="003E0FA2">
      <w:pPr>
        <w:pStyle w:val="Zkladntext"/>
        <w:rPr>
          <w:color w:val="FF0000"/>
        </w:rPr>
      </w:pPr>
    </w:p>
    <w:p w:rsidR="002E7D1F" w:rsidRDefault="002E7D1F" w:rsidP="003E0FA2">
      <w:pPr>
        <w:pStyle w:val="Zkladntext"/>
      </w:pPr>
    </w:p>
    <w:p w:rsidR="003E0FA2" w:rsidRDefault="003E0FA2" w:rsidP="003E0FA2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43" w:name="_Toc530739907"/>
      <w:r>
        <w:t>Informácie o Vlastnom imaní</w:t>
      </w:r>
      <w:bookmarkEnd w:id="43"/>
    </w:p>
    <w:p w:rsidR="003E0FA2" w:rsidRDefault="003E0FA2" w:rsidP="003E0FA2">
      <w:pPr>
        <w:pStyle w:val="Zkladntext"/>
      </w:pPr>
    </w:p>
    <w:p w:rsidR="003E0FA2" w:rsidRDefault="003E0FA2" w:rsidP="003E0FA2">
      <w:pPr>
        <w:pStyle w:val="Zkladntext"/>
      </w:pPr>
      <w:r>
        <w:t>Prehľad o pohybe vlastného imania v priebehu účtovného obdobia je uvedený v nasledujúcom prehľade:</w:t>
      </w:r>
    </w:p>
    <w:p w:rsidR="003E0FA2" w:rsidRDefault="003E0FA2" w:rsidP="003E0FA2">
      <w:pPr>
        <w:pStyle w:val="Zkladntext"/>
        <w:ind w:left="0"/>
      </w:pPr>
    </w:p>
    <w:bookmarkStart w:id="44" w:name="_MON_1385831433"/>
    <w:bookmarkEnd w:id="44"/>
    <w:bookmarkStart w:id="45" w:name="_MON_1385831465"/>
    <w:bookmarkEnd w:id="45"/>
    <w:p w:rsidR="00262CD4" w:rsidRDefault="00005FE9" w:rsidP="003E0FA2">
      <w:pPr>
        <w:pStyle w:val="Zkladntext"/>
      </w:pPr>
      <w:r>
        <w:object w:dxaOrig="9090" w:dyaOrig="6991">
          <v:shape id="_x0000_i1041" type="#_x0000_t75" style="width:431.25pt;height:370.5pt" o:ole="" o:preferrelative="f">
            <v:imagedata r:id="rId48" o:title=""/>
            <o:lock v:ext="edit" aspectratio="f"/>
          </v:shape>
          <o:OLEObject Type="Embed" ProgID="Excel.Sheet.12" ShapeID="_x0000_i1041" DrawAspect="Content" ObjectID="_1465627830" r:id="rId49"/>
        </w:object>
      </w:r>
    </w:p>
    <w:p w:rsidR="0075139D" w:rsidRPr="007F0FB7" w:rsidRDefault="0075139D" w:rsidP="0075139D">
      <w:pPr>
        <w:autoSpaceDE w:val="0"/>
        <w:autoSpaceDN w:val="0"/>
        <w:adjustRightInd w:val="0"/>
        <w:ind w:left="426"/>
        <w:jc w:val="both"/>
        <w:rPr>
          <w:color w:val="000000" w:themeColor="text1"/>
          <w:szCs w:val="18"/>
        </w:rPr>
      </w:pPr>
      <w:r w:rsidRPr="007F0FB7">
        <w:rPr>
          <w:color w:val="000000" w:themeColor="text1"/>
          <w:sz w:val="18"/>
          <w:szCs w:val="18"/>
        </w:rPr>
        <w:t>Základné imanie sa v priebehu účtovného obdobia rok</w:t>
      </w:r>
      <w:r w:rsidR="00017791" w:rsidRPr="007F0FB7">
        <w:rPr>
          <w:color w:val="000000" w:themeColor="text1"/>
          <w:sz w:val="18"/>
          <w:szCs w:val="18"/>
        </w:rPr>
        <w:t>a</w:t>
      </w:r>
      <w:r w:rsidR="006407DE" w:rsidRPr="007F0FB7">
        <w:rPr>
          <w:color w:val="000000" w:themeColor="text1"/>
          <w:sz w:val="18"/>
          <w:szCs w:val="18"/>
        </w:rPr>
        <w:t xml:space="preserve"> 2013</w:t>
      </w:r>
      <w:r w:rsidRPr="007F0FB7">
        <w:rPr>
          <w:color w:val="000000" w:themeColor="text1"/>
          <w:sz w:val="18"/>
          <w:szCs w:val="18"/>
        </w:rPr>
        <w:t xml:space="preserve"> zvýši</w:t>
      </w:r>
      <w:r w:rsidR="007F0FB7" w:rsidRPr="007F0FB7">
        <w:rPr>
          <w:color w:val="000000" w:themeColor="text1"/>
          <w:sz w:val="18"/>
          <w:szCs w:val="18"/>
        </w:rPr>
        <w:t>lo</w:t>
      </w:r>
      <w:r w:rsidR="006B25A2" w:rsidRPr="007F0FB7">
        <w:rPr>
          <w:color w:val="000000" w:themeColor="text1"/>
          <w:sz w:val="18"/>
          <w:szCs w:val="18"/>
        </w:rPr>
        <w:t>, vzhľadom na to, že spoločnosť sa transformovala /zo spoločnosti s</w:t>
      </w:r>
      <w:r w:rsidR="007F0FB7" w:rsidRPr="007F0FB7">
        <w:rPr>
          <w:color w:val="000000" w:themeColor="text1"/>
          <w:sz w:val="18"/>
          <w:szCs w:val="18"/>
        </w:rPr>
        <w:t> </w:t>
      </w:r>
      <w:r w:rsidR="006B25A2" w:rsidRPr="007F0FB7">
        <w:rPr>
          <w:color w:val="000000" w:themeColor="text1"/>
          <w:sz w:val="18"/>
          <w:szCs w:val="18"/>
        </w:rPr>
        <w:t>ručením</w:t>
      </w:r>
      <w:r w:rsidR="007F0FB7" w:rsidRPr="007F0FB7">
        <w:rPr>
          <w:color w:val="000000" w:themeColor="text1"/>
          <w:sz w:val="18"/>
          <w:szCs w:val="18"/>
        </w:rPr>
        <w:t xml:space="preserve"> na akciovú spoločnosť/</w:t>
      </w:r>
      <w:r w:rsidR="006B25A2" w:rsidRPr="007F0FB7">
        <w:rPr>
          <w:color w:val="000000" w:themeColor="text1"/>
          <w:sz w:val="18"/>
          <w:szCs w:val="18"/>
        </w:rPr>
        <w:t xml:space="preserve"> </w:t>
      </w:r>
      <w:r w:rsidR="00005FE9">
        <w:rPr>
          <w:color w:val="000000" w:themeColor="text1"/>
          <w:sz w:val="18"/>
          <w:szCs w:val="18"/>
        </w:rPr>
        <w:t xml:space="preserve"> .Z</w:t>
      </w:r>
      <w:r w:rsidR="006407DE" w:rsidRPr="007F0FB7">
        <w:rPr>
          <w:color w:val="000000" w:themeColor="text1"/>
          <w:sz w:val="18"/>
          <w:szCs w:val="18"/>
        </w:rPr>
        <w:t>výšenie</w:t>
      </w:r>
      <w:r w:rsidR="00E86F70">
        <w:rPr>
          <w:color w:val="000000" w:themeColor="text1"/>
          <w:sz w:val="18"/>
          <w:szCs w:val="18"/>
        </w:rPr>
        <w:t xml:space="preserve"> ZI</w:t>
      </w:r>
      <w:r w:rsidR="006407DE" w:rsidRPr="007F0FB7">
        <w:rPr>
          <w:color w:val="000000" w:themeColor="text1"/>
          <w:sz w:val="18"/>
          <w:szCs w:val="18"/>
        </w:rPr>
        <w:t xml:space="preserve"> je k 31. decembru 2013</w:t>
      </w:r>
      <w:r w:rsidRPr="007F0FB7">
        <w:rPr>
          <w:color w:val="000000" w:themeColor="text1"/>
          <w:sz w:val="18"/>
          <w:szCs w:val="18"/>
        </w:rPr>
        <w:t xml:space="preserve"> už zapísané v obchodnom registri. </w:t>
      </w:r>
    </w:p>
    <w:p w:rsidR="0075139D" w:rsidRPr="006F5DAB" w:rsidRDefault="0075139D" w:rsidP="0075139D">
      <w:pPr>
        <w:autoSpaceDE w:val="0"/>
        <w:autoSpaceDN w:val="0"/>
        <w:adjustRightInd w:val="0"/>
        <w:ind w:left="426"/>
        <w:jc w:val="both"/>
        <w:rPr>
          <w:color w:val="FF0000"/>
          <w:szCs w:val="18"/>
        </w:rPr>
      </w:pPr>
    </w:p>
    <w:p w:rsidR="003E0FA2" w:rsidRDefault="003E0FA2" w:rsidP="003E0FA2">
      <w:pPr>
        <w:pStyle w:val="Zkladntext"/>
        <w:ind w:left="0"/>
      </w:pPr>
    </w:p>
    <w:p w:rsidR="00627B6C" w:rsidRDefault="00627B6C" w:rsidP="003E0FA2">
      <w:pPr>
        <w:pStyle w:val="Zkladntext"/>
      </w:pPr>
    </w:p>
    <w:p w:rsidR="009575B9" w:rsidRDefault="006B25A2">
      <w:pPr>
        <w:spacing w:after="200" w:line="276" w:lineRule="auto"/>
      </w:pPr>
      <w:r>
        <w:lastRenderedPageBreak/>
        <w:t>V roku 2012 nebol tvorený prídel do RF, doúčtovaný bol v roku 2013 oproti účtu 428 – Nerozdelený zisk minulýc</w:t>
      </w:r>
      <w:r w:rsidR="002E7514">
        <w:t>h</w:t>
      </w:r>
      <w:r>
        <w:t xml:space="preserve"> rokov.</w:t>
      </w:r>
    </w:p>
    <w:p w:rsidR="00B84670" w:rsidRDefault="00B84670">
      <w:pPr>
        <w:spacing w:after="200" w:line="276" w:lineRule="auto"/>
      </w:pPr>
    </w:p>
    <w:p w:rsidR="00B84670" w:rsidRDefault="00B84670">
      <w:pPr>
        <w:spacing w:after="200" w:line="276" w:lineRule="auto"/>
      </w:pPr>
    </w:p>
    <w:p w:rsidR="00B84670" w:rsidRDefault="00B84670" w:rsidP="00B84670">
      <w:pPr>
        <w:pStyle w:val="Zkladntext"/>
      </w:pPr>
      <w:r>
        <w:t>Prehľad o pohybe vlastného imania v priebehu účtovného obdobia je uvedený v nasledujúcom prehľade:</w:t>
      </w:r>
    </w:p>
    <w:p w:rsidR="00B84670" w:rsidRDefault="00B84670" w:rsidP="00B84670">
      <w:pPr>
        <w:pStyle w:val="Zkladntext"/>
        <w:ind w:left="0"/>
      </w:pPr>
    </w:p>
    <w:bookmarkStart w:id="46" w:name="_MON_1463041166"/>
    <w:bookmarkEnd w:id="46"/>
    <w:p w:rsidR="00B84670" w:rsidRDefault="00E86F70" w:rsidP="00B84670">
      <w:pPr>
        <w:spacing w:after="200" w:line="276" w:lineRule="auto"/>
      </w:pPr>
      <w:r>
        <w:object w:dxaOrig="9290" w:dyaOrig="7018">
          <v:shape id="_x0000_i1042" type="#_x0000_t75" style="width:441pt;height:372pt" o:ole="" o:preferrelative="f">
            <v:imagedata r:id="rId50" o:title=""/>
            <o:lock v:ext="edit" aspectratio="f"/>
          </v:shape>
          <o:OLEObject Type="Embed" ProgID="Excel.Sheet.12" ShapeID="_x0000_i1042" DrawAspect="Content" ObjectID="_1465627831" r:id="rId51"/>
        </w:object>
      </w:r>
    </w:p>
    <w:p w:rsidR="009575B9" w:rsidRDefault="009575B9" w:rsidP="003E0FA2">
      <w:pPr>
        <w:pStyle w:val="Zkladntext"/>
      </w:pPr>
    </w:p>
    <w:p w:rsidR="003E0FA2" w:rsidRDefault="00E7672A" w:rsidP="003E0FA2">
      <w:pPr>
        <w:pStyle w:val="Zkladntext"/>
      </w:pPr>
      <w:r>
        <w:t>Účtovný zisk za rok 2012</w:t>
      </w:r>
      <w:r w:rsidR="003E0FA2">
        <w:t xml:space="preserve"> bol rozdelený takto:</w:t>
      </w:r>
    </w:p>
    <w:bookmarkStart w:id="47" w:name="_MON_1385831622"/>
    <w:bookmarkEnd w:id="47"/>
    <w:p w:rsidR="00ED1E98" w:rsidRDefault="006115CB" w:rsidP="003E0FA2">
      <w:pPr>
        <w:pStyle w:val="Zkladntext"/>
      </w:pPr>
      <w:r>
        <w:object w:dxaOrig="8919" w:dyaOrig="946">
          <v:shape id="_x0000_i1043" type="#_x0000_t75" style="width:436.5pt;height:48pt" o:ole="" o:preferrelative="f">
            <v:imagedata r:id="rId52" o:title=""/>
          </v:shape>
          <o:OLEObject Type="Embed" ProgID="Excel.Sheet.12" ShapeID="_x0000_i1043" DrawAspect="Content" ObjectID="_1465627832" r:id="rId53"/>
        </w:object>
      </w:r>
    </w:p>
    <w:p w:rsidR="001A566C" w:rsidRDefault="001A566C" w:rsidP="003E0FA2">
      <w:pPr>
        <w:pStyle w:val="Zkladntext"/>
      </w:pPr>
    </w:p>
    <w:bookmarkStart w:id="48" w:name="_MON_1385831614"/>
    <w:bookmarkEnd w:id="48"/>
    <w:p w:rsidR="00627B6C" w:rsidRDefault="007B0970" w:rsidP="003E0FA2">
      <w:pPr>
        <w:pStyle w:val="Zkladntext"/>
      </w:pPr>
      <w:r w:rsidRPr="001C0A6A">
        <w:object w:dxaOrig="8721" w:dyaOrig="2583">
          <v:shape id="_x0000_i1044" type="#_x0000_t75" style="width:431.25pt;height:142.5pt" o:ole="" o:preferrelative="f">
            <v:imagedata r:id="rId54" o:title=""/>
            <o:lock v:ext="edit" aspectratio="f"/>
          </v:shape>
          <o:OLEObject Type="Embed" ProgID="Excel.Sheet.12" ShapeID="_x0000_i1044" DrawAspect="Content" ObjectID="_1465627833" r:id="rId55"/>
        </w:object>
      </w:r>
    </w:p>
    <w:p w:rsidR="002F0CB1" w:rsidRDefault="002F0CB1" w:rsidP="003E0FA2">
      <w:pPr>
        <w:pStyle w:val="Zkladntext"/>
      </w:pPr>
      <w:r>
        <w:t xml:space="preserve">O rozdelení výsledku hospodárenia za účtovné </w:t>
      </w:r>
      <w:proofErr w:type="spellStart"/>
      <w:r>
        <w:t>obdobi</w:t>
      </w:r>
      <w:proofErr w:type="spellEnd"/>
      <w:r>
        <w:t xml:space="preserve"> 2012 rozhodlo valného </w:t>
      </w:r>
      <w:proofErr w:type="spellStart"/>
      <w:r>
        <w:t>zh</w:t>
      </w:r>
      <w:r w:rsidR="008C50C5">
        <w:t>r</w:t>
      </w:r>
      <w:r>
        <w:t>ormaždenie</w:t>
      </w:r>
      <w:proofErr w:type="spellEnd"/>
      <w:r>
        <w:t xml:space="preserve"> 28.3.2013:</w:t>
      </w:r>
    </w:p>
    <w:p w:rsidR="002F0CB1" w:rsidRDefault="002F0CB1" w:rsidP="002F0CB1">
      <w:pPr>
        <w:pStyle w:val="Zkladntext"/>
        <w:numPr>
          <w:ilvl w:val="0"/>
          <w:numId w:val="40"/>
        </w:numPr>
      </w:pPr>
      <w:r>
        <w:t>Prídel o rezervného fondu 5% /s.r.o./ v sume  2770 Eur</w:t>
      </w:r>
    </w:p>
    <w:p w:rsidR="002F0CB1" w:rsidRDefault="002F0CB1" w:rsidP="002F0CB1">
      <w:pPr>
        <w:pStyle w:val="Zkladntext"/>
        <w:numPr>
          <w:ilvl w:val="0"/>
          <w:numId w:val="40"/>
        </w:numPr>
      </w:pPr>
      <w:r>
        <w:t>Prevod na nerozdelený zisk minulých rokov</w:t>
      </w:r>
      <w:r w:rsidR="007B0970">
        <w:t xml:space="preserve"> </w:t>
      </w:r>
      <w:r>
        <w:t>52 622 Eur</w:t>
      </w:r>
    </w:p>
    <w:p w:rsidR="002F0CB1" w:rsidRDefault="002F0CB1" w:rsidP="003E0FA2">
      <w:pPr>
        <w:pStyle w:val="Zkladntext"/>
      </w:pPr>
    </w:p>
    <w:p w:rsidR="00627B6C" w:rsidRDefault="00627B6C" w:rsidP="003E0FA2">
      <w:pPr>
        <w:pStyle w:val="Zkladntext"/>
      </w:pPr>
    </w:p>
    <w:p w:rsidR="003E0FA2" w:rsidRDefault="003E0FA2" w:rsidP="003E0FA2">
      <w:pPr>
        <w:pStyle w:val="Zkladntext"/>
      </w:pPr>
      <w:r>
        <w:t>O rozdelení výsledku hosp</w:t>
      </w:r>
      <w:r w:rsidR="002F0CB1">
        <w:t xml:space="preserve">odárenia za účtovné obdobie 2013 </w:t>
      </w:r>
      <w:r>
        <w:t xml:space="preserve"> vo výške </w:t>
      </w:r>
      <w:r w:rsidR="00005FE9">
        <w:t>13</w:t>
      </w:r>
      <w:r w:rsidR="002A4429">
        <w:t xml:space="preserve"> </w:t>
      </w:r>
      <w:r w:rsidR="00005FE9">
        <w:t>2527</w:t>
      </w:r>
      <w:r>
        <w:t xml:space="preserve"> rozhodne valné zhromaždenie. Návrh štatutárneho orgánu valnému zhromaždeniu je takýto:</w:t>
      </w:r>
      <w:r w:rsidR="00005FE9">
        <w:t xml:space="preserve"> </w:t>
      </w:r>
    </w:p>
    <w:p w:rsidR="003E0FA2" w:rsidRDefault="002F0CB1" w:rsidP="003E0FA2">
      <w:pPr>
        <w:pStyle w:val="Zkladntext"/>
        <w:numPr>
          <w:ilvl w:val="0"/>
          <w:numId w:val="24"/>
        </w:numPr>
      </w:pPr>
      <w:r>
        <w:t xml:space="preserve">Prídel do rezervného fondu </w:t>
      </w:r>
      <w:r w:rsidR="00D50F39">
        <w:t xml:space="preserve"> vo vý</w:t>
      </w:r>
      <w:r w:rsidR="00005FE9">
        <w:t xml:space="preserve">ške stanovenej  podľa Spoločenskej zmluvy akciovej spoločnosti </w:t>
      </w:r>
    </w:p>
    <w:p w:rsidR="003E0FA2" w:rsidRDefault="007B0970" w:rsidP="003E0FA2">
      <w:pPr>
        <w:pStyle w:val="Zkladntext"/>
        <w:numPr>
          <w:ilvl w:val="0"/>
          <w:numId w:val="24"/>
        </w:numPr>
      </w:pPr>
      <w:r>
        <w:t>P</w:t>
      </w:r>
      <w:r w:rsidR="003E0FA2">
        <w:t xml:space="preserve">revod na nerozdelený zisk minulých rokov </w:t>
      </w:r>
    </w:p>
    <w:p w:rsidR="003E0FA2" w:rsidRDefault="003E0FA2" w:rsidP="003E0FA2">
      <w:pPr>
        <w:pStyle w:val="Zkladntext"/>
      </w:pPr>
    </w:p>
    <w:p w:rsidR="003E0FA2" w:rsidRDefault="003E0FA2" w:rsidP="003E0FA2">
      <w:pPr>
        <w:pStyle w:val="Nadpis1"/>
        <w:tabs>
          <w:tab w:val="clear" w:pos="450"/>
          <w:tab w:val="num" w:pos="360"/>
        </w:tabs>
        <w:spacing w:before="120" w:after="60"/>
        <w:ind w:left="360"/>
      </w:pPr>
      <w:bookmarkStart w:id="49" w:name="_Toc530739926"/>
      <w:r>
        <w:t xml:space="preserve">Prehľad peňažných tokov k 31. decembru </w:t>
      </w:r>
      <w:bookmarkEnd w:id="49"/>
      <w:r w:rsidR="00E7672A">
        <w:t>2013</w:t>
      </w:r>
    </w:p>
    <w:p w:rsidR="00EA4742" w:rsidRPr="00EA4742" w:rsidRDefault="00EA4742" w:rsidP="00EA4742">
      <w:r>
        <w:t>Spoločnosť nemá povinnosť auditu, preto prehľad o peňažných tokoch  nevyplňujeme.</w:t>
      </w:r>
    </w:p>
    <w:p w:rsidR="00301C73" w:rsidRPr="009947C9" w:rsidRDefault="00301C73" w:rsidP="003E0FA2">
      <w:pPr>
        <w:pStyle w:val="Zkladntext"/>
        <w:rPr>
          <w:lang w:val="de-DE"/>
        </w:rPr>
      </w:pPr>
      <w:bookmarkStart w:id="50" w:name="_MON_1385831781"/>
      <w:bookmarkEnd w:id="50"/>
    </w:p>
    <w:p w:rsidR="00F94AB6" w:rsidRDefault="00F94AB6" w:rsidP="00F94AB6">
      <w:pPr>
        <w:pStyle w:val="Zkladntext"/>
        <w:rPr>
          <w:b/>
          <w:i/>
          <w:sz w:val="24"/>
          <w:szCs w:val="24"/>
        </w:rPr>
      </w:pPr>
    </w:p>
    <w:p w:rsidR="00F94AB6" w:rsidRDefault="00F94AB6" w:rsidP="00F94AB6">
      <w:pPr>
        <w:pStyle w:val="Zkladntext"/>
        <w:rPr>
          <w:b/>
          <w:i/>
          <w:sz w:val="24"/>
          <w:szCs w:val="24"/>
        </w:rPr>
      </w:pPr>
    </w:p>
    <w:p w:rsidR="00F94AB6" w:rsidRDefault="00F94AB6" w:rsidP="00F94AB6">
      <w:pPr>
        <w:pStyle w:val="Zkladntext"/>
        <w:rPr>
          <w:b/>
          <w:i/>
          <w:sz w:val="24"/>
          <w:szCs w:val="24"/>
        </w:rPr>
      </w:pPr>
    </w:p>
    <w:p w:rsidR="00F94AB6" w:rsidRPr="006A238E" w:rsidRDefault="00F94AB6" w:rsidP="00F94AB6">
      <w:pPr>
        <w:pStyle w:val="Zkladntext"/>
        <w:rPr>
          <w:b/>
          <w:i/>
          <w:sz w:val="24"/>
          <w:szCs w:val="24"/>
        </w:rPr>
      </w:pPr>
    </w:p>
    <w:p w:rsidR="0058479C" w:rsidRPr="007E093E" w:rsidRDefault="0058479C" w:rsidP="007E093E">
      <w:pPr>
        <w:pStyle w:val="Zkladntext"/>
        <w:ind w:left="0"/>
      </w:pPr>
    </w:p>
    <w:sectPr w:rsidR="0058479C" w:rsidRPr="007E093E" w:rsidSect="002873AF">
      <w:headerReference w:type="default" r:id="rId56"/>
      <w:headerReference w:type="first" r:id="rId57"/>
      <w:footerReference w:type="first" r:id="rId58"/>
      <w:pgSz w:w="11906" w:h="16838" w:code="9"/>
      <w:pgMar w:top="1979" w:right="1021" w:bottom="1134" w:left="1673" w:header="67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FB" w:rsidRDefault="007120FB" w:rsidP="00E95128">
      <w:r>
        <w:separator/>
      </w:r>
    </w:p>
  </w:endnote>
  <w:endnote w:type="continuationSeparator" w:id="0">
    <w:p w:rsidR="007120FB" w:rsidRDefault="007120FB" w:rsidP="00E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14" w:rsidRPr="000D3235" w:rsidRDefault="002E7514" w:rsidP="000658BA">
    <w:pPr>
      <w:tabs>
        <w:tab w:val="right" w:pos="9214"/>
      </w:tabs>
      <w:autoSpaceDE w:val="0"/>
      <w:autoSpaceDN w:val="0"/>
      <w:adjustRightInd w:val="0"/>
      <w:rPr>
        <w:rStyle w:val="slostrany"/>
        <w:sz w:val="16"/>
        <w:szCs w:val="16"/>
      </w:rPr>
    </w:pPr>
    <w:r w:rsidRPr="000D3235">
      <w:rPr>
        <w:rStyle w:val="slostrany"/>
        <w:b/>
      </w:rPr>
      <w:fldChar w:fldCharType="begin"/>
    </w:r>
    <w:r w:rsidRPr="000D3235">
      <w:rPr>
        <w:rStyle w:val="slostrany"/>
        <w:b/>
      </w:rPr>
      <w:instrText xml:space="preserve"> PAGE </w:instrText>
    </w:r>
    <w:r w:rsidRPr="000D3235">
      <w:rPr>
        <w:rStyle w:val="slostrany"/>
        <w:b/>
      </w:rPr>
      <w:fldChar w:fldCharType="separate"/>
    </w:r>
    <w:r>
      <w:rPr>
        <w:rStyle w:val="slostrany"/>
        <w:b/>
        <w:noProof/>
      </w:rPr>
      <w:t>1</w:t>
    </w:r>
    <w:r w:rsidRPr="000D3235">
      <w:rPr>
        <w:rStyle w:val="slostrany"/>
        <w:b/>
      </w:rPr>
      <w:fldChar w:fldCharType="end"/>
    </w:r>
    <w:r w:rsidRPr="000D3235">
      <w:rPr>
        <w:rStyle w:val="slostrany"/>
        <w:sz w:val="16"/>
        <w:szCs w:val="16"/>
      </w:rPr>
      <w:tab/>
    </w:r>
    <w:r w:rsidRPr="000D3235">
      <w:rPr>
        <w:sz w:val="16"/>
        <w:szCs w:val="16"/>
        <w:lang w:val="de-DE"/>
      </w:rPr>
      <w:t xml:space="preserve">© 2006 KPMG </w:t>
    </w:r>
    <w:proofErr w:type="spellStart"/>
    <w:r w:rsidRPr="000D3235">
      <w:rPr>
        <w:sz w:val="16"/>
        <w:szCs w:val="16"/>
        <w:lang w:val="de-DE"/>
      </w:rPr>
      <w:t>Slovensko</w:t>
    </w:r>
    <w:proofErr w:type="spellEnd"/>
    <w:r w:rsidRPr="000D3235">
      <w:rPr>
        <w:sz w:val="16"/>
        <w:szCs w:val="16"/>
        <w:lang w:val="de-DE"/>
      </w:rPr>
      <w:t xml:space="preserve">, </w:t>
    </w:r>
    <w:proofErr w:type="spellStart"/>
    <w:r w:rsidRPr="000D3235">
      <w:rPr>
        <w:sz w:val="16"/>
        <w:szCs w:val="16"/>
        <w:lang w:val="de-DE"/>
      </w:rPr>
      <w:t>spol</w:t>
    </w:r>
    <w:proofErr w:type="spellEnd"/>
    <w:r w:rsidRPr="000D3235">
      <w:rPr>
        <w:sz w:val="16"/>
        <w:szCs w:val="16"/>
        <w:lang w:val="de-DE"/>
      </w:rPr>
      <w:t>. s r.o. Alle Rechte vorbehalten</w:t>
    </w:r>
    <w:r w:rsidRPr="000D3235">
      <w:rPr>
        <w:sz w:val="16"/>
        <w:szCs w:val="16"/>
      </w:rPr>
      <w:t xml:space="preserve">. </w:t>
    </w:r>
    <w:proofErr w:type="spellStart"/>
    <w:r w:rsidRPr="000D3235">
      <w:rPr>
        <w:sz w:val="16"/>
        <w:szCs w:val="16"/>
      </w:rPr>
      <w:t>Gedruckt</w:t>
    </w:r>
    <w:proofErr w:type="spellEnd"/>
    <w:r w:rsidRPr="000D3235">
      <w:rPr>
        <w:sz w:val="16"/>
        <w:szCs w:val="16"/>
      </w:rPr>
      <w:t xml:space="preserve"> in der </w:t>
    </w:r>
    <w:proofErr w:type="spellStart"/>
    <w:r w:rsidRPr="000D3235">
      <w:rPr>
        <w:sz w:val="16"/>
        <w:szCs w:val="16"/>
      </w:rPr>
      <w:t>Slowakei</w:t>
    </w:r>
    <w:proofErr w:type="spellEnd"/>
    <w:r w:rsidRPr="000D3235">
      <w:rPr>
        <w:sz w:val="16"/>
        <w:szCs w:val="16"/>
      </w:rPr>
      <w:t>.</w:t>
    </w:r>
  </w:p>
  <w:p w:rsidR="002E7514" w:rsidRPr="000D3235" w:rsidRDefault="002E7514" w:rsidP="000658BA">
    <w:pPr>
      <w:autoSpaceDE w:val="0"/>
      <w:autoSpaceDN w:val="0"/>
      <w:adjustRightInd w:val="0"/>
      <w:rPr>
        <w:sz w:val="16"/>
        <w:szCs w:val="16"/>
      </w:rPr>
    </w:pPr>
  </w:p>
  <w:p w:rsidR="002E7514" w:rsidRPr="000D3235" w:rsidRDefault="002E7514">
    <w:pPr>
      <w:pStyle w:val="Pt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14" w:rsidRDefault="002E7514" w:rsidP="00414240">
    <w:pPr>
      <w:pStyle w:val="Pta"/>
      <w:tabs>
        <w:tab w:val="clear" w:pos="9072"/>
        <w:tab w:val="right" w:pos="9214"/>
      </w:tabs>
      <w:jc w:val="right"/>
    </w:pPr>
    <w:r>
      <w:rPr>
        <w:b/>
      </w:rPr>
      <w:tab/>
    </w:r>
    <w:r>
      <w:rPr>
        <w:b/>
      </w:rPr>
      <w:tab/>
    </w:r>
    <w:sdt>
      <w:sdtPr>
        <w:rPr>
          <w:b/>
        </w:rPr>
        <w:id w:val="23006680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Pr="00F70C00">
          <w:rPr>
            <w:b/>
          </w:rPr>
          <w:fldChar w:fldCharType="begin"/>
        </w:r>
        <w:r w:rsidRPr="00F70C00">
          <w:rPr>
            <w:b/>
          </w:rPr>
          <w:instrText xml:space="preserve"> PAGE   \* MERGEFORMAT </w:instrText>
        </w:r>
        <w:r w:rsidRPr="00F70C00">
          <w:rPr>
            <w:b/>
          </w:rPr>
          <w:fldChar w:fldCharType="separate"/>
        </w:r>
        <w:r w:rsidR="008B1B02">
          <w:rPr>
            <w:b/>
            <w:noProof/>
          </w:rPr>
          <w:t>20</w:t>
        </w:r>
        <w:r w:rsidRPr="00F70C00">
          <w:rPr>
            <w:b/>
          </w:rPr>
          <w:fldChar w:fldCharType="end"/>
        </w:r>
      </w:sdtContent>
    </w:sdt>
  </w:p>
  <w:p w:rsidR="002E7514" w:rsidRDefault="002E7514" w:rsidP="002F05C7">
    <w:pPr>
      <w:pStyle w:val="Pta"/>
      <w:rPr>
        <w:sz w:val="16"/>
        <w:szCs w:val="16"/>
      </w:rPr>
    </w:pPr>
  </w:p>
  <w:p w:rsidR="002E7514" w:rsidRPr="00F70C00" w:rsidRDefault="002E7514" w:rsidP="002F05C7">
    <w:pPr>
      <w:pStyle w:val="Pta"/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14" w:rsidRDefault="002E7514" w:rsidP="0058479C">
    <w:pPr>
      <w:pStyle w:val="Pta"/>
      <w:tabs>
        <w:tab w:val="clear" w:pos="4536"/>
      </w:tabs>
      <w:jc w:val="right"/>
    </w:pPr>
    <w:r>
      <w:rPr>
        <w:sz w:val="16"/>
        <w:szCs w:val="16"/>
      </w:rPr>
      <w:tab/>
    </w:r>
    <w:sdt>
      <w:sdtPr>
        <w:id w:val="-388891172"/>
        <w:docPartObj>
          <w:docPartGallery w:val="Page Numbers (Bottom of Page)"/>
          <w:docPartUnique/>
        </w:docPartObj>
      </w:sdtPr>
      <w:sdtEndPr/>
      <w:sdtContent>
        <w:r w:rsidRPr="0058479C">
          <w:rPr>
            <w:b/>
          </w:rPr>
          <w:fldChar w:fldCharType="begin"/>
        </w:r>
        <w:r w:rsidRPr="0058479C">
          <w:rPr>
            <w:b/>
          </w:rPr>
          <w:instrText xml:space="preserve"> PAGE   \* MERGEFORMAT </w:instrText>
        </w:r>
        <w:r w:rsidRPr="0058479C">
          <w:rPr>
            <w:b/>
          </w:rPr>
          <w:fldChar w:fldCharType="separate"/>
        </w:r>
        <w:r w:rsidR="008B1B02">
          <w:rPr>
            <w:b/>
            <w:noProof/>
          </w:rPr>
          <w:t>7</w:t>
        </w:r>
        <w:r w:rsidRPr="0058479C">
          <w:rPr>
            <w:b/>
          </w:rPr>
          <w:fldChar w:fldCharType="end"/>
        </w:r>
      </w:sdtContent>
    </w:sdt>
  </w:p>
  <w:p w:rsidR="002E7514" w:rsidRDefault="002E7514" w:rsidP="000658BA">
    <w:pPr>
      <w:jc w:val="both"/>
      <w:rPr>
        <w:sz w:val="16"/>
        <w:szCs w:val="16"/>
      </w:rPr>
    </w:pPr>
  </w:p>
  <w:p w:rsidR="002E7514" w:rsidRPr="0058479C" w:rsidRDefault="002E7514" w:rsidP="000658BA">
    <w:pPr>
      <w:jc w:val="both"/>
      <w:rPr>
        <w:sz w:val="16"/>
        <w:szCs w:val="16"/>
      </w:rPr>
    </w:pPr>
    <w:r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14" w:rsidRDefault="007120FB" w:rsidP="00086DAC">
    <w:pPr>
      <w:pStyle w:val="Pta"/>
      <w:tabs>
        <w:tab w:val="clear" w:pos="9072"/>
        <w:tab w:val="right" w:pos="9214"/>
      </w:tabs>
      <w:jc w:val="right"/>
    </w:pPr>
    <w:sdt>
      <w:sdtPr>
        <w:id w:val="-665861012"/>
        <w:docPartObj>
          <w:docPartGallery w:val="Page Numbers (Bottom of Page)"/>
          <w:docPartUnique/>
        </w:docPartObj>
      </w:sdtPr>
      <w:sdtEndPr/>
      <w:sdtContent>
        <w:r w:rsidR="002E7514" w:rsidRPr="00F70C00">
          <w:rPr>
            <w:b/>
          </w:rPr>
          <w:fldChar w:fldCharType="begin"/>
        </w:r>
        <w:r w:rsidR="002E7514" w:rsidRPr="00F70C00">
          <w:rPr>
            <w:b/>
          </w:rPr>
          <w:instrText xml:space="preserve"> PAGE   \* MERGEFORMAT </w:instrText>
        </w:r>
        <w:r w:rsidR="002E7514" w:rsidRPr="00F70C00">
          <w:rPr>
            <w:b/>
          </w:rPr>
          <w:fldChar w:fldCharType="separate"/>
        </w:r>
        <w:r w:rsidR="008B1B02">
          <w:rPr>
            <w:b/>
            <w:noProof/>
          </w:rPr>
          <w:t>9</w:t>
        </w:r>
        <w:r w:rsidR="002E7514" w:rsidRPr="00F70C00">
          <w:rPr>
            <w:b/>
          </w:rPr>
          <w:fldChar w:fldCharType="end"/>
        </w:r>
      </w:sdtContent>
    </w:sdt>
  </w:p>
  <w:p w:rsidR="002E7514" w:rsidRDefault="002E7514" w:rsidP="00F70C00">
    <w:pPr>
      <w:pStyle w:val="Pta"/>
      <w:tabs>
        <w:tab w:val="clear" w:pos="9072"/>
        <w:tab w:val="right" w:pos="9214"/>
      </w:tabs>
      <w:rPr>
        <w:sz w:val="16"/>
        <w:szCs w:val="16"/>
      </w:rPr>
    </w:pPr>
  </w:p>
  <w:p w:rsidR="002E7514" w:rsidRPr="00F70C00" w:rsidRDefault="002E7514" w:rsidP="00F70C00">
    <w:pPr>
      <w:pStyle w:val="Pta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FB" w:rsidRDefault="007120FB" w:rsidP="00E95128">
      <w:r>
        <w:separator/>
      </w:r>
    </w:p>
  </w:footnote>
  <w:footnote w:type="continuationSeparator" w:id="0">
    <w:p w:rsidR="007120FB" w:rsidRDefault="007120FB" w:rsidP="00E9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14" w:rsidRDefault="002E7514" w:rsidP="000658BA">
    <w:pPr>
      <w:pStyle w:val="Hlavika"/>
      <w:tabs>
        <w:tab w:val="center" w:pos="4253"/>
        <w:tab w:val="right" w:pos="9214"/>
      </w:tabs>
      <w:ind w:right="-1"/>
      <w:rPr>
        <w:sz w:val="18"/>
        <w:szCs w:val="18"/>
      </w:rPr>
    </w:pPr>
  </w:p>
  <w:p w:rsidR="002E7514" w:rsidRPr="00803D2C" w:rsidRDefault="002E7514" w:rsidP="000658BA">
    <w:pPr>
      <w:pStyle w:val="Hlavika"/>
      <w:tabs>
        <w:tab w:val="center" w:pos="4253"/>
        <w:tab w:val="right" w:pos="9214"/>
      </w:tabs>
      <w:ind w:right="-1"/>
    </w:pP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29920" cy="243840"/>
          <wp:effectExtent l="19050" t="0" r="0" b="0"/>
          <wp:wrapThrough wrapText="bothSides">
            <wp:wrapPolygon edited="0">
              <wp:start x="-653" y="0"/>
              <wp:lineTo x="0" y="20250"/>
              <wp:lineTo x="15024" y="20250"/>
              <wp:lineTo x="18290" y="20250"/>
              <wp:lineTo x="19597" y="20250"/>
              <wp:lineTo x="21556" y="10125"/>
              <wp:lineTo x="21556" y="0"/>
              <wp:lineTo x="-653" y="0"/>
            </wp:wrapPolygon>
          </wp:wrapThrough>
          <wp:docPr id="3" name="Picture 2" descr="KPMG_20mm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PMG_20mm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r w:rsidRPr="009D33FD">
      <w:rPr>
        <w:sz w:val="18"/>
      </w:rPr>
      <w:t>Illustrativer</w:t>
    </w:r>
    <w:proofErr w:type="spellEnd"/>
    <w:r w:rsidRPr="009D33FD">
      <w:rPr>
        <w:sz w:val="18"/>
      </w:rPr>
      <w:t xml:space="preserve"> </w:t>
    </w:r>
    <w:proofErr w:type="spellStart"/>
    <w:r w:rsidRPr="009D33FD">
      <w:rPr>
        <w:sz w:val="18"/>
      </w:rPr>
      <w:t>Jahresabschluss</w:t>
    </w:r>
    <w:proofErr w:type="spellEnd"/>
    <w:r w:rsidRPr="00252E14">
      <w:br/>
    </w:r>
    <w:r>
      <w:t xml:space="preserve"> </w:t>
    </w:r>
    <w:r>
      <w:tab/>
    </w:r>
    <w:r>
      <w:rPr>
        <w:b/>
        <w:bCs/>
        <w:sz w:val="18"/>
        <w:szCs w:val="18"/>
      </w:rPr>
      <w:t>AB</w:t>
    </w:r>
    <w:r w:rsidRPr="008D6361">
      <w:rPr>
        <w:b/>
        <w:bCs/>
        <w:sz w:val="18"/>
        <w:szCs w:val="18"/>
      </w:rPr>
      <w:t>C Slovenská výroba, spol. s r. o.</w:t>
    </w:r>
    <w:r>
      <w:rPr>
        <w:b/>
        <w:bCs/>
        <w:sz w:val="18"/>
        <w:szCs w:val="18"/>
      </w:rPr>
      <w:tab/>
    </w:r>
    <w:proofErr w:type="spellStart"/>
    <w:r w:rsidRPr="009D33FD">
      <w:rPr>
        <w:sz w:val="18"/>
      </w:rPr>
      <w:t>zum</w:t>
    </w:r>
    <w:proofErr w:type="spellEnd"/>
    <w:r w:rsidRPr="009D33FD">
      <w:rPr>
        <w:sz w:val="18"/>
      </w:rPr>
      <w:t xml:space="preserve"> 31. </w:t>
    </w:r>
    <w:r w:rsidRPr="000D3235">
      <w:rPr>
        <w:sz w:val="18"/>
        <w:lang w:val="de-DE"/>
      </w:rPr>
      <w:t xml:space="preserve">Dezember </w:t>
    </w:r>
    <w:r>
      <w:rPr>
        <w:sz w:val="18"/>
        <w:lang w:val="de-DE"/>
      </w:rPr>
      <w:t>2011</w:t>
    </w:r>
  </w:p>
  <w:p w:rsidR="002E7514" w:rsidRPr="000D3235" w:rsidRDefault="002E7514" w:rsidP="000658B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14" w:rsidRPr="00D11549" w:rsidRDefault="002E7514" w:rsidP="008A15DD">
    <w:pPr>
      <w:pStyle w:val="Hlavika"/>
      <w:tabs>
        <w:tab w:val="center" w:pos="4606"/>
        <w:tab w:val="center" w:pos="4820"/>
        <w:tab w:val="right" w:pos="9213"/>
      </w:tabs>
      <w:rPr>
        <w:b/>
        <w:sz w:val="18"/>
      </w:rPr>
    </w:pPr>
    <w:proofErr w:type="spellStart"/>
    <w:r w:rsidRPr="00D11549">
      <w:rPr>
        <w:b/>
        <w:sz w:val="18"/>
      </w:rPr>
      <w:t>Esin</w:t>
    </w:r>
    <w:proofErr w:type="spellEnd"/>
    <w:r w:rsidRPr="00D11549">
      <w:rPr>
        <w:b/>
        <w:sz w:val="18"/>
      </w:rPr>
      <w:t xml:space="preserve"> </w:t>
    </w:r>
    <w:proofErr w:type="spellStart"/>
    <w:r w:rsidRPr="00D11549">
      <w:rPr>
        <w:b/>
        <w:sz w:val="18"/>
      </w:rPr>
      <w:t>construction</w:t>
    </w:r>
    <w:proofErr w:type="spellEnd"/>
    <w:r w:rsidRPr="00D11549">
      <w:rPr>
        <w:b/>
        <w:sz w:val="18"/>
      </w:rPr>
      <w:t>, a.s. Tatranská 300/8, 017 01 Považská Bystrica</w:t>
    </w:r>
  </w:p>
  <w:p w:rsidR="002E7514" w:rsidRPr="00E95128" w:rsidRDefault="002E7514" w:rsidP="008A15DD">
    <w:pPr>
      <w:pStyle w:val="Hlavika"/>
      <w:tabs>
        <w:tab w:val="clear" w:pos="4536"/>
        <w:tab w:val="clear" w:pos="9072"/>
        <w:tab w:val="center" w:pos="3969"/>
        <w:tab w:val="right" w:pos="9214"/>
      </w:tabs>
    </w:pPr>
    <w:r>
      <w:rPr>
        <w:sz w:val="18"/>
        <w:szCs w:val="18"/>
      </w:rPr>
      <w:t xml:space="preserve">Poznámky individuálnej účtovnej závierky zostavenej </w:t>
    </w:r>
    <w:r w:rsidRPr="008D6361">
      <w:rPr>
        <w:sz w:val="18"/>
        <w:szCs w:val="18"/>
      </w:rPr>
      <w:t>k</w:t>
    </w:r>
    <w:r>
      <w:rPr>
        <w:b/>
        <w:bCs/>
        <w:sz w:val="18"/>
        <w:szCs w:val="18"/>
      </w:rPr>
      <w:t xml:space="preserve"> </w:t>
    </w:r>
    <w:r w:rsidRPr="0075768F">
      <w:rPr>
        <w:sz w:val="18"/>
        <w:szCs w:val="18"/>
      </w:rPr>
      <w:t>3</w:t>
    </w:r>
    <w:r w:rsidRPr="008D6361">
      <w:rPr>
        <w:sz w:val="18"/>
        <w:szCs w:val="18"/>
      </w:rPr>
      <w:t xml:space="preserve">1. decembru </w:t>
    </w:r>
    <w:r>
      <w:rPr>
        <w:sz w:val="18"/>
        <w:szCs w:val="18"/>
      </w:rPr>
      <w:t>2013</w:t>
    </w:r>
  </w:p>
  <w:p w:rsidR="002E7514" w:rsidRDefault="002E7514" w:rsidP="008A15DD">
    <w:pPr>
      <w:pStyle w:val="Hlavika"/>
      <w:rPr>
        <w:sz w:val="24"/>
      </w:rPr>
    </w:pPr>
  </w:p>
  <w:p w:rsidR="002E7514" w:rsidRPr="00E95128" w:rsidRDefault="002E7514" w:rsidP="009C5BD9">
    <w:pPr>
      <w:pStyle w:val="Hlavika"/>
      <w:tabs>
        <w:tab w:val="clear" w:pos="4536"/>
        <w:tab w:val="clear" w:pos="9072"/>
        <w:tab w:val="center" w:pos="3969"/>
        <w:tab w:val="right" w:pos="9214"/>
      </w:tabs>
    </w:pPr>
  </w:p>
  <w:p w:rsidR="002E7514" w:rsidRDefault="002E7514">
    <w:pPr>
      <w:pStyle w:val="Hlavika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14" w:rsidRPr="0074037C" w:rsidRDefault="002E7514" w:rsidP="00564448">
    <w:pPr>
      <w:pStyle w:val="Hlavika"/>
      <w:tabs>
        <w:tab w:val="center" w:pos="4606"/>
        <w:tab w:val="center" w:pos="4820"/>
        <w:tab w:val="right" w:pos="9213"/>
      </w:tabs>
      <w:rPr>
        <w:b/>
        <w:sz w:val="18"/>
      </w:rPr>
    </w:pPr>
    <w:proofErr w:type="spellStart"/>
    <w:r w:rsidRPr="0074037C">
      <w:rPr>
        <w:b/>
        <w:sz w:val="18"/>
      </w:rPr>
      <w:t>Esin</w:t>
    </w:r>
    <w:proofErr w:type="spellEnd"/>
    <w:r w:rsidRPr="0074037C">
      <w:rPr>
        <w:b/>
        <w:sz w:val="18"/>
      </w:rPr>
      <w:t xml:space="preserve"> </w:t>
    </w:r>
    <w:proofErr w:type="spellStart"/>
    <w:r w:rsidRPr="0074037C">
      <w:rPr>
        <w:b/>
        <w:sz w:val="18"/>
      </w:rPr>
      <w:t>construction</w:t>
    </w:r>
    <w:proofErr w:type="spellEnd"/>
    <w:r w:rsidRPr="0074037C">
      <w:rPr>
        <w:b/>
        <w:sz w:val="18"/>
      </w:rPr>
      <w:t>, a.s. Tatranská 300/8, 017 01 Považská Bystrica</w:t>
    </w:r>
  </w:p>
  <w:p w:rsidR="002E7514" w:rsidRPr="00E95128" w:rsidRDefault="002E7514" w:rsidP="00564448">
    <w:pPr>
      <w:pStyle w:val="Hlavika"/>
      <w:tabs>
        <w:tab w:val="clear" w:pos="4536"/>
        <w:tab w:val="clear" w:pos="9072"/>
        <w:tab w:val="center" w:pos="3969"/>
        <w:tab w:val="right" w:pos="9214"/>
      </w:tabs>
    </w:pPr>
    <w:r>
      <w:rPr>
        <w:sz w:val="18"/>
        <w:szCs w:val="18"/>
      </w:rPr>
      <w:t xml:space="preserve">Poznámky individuálnej účtovnej závierky zostavenej </w:t>
    </w:r>
    <w:r w:rsidRPr="008D6361">
      <w:rPr>
        <w:sz w:val="18"/>
        <w:szCs w:val="18"/>
      </w:rPr>
      <w:t>k</w:t>
    </w:r>
    <w:r>
      <w:rPr>
        <w:b/>
        <w:bCs/>
        <w:sz w:val="18"/>
        <w:szCs w:val="18"/>
      </w:rPr>
      <w:t xml:space="preserve"> </w:t>
    </w:r>
    <w:r w:rsidRPr="0075768F">
      <w:rPr>
        <w:sz w:val="18"/>
        <w:szCs w:val="18"/>
      </w:rPr>
      <w:t>3</w:t>
    </w:r>
    <w:r w:rsidRPr="008D6361">
      <w:rPr>
        <w:sz w:val="18"/>
        <w:szCs w:val="18"/>
      </w:rPr>
      <w:t xml:space="preserve">1. decembru </w:t>
    </w:r>
    <w:r>
      <w:rPr>
        <w:sz w:val="18"/>
        <w:szCs w:val="18"/>
      </w:rPr>
      <w:t>2013</w:t>
    </w:r>
  </w:p>
  <w:p w:rsidR="002E7514" w:rsidRDefault="002E7514" w:rsidP="00564448">
    <w:pPr>
      <w:pStyle w:val="Hlavika"/>
      <w:rPr>
        <w:sz w:val="24"/>
      </w:rPr>
    </w:pPr>
  </w:p>
  <w:p w:rsidR="002E7514" w:rsidRPr="00564448" w:rsidRDefault="002E7514" w:rsidP="00564448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14" w:rsidRPr="00D11549" w:rsidRDefault="002E7514" w:rsidP="00E73A00">
    <w:pPr>
      <w:pStyle w:val="Hlavika"/>
      <w:tabs>
        <w:tab w:val="center" w:pos="4606"/>
        <w:tab w:val="center" w:pos="4820"/>
        <w:tab w:val="right" w:pos="9213"/>
      </w:tabs>
      <w:rPr>
        <w:b/>
        <w:sz w:val="18"/>
      </w:rPr>
    </w:pPr>
    <w:proofErr w:type="spellStart"/>
    <w:r w:rsidRPr="00D11549">
      <w:rPr>
        <w:b/>
        <w:sz w:val="18"/>
      </w:rPr>
      <w:t>Esin</w:t>
    </w:r>
    <w:proofErr w:type="spellEnd"/>
    <w:r w:rsidRPr="00D11549">
      <w:rPr>
        <w:b/>
        <w:sz w:val="18"/>
      </w:rPr>
      <w:t xml:space="preserve"> </w:t>
    </w:r>
    <w:proofErr w:type="spellStart"/>
    <w:r w:rsidRPr="00D11549">
      <w:rPr>
        <w:b/>
        <w:sz w:val="18"/>
      </w:rPr>
      <w:t>construction</w:t>
    </w:r>
    <w:proofErr w:type="spellEnd"/>
    <w:r w:rsidRPr="00D11549">
      <w:rPr>
        <w:b/>
        <w:sz w:val="18"/>
      </w:rPr>
      <w:t>, a.s. Považská Bystrica</w:t>
    </w:r>
  </w:p>
  <w:p w:rsidR="002E7514" w:rsidRPr="00E95128" w:rsidRDefault="002E7514" w:rsidP="009C5BD9">
    <w:pPr>
      <w:pStyle w:val="Hlavika"/>
      <w:tabs>
        <w:tab w:val="clear" w:pos="4536"/>
        <w:tab w:val="clear" w:pos="9072"/>
        <w:tab w:val="center" w:pos="3969"/>
        <w:tab w:val="right" w:pos="9214"/>
      </w:tabs>
    </w:pPr>
    <w:r>
      <w:rPr>
        <w:sz w:val="18"/>
        <w:szCs w:val="18"/>
      </w:rPr>
      <w:t xml:space="preserve">Poznámky individuálnej účtovnej závierky zostavenej </w:t>
    </w:r>
    <w:r w:rsidRPr="008D6361">
      <w:rPr>
        <w:sz w:val="18"/>
        <w:szCs w:val="18"/>
      </w:rPr>
      <w:t>k</w:t>
    </w:r>
    <w:r>
      <w:rPr>
        <w:b/>
        <w:bCs/>
        <w:sz w:val="18"/>
        <w:szCs w:val="18"/>
      </w:rPr>
      <w:t xml:space="preserve"> </w:t>
    </w:r>
    <w:r w:rsidRPr="0075768F">
      <w:rPr>
        <w:sz w:val="18"/>
        <w:szCs w:val="18"/>
      </w:rPr>
      <w:t>3</w:t>
    </w:r>
    <w:r w:rsidRPr="008D6361">
      <w:rPr>
        <w:sz w:val="18"/>
        <w:szCs w:val="18"/>
      </w:rPr>
      <w:t xml:space="preserve">1. decembru </w:t>
    </w:r>
    <w:r>
      <w:rPr>
        <w:sz w:val="18"/>
        <w:szCs w:val="18"/>
      </w:rPr>
      <w:t>2013</w:t>
    </w:r>
  </w:p>
  <w:p w:rsidR="002E7514" w:rsidRDefault="002E7514">
    <w:pPr>
      <w:pStyle w:val="Hlavika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14" w:rsidRPr="0074037C" w:rsidRDefault="002E7514" w:rsidP="00D11549">
    <w:pPr>
      <w:pStyle w:val="Hlavika"/>
      <w:tabs>
        <w:tab w:val="center" w:pos="4606"/>
        <w:tab w:val="center" w:pos="4820"/>
        <w:tab w:val="right" w:pos="9213"/>
      </w:tabs>
      <w:rPr>
        <w:b/>
        <w:sz w:val="18"/>
      </w:rPr>
    </w:pPr>
    <w:proofErr w:type="spellStart"/>
    <w:r w:rsidRPr="0074037C">
      <w:rPr>
        <w:b/>
        <w:sz w:val="18"/>
      </w:rPr>
      <w:t>Esin</w:t>
    </w:r>
    <w:proofErr w:type="spellEnd"/>
    <w:r w:rsidRPr="0074037C">
      <w:rPr>
        <w:b/>
        <w:sz w:val="18"/>
      </w:rPr>
      <w:t xml:space="preserve"> </w:t>
    </w:r>
    <w:proofErr w:type="spellStart"/>
    <w:r w:rsidRPr="0074037C">
      <w:rPr>
        <w:b/>
        <w:sz w:val="18"/>
      </w:rPr>
      <w:t>construction</w:t>
    </w:r>
    <w:proofErr w:type="spellEnd"/>
    <w:r w:rsidRPr="0074037C">
      <w:rPr>
        <w:b/>
        <w:sz w:val="18"/>
      </w:rPr>
      <w:t>, a.s. Považská Bystrica</w:t>
    </w:r>
  </w:p>
  <w:p w:rsidR="002E7514" w:rsidRPr="00E95128" w:rsidRDefault="002E7514" w:rsidP="00D11549">
    <w:pPr>
      <w:pStyle w:val="Hlavika"/>
      <w:tabs>
        <w:tab w:val="clear" w:pos="4536"/>
        <w:tab w:val="clear" w:pos="9072"/>
        <w:tab w:val="center" w:pos="3969"/>
        <w:tab w:val="right" w:pos="9214"/>
      </w:tabs>
    </w:pPr>
    <w:r>
      <w:rPr>
        <w:sz w:val="18"/>
        <w:szCs w:val="18"/>
      </w:rPr>
      <w:t xml:space="preserve">Poznámky individuálnej účtovnej závierky zostavenej </w:t>
    </w:r>
    <w:r w:rsidRPr="008D6361">
      <w:rPr>
        <w:sz w:val="18"/>
        <w:szCs w:val="18"/>
      </w:rPr>
      <w:t>k</w:t>
    </w:r>
    <w:r>
      <w:rPr>
        <w:b/>
        <w:bCs/>
        <w:sz w:val="18"/>
        <w:szCs w:val="18"/>
      </w:rPr>
      <w:t xml:space="preserve"> </w:t>
    </w:r>
    <w:r w:rsidRPr="0075768F">
      <w:rPr>
        <w:sz w:val="18"/>
        <w:szCs w:val="18"/>
      </w:rPr>
      <w:t>3</w:t>
    </w:r>
    <w:r w:rsidRPr="008D6361">
      <w:rPr>
        <w:sz w:val="18"/>
        <w:szCs w:val="18"/>
      </w:rPr>
      <w:t xml:space="preserve">1. decembru </w:t>
    </w:r>
    <w:r>
      <w:rPr>
        <w:sz w:val="18"/>
        <w:szCs w:val="18"/>
      </w:rPr>
      <w:t>2013</w:t>
    </w:r>
  </w:p>
  <w:p w:rsidR="002E7514" w:rsidRPr="000B24BD" w:rsidRDefault="002E7514" w:rsidP="00D11549">
    <w:pPr>
      <w:pStyle w:val="Hlavika"/>
    </w:pPr>
  </w:p>
  <w:p w:rsidR="002E7514" w:rsidRPr="00F94AB6" w:rsidRDefault="002E7514" w:rsidP="00F94AB6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14" w:rsidRPr="0074037C" w:rsidRDefault="002E7514" w:rsidP="000841AB">
    <w:pPr>
      <w:pStyle w:val="Hlavika"/>
      <w:tabs>
        <w:tab w:val="center" w:pos="4606"/>
        <w:tab w:val="center" w:pos="4820"/>
        <w:tab w:val="right" w:pos="9213"/>
      </w:tabs>
      <w:rPr>
        <w:b/>
        <w:sz w:val="18"/>
      </w:rPr>
    </w:pPr>
    <w:proofErr w:type="spellStart"/>
    <w:r w:rsidRPr="0074037C">
      <w:rPr>
        <w:b/>
        <w:sz w:val="18"/>
      </w:rPr>
      <w:t>Esin</w:t>
    </w:r>
    <w:proofErr w:type="spellEnd"/>
    <w:r w:rsidRPr="0074037C">
      <w:rPr>
        <w:b/>
        <w:sz w:val="18"/>
      </w:rPr>
      <w:t xml:space="preserve"> </w:t>
    </w:r>
    <w:proofErr w:type="spellStart"/>
    <w:r w:rsidRPr="0074037C">
      <w:rPr>
        <w:b/>
        <w:sz w:val="18"/>
      </w:rPr>
      <w:t>construction</w:t>
    </w:r>
    <w:proofErr w:type="spellEnd"/>
    <w:r w:rsidRPr="0074037C">
      <w:rPr>
        <w:b/>
        <w:sz w:val="18"/>
      </w:rPr>
      <w:t>, a.s. Považská Bystrica</w:t>
    </w:r>
  </w:p>
  <w:p w:rsidR="002E7514" w:rsidRPr="00E95128" w:rsidRDefault="002E7514" w:rsidP="000841AB">
    <w:pPr>
      <w:pStyle w:val="Hlavika"/>
      <w:tabs>
        <w:tab w:val="clear" w:pos="4536"/>
        <w:tab w:val="clear" w:pos="9072"/>
        <w:tab w:val="center" w:pos="3969"/>
        <w:tab w:val="right" w:pos="9214"/>
      </w:tabs>
    </w:pPr>
    <w:r>
      <w:rPr>
        <w:sz w:val="18"/>
        <w:szCs w:val="18"/>
      </w:rPr>
      <w:t xml:space="preserve">Poznámky individuálnej účtovnej závierky zostavenej </w:t>
    </w:r>
    <w:r w:rsidRPr="008D6361">
      <w:rPr>
        <w:sz w:val="18"/>
        <w:szCs w:val="18"/>
      </w:rPr>
      <w:t>k</w:t>
    </w:r>
    <w:r>
      <w:rPr>
        <w:b/>
        <w:bCs/>
        <w:sz w:val="18"/>
        <w:szCs w:val="18"/>
      </w:rPr>
      <w:t xml:space="preserve"> </w:t>
    </w:r>
    <w:r w:rsidRPr="0075768F">
      <w:rPr>
        <w:sz w:val="18"/>
        <w:szCs w:val="18"/>
      </w:rPr>
      <w:t>3</w:t>
    </w:r>
    <w:r w:rsidRPr="008D6361">
      <w:rPr>
        <w:sz w:val="18"/>
        <w:szCs w:val="18"/>
      </w:rPr>
      <w:t xml:space="preserve">1. decembru </w:t>
    </w:r>
    <w:r>
      <w:rPr>
        <w:sz w:val="18"/>
        <w:szCs w:val="18"/>
      </w:rPr>
      <w:t>2013</w:t>
    </w:r>
  </w:p>
  <w:p w:rsidR="002E7514" w:rsidRPr="000B24BD" w:rsidRDefault="002E7514" w:rsidP="000B24B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B71293"/>
    <w:multiLevelType w:val="singleLevel"/>
    <w:tmpl w:val="5D2CEDE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>
    <w:nsid w:val="0C5537CD"/>
    <w:multiLevelType w:val="hybridMultilevel"/>
    <w:tmpl w:val="FB08211E"/>
    <w:lvl w:ilvl="0" w:tplc="04090017">
      <w:start w:val="1"/>
      <w:numFmt w:val="lowerLetter"/>
      <w:lvlText w:val="%1)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3">
    <w:nsid w:val="15B444EE"/>
    <w:multiLevelType w:val="singleLevel"/>
    <w:tmpl w:val="36F0DF8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161A1F5E"/>
    <w:multiLevelType w:val="singleLevel"/>
    <w:tmpl w:val="30BE61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651524"/>
    <w:multiLevelType w:val="hybridMultilevel"/>
    <w:tmpl w:val="467C76D0"/>
    <w:lvl w:ilvl="0" w:tplc="9522D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7D1952"/>
    <w:multiLevelType w:val="hybridMultilevel"/>
    <w:tmpl w:val="3A7296C4"/>
    <w:lvl w:ilvl="0" w:tplc="6660CD6E">
      <w:start w:val="1"/>
      <w:numFmt w:val="bullet"/>
      <w:lvlText w:val="–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1D2A1A4E"/>
    <w:multiLevelType w:val="hybridMultilevel"/>
    <w:tmpl w:val="B034514E"/>
    <w:lvl w:ilvl="0" w:tplc="6660CD6E">
      <w:start w:val="1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4480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</w:abstractNum>
  <w:abstractNum w:abstractNumId="9">
    <w:nsid w:val="36BE61C3"/>
    <w:multiLevelType w:val="multilevel"/>
    <w:tmpl w:val="16D2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74114"/>
    <w:multiLevelType w:val="hybridMultilevel"/>
    <w:tmpl w:val="D99AA040"/>
    <w:lvl w:ilvl="0" w:tplc="6660CD6E">
      <w:start w:val="1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1">
    <w:nsid w:val="4B596193"/>
    <w:multiLevelType w:val="singleLevel"/>
    <w:tmpl w:val="4D7E4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E6D003C"/>
    <w:multiLevelType w:val="hybridMultilevel"/>
    <w:tmpl w:val="97BC9530"/>
    <w:lvl w:ilvl="0" w:tplc="7DBC2E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0EF4F18"/>
    <w:multiLevelType w:val="hybridMultilevel"/>
    <w:tmpl w:val="5F1E8288"/>
    <w:lvl w:ilvl="0" w:tplc="B560C530">
      <w:start w:val="2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73C13"/>
    <w:multiLevelType w:val="singleLevel"/>
    <w:tmpl w:val="2A50B936"/>
    <w:lvl w:ilvl="0">
      <w:start w:val="1"/>
      <w:numFmt w:val="upperLetter"/>
      <w:pStyle w:val="Nadpis1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15">
    <w:nsid w:val="74B22D21"/>
    <w:multiLevelType w:val="hybridMultilevel"/>
    <w:tmpl w:val="FFB42D56"/>
    <w:lvl w:ilvl="0" w:tplc="A6CEDE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CD316A"/>
    <w:multiLevelType w:val="singleLevel"/>
    <w:tmpl w:val="28081C9C"/>
    <w:lvl w:ilvl="0">
      <w:start w:val="1"/>
      <w:numFmt w:val="lowerLetter"/>
      <w:pStyle w:val="Pismenka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D8531CC"/>
    <w:multiLevelType w:val="hybridMultilevel"/>
    <w:tmpl w:val="52AE7564"/>
    <w:lvl w:ilvl="0" w:tplc="6660CD6E">
      <w:start w:val="1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16"/>
  </w:num>
  <w:num w:numId="8">
    <w:abstractNumId w:val="2"/>
  </w:num>
  <w:num w:numId="9">
    <w:abstractNumId w:val="9"/>
  </w:num>
  <w:num w:numId="10">
    <w:abstractNumId w:val="9"/>
  </w:num>
  <w:num w:numId="11">
    <w:abstractNumId w:val="3"/>
  </w:num>
  <w:num w:numId="12">
    <w:abstractNumId w:val="9"/>
  </w:num>
  <w:num w:numId="13">
    <w:abstractNumId w:val="9"/>
  </w:num>
  <w:num w:numId="14">
    <w:abstractNumId w:val="4"/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"/>
  </w:num>
  <w:num w:numId="20">
    <w:abstractNumId w:val="9"/>
    <w:lvlOverride w:ilvl="0">
      <w:startOverride w:val="1"/>
    </w:lvlOverride>
  </w:num>
  <w:num w:numId="21">
    <w:abstractNumId w:val="10"/>
  </w:num>
  <w:num w:numId="22">
    <w:abstractNumId w:val="7"/>
  </w:num>
  <w:num w:numId="23">
    <w:abstractNumId w:val="6"/>
  </w:num>
  <w:num w:numId="24">
    <w:abstractNumId w:val="17"/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8"/>
    <w:lvlOverride w:ilvl="0">
      <w:startOverride w:val="1"/>
    </w:lvlOverride>
  </w:num>
  <w:num w:numId="35">
    <w:abstractNumId w:val="9"/>
  </w:num>
  <w:num w:numId="36">
    <w:abstractNumId w:val="9"/>
  </w:num>
  <w:num w:numId="37">
    <w:abstractNumId w:val="5"/>
  </w:num>
  <w:num w:numId="38">
    <w:abstractNumId w:val="13"/>
  </w:num>
  <w:num w:numId="39">
    <w:abstractNumId w:val="1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28"/>
    <w:rsid w:val="0000290B"/>
    <w:rsid w:val="00002921"/>
    <w:rsid w:val="00003C63"/>
    <w:rsid w:val="000040F5"/>
    <w:rsid w:val="00005FE9"/>
    <w:rsid w:val="00006513"/>
    <w:rsid w:val="0000696D"/>
    <w:rsid w:val="00006F02"/>
    <w:rsid w:val="00010822"/>
    <w:rsid w:val="00010C2A"/>
    <w:rsid w:val="00015257"/>
    <w:rsid w:val="00017791"/>
    <w:rsid w:val="000331E6"/>
    <w:rsid w:val="000422E9"/>
    <w:rsid w:val="00042561"/>
    <w:rsid w:val="00045A17"/>
    <w:rsid w:val="000470EC"/>
    <w:rsid w:val="00052495"/>
    <w:rsid w:val="00062334"/>
    <w:rsid w:val="000658BA"/>
    <w:rsid w:val="00073853"/>
    <w:rsid w:val="000738DF"/>
    <w:rsid w:val="00075B41"/>
    <w:rsid w:val="00076486"/>
    <w:rsid w:val="00082DB2"/>
    <w:rsid w:val="000841AB"/>
    <w:rsid w:val="0008425B"/>
    <w:rsid w:val="00085A3A"/>
    <w:rsid w:val="00086A82"/>
    <w:rsid w:val="00086DAC"/>
    <w:rsid w:val="00092C39"/>
    <w:rsid w:val="00093CC4"/>
    <w:rsid w:val="000965D0"/>
    <w:rsid w:val="000A1BBA"/>
    <w:rsid w:val="000A6FBA"/>
    <w:rsid w:val="000A7459"/>
    <w:rsid w:val="000B24BD"/>
    <w:rsid w:val="000B4629"/>
    <w:rsid w:val="000B5186"/>
    <w:rsid w:val="000B6195"/>
    <w:rsid w:val="000C2309"/>
    <w:rsid w:val="000C2D66"/>
    <w:rsid w:val="000C447C"/>
    <w:rsid w:val="000C68B3"/>
    <w:rsid w:val="000D22FF"/>
    <w:rsid w:val="000D3972"/>
    <w:rsid w:val="000D596C"/>
    <w:rsid w:val="000D651A"/>
    <w:rsid w:val="000D6991"/>
    <w:rsid w:val="000E2D70"/>
    <w:rsid w:val="000E58D9"/>
    <w:rsid w:val="000E6FA7"/>
    <w:rsid w:val="000F1306"/>
    <w:rsid w:val="000F27A2"/>
    <w:rsid w:val="000F40C4"/>
    <w:rsid w:val="000F5666"/>
    <w:rsid w:val="00102C1A"/>
    <w:rsid w:val="00103B71"/>
    <w:rsid w:val="00111909"/>
    <w:rsid w:val="00111AC6"/>
    <w:rsid w:val="00120F3A"/>
    <w:rsid w:val="0012117D"/>
    <w:rsid w:val="00127D9C"/>
    <w:rsid w:val="00130021"/>
    <w:rsid w:val="00133060"/>
    <w:rsid w:val="00136273"/>
    <w:rsid w:val="00136A4A"/>
    <w:rsid w:val="00141691"/>
    <w:rsid w:val="00141832"/>
    <w:rsid w:val="00142DDE"/>
    <w:rsid w:val="001438AC"/>
    <w:rsid w:val="0014486E"/>
    <w:rsid w:val="00146904"/>
    <w:rsid w:val="00147FB3"/>
    <w:rsid w:val="0015039D"/>
    <w:rsid w:val="00156231"/>
    <w:rsid w:val="0015674B"/>
    <w:rsid w:val="0015718F"/>
    <w:rsid w:val="00160AAA"/>
    <w:rsid w:val="001620BA"/>
    <w:rsid w:val="00166BBC"/>
    <w:rsid w:val="001712A8"/>
    <w:rsid w:val="00172200"/>
    <w:rsid w:val="0017267A"/>
    <w:rsid w:val="001733C5"/>
    <w:rsid w:val="00177051"/>
    <w:rsid w:val="00177C59"/>
    <w:rsid w:val="0019031F"/>
    <w:rsid w:val="00190476"/>
    <w:rsid w:val="0019322A"/>
    <w:rsid w:val="00193EE6"/>
    <w:rsid w:val="001A0125"/>
    <w:rsid w:val="001A1C39"/>
    <w:rsid w:val="001A566C"/>
    <w:rsid w:val="001A7CD7"/>
    <w:rsid w:val="001B0B3B"/>
    <w:rsid w:val="001B1DFF"/>
    <w:rsid w:val="001B2010"/>
    <w:rsid w:val="001B5156"/>
    <w:rsid w:val="001B5855"/>
    <w:rsid w:val="001C0A6A"/>
    <w:rsid w:val="001C100B"/>
    <w:rsid w:val="001C3468"/>
    <w:rsid w:val="001D06F0"/>
    <w:rsid w:val="001D181E"/>
    <w:rsid w:val="001D3DCB"/>
    <w:rsid w:val="001D4E8A"/>
    <w:rsid w:val="001D507C"/>
    <w:rsid w:val="001D6D41"/>
    <w:rsid w:val="001E03E6"/>
    <w:rsid w:val="001E3EC9"/>
    <w:rsid w:val="001E7DAF"/>
    <w:rsid w:val="001F338B"/>
    <w:rsid w:val="00203408"/>
    <w:rsid w:val="002046DD"/>
    <w:rsid w:val="002130D8"/>
    <w:rsid w:val="0021533B"/>
    <w:rsid w:val="00216E9E"/>
    <w:rsid w:val="0021757D"/>
    <w:rsid w:val="00217E76"/>
    <w:rsid w:val="00225398"/>
    <w:rsid w:val="00226627"/>
    <w:rsid w:val="002304B6"/>
    <w:rsid w:val="00232EA9"/>
    <w:rsid w:val="00235BF4"/>
    <w:rsid w:val="002418D5"/>
    <w:rsid w:val="00241B9C"/>
    <w:rsid w:val="00243749"/>
    <w:rsid w:val="00251BF2"/>
    <w:rsid w:val="002529FB"/>
    <w:rsid w:val="00254418"/>
    <w:rsid w:val="0025662A"/>
    <w:rsid w:val="00260C4C"/>
    <w:rsid w:val="00262CD4"/>
    <w:rsid w:val="0027298D"/>
    <w:rsid w:val="00280D5B"/>
    <w:rsid w:val="00283139"/>
    <w:rsid w:val="00286A3D"/>
    <w:rsid w:val="002870BE"/>
    <w:rsid w:val="002873AF"/>
    <w:rsid w:val="00290759"/>
    <w:rsid w:val="00290A84"/>
    <w:rsid w:val="00293F8F"/>
    <w:rsid w:val="002940BE"/>
    <w:rsid w:val="00294BAE"/>
    <w:rsid w:val="002977CC"/>
    <w:rsid w:val="002A264B"/>
    <w:rsid w:val="002A4429"/>
    <w:rsid w:val="002A7CDF"/>
    <w:rsid w:val="002B2E36"/>
    <w:rsid w:val="002C4A78"/>
    <w:rsid w:val="002C4FAC"/>
    <w:rsid w:val="002D4AEE"/>
    <w:rsid w:val="002D5554"/>
    <w:rsid w:val="002D69FB"/>
    <w:rsid w:val="002D74E8"/>
    <w:rsid w:val="002E0E7B"/>
    <w:rsid w:val="002E35FC"/>
    <w:rsid w:val="002E7514"/>
    <w:rsid w:val="002E7D1F"/>
    <w:rsid w:val="002F05C7"/>
    <w:rsid w:val="002F0CB1"/>
    <w:rsid w:val="002F3C09"/>
    <w:rsid w:val="002F5513"/>
    <w:rsid w:val="002F626C"/>
    <w:rsid w:val="002F770F"/>
    <w:rsid w:val="00301031"/>
    <w:rsid w:val="00301C73"/>
    <w:rsid w:val="00307540"/>
    <w:rsid w:val="003147AA"/>
    <w:rsid w:val="0031677C"/>
    <w:rsid w:val="003248F5"/>
    <w:rsid w:val="003308EF"/>
    <w:rsid w:val="00330E16"/>
    <w:rsid w:val="00331FD6"/>
    <w:rsid w:val="00335C04"/>
    <w:rsid w:val="0034119B"/>
    <w:rsid w:val="00342E08"/>
    <w:rsid w:val="003434C5"/>
    <w:rsid w:val="0035298E"/>
    <w:rsid w:val="0036502B"/>
    <w:rsid w:val="00367A6E"/>
    <w:rsid w:val="00370887"/>
    <w:rsid w:val="003738B3"/>
    <w:rsid w:val="00381619"/>
    <w:rsid w:val="00382794"/>
    <w:rsid w:val="0039139C"/>
    <w:rsid w:val="00394162"/>
    <w:rsid w:val="003B591C"/>
    <w:rsid w:val="003B60E9"/>
    <w:rsid w:val="003C3FDF"/>
    <w:rsid w:val="003C6B7B"/>
    <w:rsid w:val="003D140B"/>
    <w:rsid w:val="003D5127"/>
    <w:rsid w:val="003E0FA2"/>
    <w:rsid w:val="003E2643"/>
    <w:rsid w:val="003F28D5"/>
    <w:rsid w:val="004007CA"/>
    <w:rsid w:val="00401F9E"/>
    <w:rsid w:val="004027CF"/>
    <w:rsid w:val="00414240"/>
    <w:rsid w:val="00420D87"/>
    <w:rsid w:val="00423AFA"/>
    <w:rsid w:val="00423EF8"/>
    <w:rsid w:val="00424DDA"/>
    <w:rsid w:val="004262D7"/>
    <w:rsid w:val="00430148"/>
    <w:rsid w:val="004313A2"/>
    <w:rsid w:val="004330B3"/>
    <w:rsid w:val="004409F5"/>
    <w:rsid w:val="00442157"/>
    <w:rsid w:val="00444033"/>
    <w:rsid w:val="00446423"/>
    <w:rsid w:val="0044737A"/>
    <w:rsid w:val="004508CD"/>
    <w:rsid w:val="00452C96"/>
    <w:rsid w:val="0045465E"/>
    <w:rsid w:val="00460337"/>
    <w:rsid w:val="00460A08"/>
    <w:rsid w:val="0046138C"/>
    <w:rsid w:val="00461D2D"/>
    <w:rsid w:val="004645EC"/>
    <w:rsid w:val="00475BDB"/>
    <w:rsid w:val="00483A16"/>
    <w:rsid w:val="00484926"/>
    <w:rsid w:val="00491AF0"/>
    <w:rsid w:val="00491C69"/>
    <w:rsid w:val="00496A4E"/>
    <w:rsid w:val="004A045E"/>
    <w:rsid w:val="004A085B"/>
    <w:rsid w:val="004A4D80"/>
    <w:rsid w:val="004A6C40"/>
    <w:rsid w:val="004B2651"/>
    <w:rsid w:val="004B599A"/>
    <w:rsid w:val="004B69E1"/>
    <w:rsid w:val="004C1C27"/>
    <w:rsid w:val="004C540D"/>
    <w:rsid w:val="004D25F3"/>
    <w:rsid w:val="004D3B14"/>
    <w:rsid w:val="004D3B4A"/>
    <w:rsid w:val="004E0BAA"/>
    <w:rsid w:val="004E1E83"/>
    <w:rsid w:val="004E5EB2"/>
    <w:rsid w:val="00506E0F"/>
    <w:rsid w:val="00507B8B"/>
    <w:rsid w:val="005131C0"/>
    <w:rsid w:val="005138B1"/>
    <w:rsid w:val="00515879"/>
    <w:rsid w:val="00532838"/>
    <w:rsid w:val="00537105"/>
    <w:rsid w:val="00541789"/>
    <w:rsid w:val="00542006"/>
    <w:rsid w:val="0054259E"/>
    <w:rsid w:val="005429D8"/>
    <w:rsid w:val="00545B77"/>
    <w:rsid w:val="0054666C"/>
    <w:rsid w:val="00546BD3"/>
    <w:rsid w:val="0054786F"/>
    <w:rsid w:val="005518EF"/>
    <w:rsid w:val="00553AFB"/>
    <w:rsid w:val="00564448"/>
    <w:rsid w:val="00564B1B"/>
    <w:rsid w:val="00564B72"/>
    <w:rsid w:val="005701E2"/>
    <w:rsid w:val="00570A45"/>
    <w:rsid w:val="005710E9"/>
    <w:rsid w:val="00573E48"/>
    <w:rsid w:val="0057480F"/>
    <w:rsid w:val="0058479C"/>
    <w:rsid w:val="0059061C"/>
    <w:rsid w:val="0059100E"/>
    <w:rsid w:val="00592B74"/>
    <w:rsid w:val="0059381D"/>
    <w:rsid w:val="005A38F9"/>
    <w:rsid w:val="005A51BB"/>
    <w:rsid w:val="005A76F0"/>
    <w:rsid w:val="005A7FDD"/>
    <w:rsid w:val="005B221F"/>
    <w:rsid w:val="005B316E"/>
    <w:rsid w:val="005B4970"/>
    <w:rsid w:val="005B508D"/>
    <w:rsid w:val="005C50FC"/>
    <w:rsid w:val="005C6657"/>
    <w:rsid w:val="005D25E4"/>
    <w:rsid w:val="005D2A89"/>
    <w:rsid w:val="005D4842"/>
    <w:rsid w:val="005D614C"/>
    <w:rsid w:val="005E09B4"/>
    <w:rsid w:val="005E1EC2"/>
    <w:rsid w:val="005F142E"/>
    <w:rsid w:val="005F2BC8"/>
    <w:rsid w:val="005F5D4F"/>
    <w:rsid w:val="005F6E8B"/>
    <w:rsid w:val="005F7ED1"/>
    <w:rsid w:val="005F7FDE"/>
    <w:rsid w:val="0060236A"/>
    <w:rsid w:val="00603EFB"/>
    <w:rsid w:val="006069D3"/>
    <w:rsid w:val="006115CB"/>
    <w:rsid w:val="006172DD"/>
    <w:rsid w:val="00620ACD"/>
    <w:rsid w:val="00627B6C"/>
    <w:rsid w:val="00630386"/>
    <w:rsid w:val="006339DC"/>
    <w:rsid w:val="0063468E"/>
    <w:rsid w:val="00635C99"/>
    <w:rsid w:val="006407DE"/>
    <w:rsid w:val="00641554"/>
    <w:rsid w:val="0064520D"/>
    <w:rsid w:val="00646625"/>
    <w:rsid w:val="00646ABF"/>
    <w:rsid w:val="006510AA"/>
    <w:rsid w:val="00651689"/>
    <w:rsid w:val="006573D4"/>
    <w:rsid w:val="006575EA"/>
    <w:rsid w:val="00662C25"/>
    <w:rsid w:val="0066618F"/>
    <w:rsid w:val="0067034D"/>
    <w:rsid w:val="00671BB4"/>
    <w:rsid w:val="006750FE"/>
    <w:rsid w:val="0068537D"/>
    <w:rsid w:val="00694931"/>
    <w:rsid w:val="00695884"/>
    <w:rsid w:val="00695BAF"/>
    <w:rsid w:val="00697F7C"/>
    <w:rsid w:val="006A15E1"/>
    <w:rsid w:val="006A238E"/>
    <w:rsid w:val="006A3C75"/>
    <w:rsid w:val="006A737C"/>
    <w:rsid w:val="006B25A2"/>
    <w:rsid w:val="006C27AA"/>
    <w:rsid w:val="006D36EA"/>
    <w:rsid w:val="006D3D0B"/>
    <w:rsid w:val="006D7585"/>
    <w:rsid w:val="006E1F26"/>
    <w:rsid w:val="006E554A"/>
    <w:rsid w:val="006F28DA"/>
    <w:rsid w:val="006F5DAB"/>
    <w:rsid w:val="00701F03"/>
    <w:rsid w:val="00703344"/>
    <w:rsid w:val="00706910"/>
    <w:rsid w:val="007069BA"/>
    <w:rsid w:val="00712053"/>
    <w:rsid w:val="007120FB"/>
    <w:rsid w:val="00714597"/>
    <w:rsid w:val="007178FA"/>
    <w:rsid w:val="0072193A"/>
    <w:rsid w:val="0072695D"/>
    <w:rsid w:val="00726991"/>
    <w:rsid w:val="007401D6"/>
    <w:rsid w:val="0074037C"/>
    <w:rsid w:val="00741092"/>
    <w:rsid w:val="007414AB"/>
    <w:rsid w:val="007419C1"/>
    <w:rsid w:val="00742680"/>
    <w:rsid w:val="00746C9E"/>
    <w:rsid w:val="00750259"/>
    <w:rsid w:val="007508D8"/>
    <w:rsid w:val="0075139D"/>
    <w:rsid w:val="0075354A"/>
    <w:rsid w:val="00763BF6"/>
    <w:rsid w:val="007658EA"/>
    <w:rsid w:val="00770A70"/>
    <w:rsid w:val="0077399F"/>
    <w:rsid w:val="00777324"/>
    <w:rsid w:val="0078754C"/>
    <w:rsid w:val="007902B7"/>
    <w:rsid w:val="0079191F"/>
    <w:rsid w:val="007A005F"/>
    <w:rsid w:val="007A1781"/>
    <w:rsid w:val="007A34F0"/>
    <w:rsid w:val="007A491D"/>
    <w:rsid w:val="007B0970"/>
    <w:rsid w:val="007B17A7"/>
    <w:rsid w:val="007B2031"/>
    <w:rsid w:val="007B2E7A"/>
    <w:rsid w:val="007B314C"/>
    <w:rsid w:val="007B3A69"/>
    <w:rsid w:val="007C3B50"/>
    <w:rsid w:val="007C599F"/>
    <w:rsid w:val="007C59E3"/>
    <w:rsid w:val="007D3E38"/>
    <w:rsid w:val="007D6502"/>
    <w:rsid w:val="007D6908"/>
    <w:rsid w:val="007E093E"/>
    <w:rsid w:val="007E47FA"/>
    <w:rsid w:val="007E4E9F"/>
    <w:rsid w:val="007F0FB7"/>
    <w:rsid w:val="007F4606"/>
    <w:rsid w:val="0080548E"/>
    <w:rsid w:val="00806EE2"/>
    <w:rsid w:val="00815894"/>
    <w:rsid w:val="00815A32"/>
    <w:rsid w:val="008230B2"/>
    <w:rsid w:val="008323FB"/>
    <w:rsid w:val="0083467A"/>
    <w:rsid w:val="00837237"/>
    <w:rsid w:val="00837F3B"/>
    <w:rsid w:val="008418C1"/>
    <w:rsid w:val="008543BA"/>
    <w:rsid w:val="00857559"/>
    <w:rsid w:val="00861749"/>
    <w:rsid w:val="008648B4"/>
    <w:rsid w:val="00864CBA"/>
    <w:rsid w:val="008669C1"/>
    <w:rsid w:val="00874443"/>
    <w:rsid w:val="008840B7"/>
    <w:rsid w:val="00887683"/>
    <w:rsid w:val="00887C84"/>
    <w:rsid w:val="0089652C"/>
    <w:rsid w:val="008A15DD"/>
    <w:rsid w:val="008A2D79"/>
    <w:rsid w:val="008A6028"/>
    <w:rsid w:val="008A6D28"/>
    <w:rsid w:val="008B1B02"/>
    <w:rsid w:val="008B1B50"/>
    <w:rsid w:val="008B206F"/>
    <w:rsid w:val="008B6694"/>
    <w:rsid w:val="008C50C5"/>
    <w:rsid w:val="008C5CEB"/>
    <w:rsid w:val="008D0944"/>
    <w:rsid w:val="008D2F11"/>
    <w:rsid w:val="008D7145"/>
    <w:rsid w:val="008E04AE"/>
    <w:rsid w:val="008E68A4"/>
    <w:rsid w:val="008F0030"/>
    <w:rsid w:val="008F2360"/>
    <w:rsid w:val="00900696"/>
    <w:rsid w:val="0090078A"/>
    <w:rsid w:val="0090101B"/>
    <w:rsid w:val="00920573"/>
    <w:rsid w:val="009226CD"/>
    <w:rsid w:val="009441EB"/>
    <w:rsid w:val="00945069"/>
    <w:rsid w:val="009458E0"/>
    <w:rsid w:val="0095003F"/>
    <w:rsid w:val="00954399"/>
    <w:rsid w:val="009575B9"/>
    <w:rsid w:val="009738C3"/>
    <w:rsid w:val="009743BF"/>
    <w:rsid w:val="00975F32"/>
    <w:rsid w:val="0097669A"/>
    <w:rsid w:val="0098136C"/>
    <w:rsid w:val="00982284"/>
    <w:rsid w:val="00984C7E"/>
    <w:rsid w:val="0098537D"/>
    <w:rsid w:val="00985D23"/>
    <w:rsid w:val="0098647C"/>
    <w:rsid w:val="00991C72"/>
    <w:rsid w:val="009B2F9D"/>
    <w:rsid w:val="009B60B7"/>
    <w:rsid w:val="009B7785"/>
    <w:rsid w:val="009C5BD9"/>
    <w:rsid w:val="009D02E9"/>
    <w:rsid w:val="009D0700"/>
    <w:rsid w:val="009D2ECF"/>
    <w:rsid w:val="009D6837"/>
    <w:rsid w:val="009E11E3"/>
    <w:rsid w:val="009E16EA"/>
    <w:rsid w:val="009E6F45"/>
    <w:rsid w:val="009F614A"/>
    <w:rsid w:val="009F6927"/>
    <w:rsid w:val="00A02942"/>
    <w:rsid w:val="00A05FBA"/>
    <w:rsid w:val="00A07873"/>
    <w:rsid w:val="00A13E99"/>
    <w:rsid w:val="00A2012A"/>
    <w:rsid w:val="00A25722"/>
    <w:rsid w:val="00A26359"/>
    <w:rsid w:val="00A31895"/>
    <w:rsid w:val="00A31DFF"/>
    <w:rsid w:val="00A32253"/>
    <w:rsid w:val="00A37CA9"/>
    <w:rsid w:val="00A43E8C"/>
    <w:rsid w:val="00A55061"/>
    <w:rsid w:val="00A5618F"/>
    <w:rsid w:val="00A628AE"/>
    <w:rsid w:val="00A639F4"/>
    <w:rsid w:val="00A70B8E"/>
    <w:rsid w:val="00A7144F"/>
    <w:rsid w:val="00A72805"/>
    <w:rsid w:val="00A73577"/>
    <w:rsid w:val="00A74353"/>
    <w:rsid w:val="00A8108C"/>
    <w:rsid w:val="00A9048F"/>
    <w:rsid w:val="00A947C7"/>
    <w:rsid w:val="00A95312"/>
    <w:rsid w:val="00A96E74"/>
    <w:rsid w:val="00AB3FDB"/>
    <w:rsid w:val="00AB572C"/>
    <w:rsid w:val="00AB6B04"/>
    <w:rsid w:val="00AC12B2"/>
    <w:rsid w:val="00AD4FCA"/>
    <w:rsid w:val="00AD6758"/>
    <w:rsid w:val="00AE6CDD"/>
    <w:rsid w:val="00B0259E"/>
    <w:rsid w:val="00B034AB"/>
    <w:rsid w:val="00B03577"/>
    <w:rsid w:val="00B0368E"/>
    <w:rsid w:val="00B0596B"/>
    <w:rsid w:val="00B05C43"/>
    <w:rsid w:val="00B11E93"/>
    <w:rsid w:val="00B12204"/>
    <w:rsid w:val="00B12629"/>
    <w:rsid w:val="00B146E6"/>
    <w:rsid w:val="00B345EE"/>
    <w:rsid w:val="00B417EF"/>
    <w:rsid w:val="00B54C7E"/>
    <w:rsid w:val="00B55A09"/>
    <w:rsid w:val="00B564FF"/>
    <w:rsid w:val="00B6076C"/>
    <w:rsid w:val="00B63001"/>
    <w:rsid w:val="00B6604E"/>
    <w:rsid w:val="00B67573"/>
    <w:rsid w:val="00B71C86"/>
    <w:rsid w:val="00B72C1D"/>
    <w:rsid w:val="00B765D9"/>
    <w:rsid w:val="00B77494"/>
    <w:rsid w:val="00B80383"/>
    <w:rsid w:val="00B825EB"/>
    <w:rsid w:val="00B84670"/>
    <w:rsid w:val="00B84860"/>
    <w:rsid w:val="00B96BFB"/>
    <w:rsid w:val="00BA11AF"/>
    <w:rsid w:val="00BA3FB7"/>
    <w:rsid w:val="00BB218F"/>
    <w:rsid w:val="00BB2336"/>
    <w:rsid w:val="00BC09C5"/>
    <w:rsid w:val="00BC4330"/>
    <w:rsid w:val="00BC631F"/>
    <w:rsid w:val="00BD1087"/>
    <w:rsid w:val="00BD48D8"/>
    <w:rsid w:val="00BE075E"/>
    <w:rsid w:val="00BF2DF7"/>
    <w:rsid w:val="00BF5CA9"/>
    <w:rsid w:val="00BF6A70"/>
    <w:rsid w:val="00C0257D"/>
    <w:rsid w:val="00C02C96"/>
    <w:rsid w:val="00C03840"/>
    <w:rsid w:val="00C03B46"/>
    <w:rsid w:val="00C12F2A"/>
    <w:rsid w:val="00C13216"/>
    <w:rsid w:val="00C13A22"/>
    <w:rsid w:val="00C140D5"/>
    <w:rsid w:val="00C14467"/>
    <w:rsid w:val="00C22B63"/>
    <w:rsid w:val="00C22C68"/>
    <w:rsid w:val="00C235CB"/>
    <w:rsid w:val="00C24B6B"/>
    <w:rsid w:val="00C3442F"/>
    <w:rsid w:val="00C44120"/>
    <w:rsid w:val="00C44B4D"/>
    <w:rsid w:val="00C459DC"/>
    <w:rsid w:val="00C460D7"/>
    <w:rsid w:val="00C520AC"/>
    <w:rsid w:val="00C568EF"/>
    <w:rsid w:val="00C575CA"/>
    <w:rsid w:val="00C627AD"/>
    <w:rsid w:val="00C62D84"/>
    <w:rsid w:val="00C672BA"/>
    <w:rsid w:val="00C712A3"/>
    <w:rsid w:val="00C730D3"/>
    <w:rsid w:val="00C76D6A"/>
    <w:rsid w:val="00C77A3D"/>
    <w:rsid w:val="00C83FF3"/>
    <w:rsid w:val="00C94FB8"/>
    <w:rsid w:val="00CA0147"/>
    <w:rsid w:val="00CA1CFF"/>
    <w:rsid w:val="00CA441D"/>
    <w:rsid w:val="00CB0CD3"/>
    <w:rsid w:val="00CB3140"/>
    <w:rsid w:val="00CC153E"/>
    <w:rsid w:val="00CC331B"/>
    <w:rsid w:val="00CC3798"/>
    <w:rsid w:val="00CC3C49"/>
    <w:rsid w:val="00CD3A8A"/>
    <w:rsid w:val="00CD4F6B"/>
    <w:rsid w:val="00CE279A"/>
    <w:rsid w:val="00CE612B"/>
    <w:rsid w:val="00CF0A76"/>
    <w:rsid w:val="00CF2329"/>
    <w:rsid w:val="00CF2FC7"/>
    <w:rsid w:val="00CF65BD"/>
    <w:rsid w:val="00CF7C4C"/>
    <w:rsid w:val="00D02B99"/>
    <w:rsid w:val="00D03596"/>
    <w:rsid w:val="00D04670"/>
    <w:rsid w:val="00D04D91"/>
    <w:rsid w:val="00D11549"/>
    <w:rsid w:val="00D12699"/>
    <w:rsid w:val="00D17747"/>
    <w:rsid w:val="00D21626"/>
    <w:rsid w:val="00D24870"/>
    <w:rsid w:val="00D25902"/>
    <w:rsid w:val="00D26F39"/>
    <w:rsid w:val="00D276C2"/>
    <w:rsid w:val="00D34932"/>
    <w:rsid w:val="00D36293"/>
    <w:rsid w:val="00D422DB"/>
    <w:rsid w:val="00D4302D"/>
    <w:rsid w:val="00D4583E"/>
    <w:rsid w:val="00D4614E"/>
    <w:rsid w:val="00D479F5"/>
    <w:rsid w:val="00D50F39"/>
    <w:rsid w:val="00D529F9"/>
    <w:rsid w:val="00D54563"/>
    <w:rsid w:val="00D551EB"/>
    <w:rsid w:val="00D67E81"/>
    <w:rsid w:val="00D72087"/>
    <w:rsid w:val="00D75116"/>
    <w:rsid w:val="00D75C9B"/>
    <w:rsid w:val="00D82257"/>
    <w:rsid w:val="00D90AF1"/>
    <w:rsid w:val="00D91BEC"/>
    <w:rsid w:val="00D933FB"/>
    <w:rsid w:val="00DA2806"/>
    <w:rsid w:val="00DB1FDB"/>
    <w:rsid w:val="00DB4820"/>
    <w:rsid w:val="00DB4BB7"/>
    <w:rsid w:val="00DB6255"/>
    <w:rsid w:val="00DB65D6"/>
    <w:rsid w:val="00DC2A64"/>
    <w:rsid w:val="00DC68C3"/>
    <w:rsid w:val="00DD1F6D"/>
    <w:rsid w:val="00DD23C0"/>
    <w:rsid w:val="00DE16DE"/>
    <w:rsid w:val="00DE1D1A"/>
    <w:rsid w:val="00DE28E7"/>
    <w:rsid w:val="00DE358C"/>
    <w:rsid w:val="00DE5898"/>
    <w:rsid w:val="00DE7236"/>
    <w:rsid w:val="00DF7C79"/>
    <w:rsid w:val="00E047FD"/>
    <w:rsid w:val="00E05C10"/>
    <w:rsid w:val="00E11574"/>
    <w:rsid w:val="00E122FF"/>
    <w:rsid w:val="00E1390D"/>
    <w:rsid w:val="00E1728C"/>
    <w:rsid w:val="00E231BA"/>
    <w:rsid w:val="00E2794A"/>
    <w:rsid w:val="00E34DCA"/>
    <w:rsid w:val="00E34E5E"/>
    <w:rsid w:val="00E36094"/>
    <w:rsid w:val="00E3652A"/>
    <w:rsid w:val="00E41F3F"/>
    <w:rsid w:val="00E43639"/>
    <w:rsid w:val="00E47A52"/>
    <w:rsid w:val="00E56466"/>
    <w:rsid w:val="00E5726F"/>
    <w:rsid w:val="00E626B1"/>
    <w:rsid w:val="00E627BF"/>
    <w:rsid w:val="00E72C65"/>
    <w:rsid w:val="00E73A00"/>
    <w:rsid w:val="00E7672A"/>
    <w:rsid w:val="00E77BCF"/>
    <w:rsid w:val="00E80605"/>
    <w:rsid w:val="00E81BCF"/>
    <w:rsid w:val="00E83FA9"/>
    <w:rsid w:val="00E86F70"/>
    <w:rsid w:val="00E95128"/>
    <w:rsid w:val="00EA4742"/>
    <w:rsid w:val="00EA7B8D"/>
    <w:rsid w:val="00EB0931"/>
    <w:rsid w:val="00EB09A3"/>
    <w:rsid w:val="00EB66CD"/>
    <w:rsid w:val="00EC0820"/>
    <w:rsid w:val="00ED1E98"/>
    <w:rsid w:val="00ED37A1"/>
    <w:rsid w:val="00ED5F95"/>
    <w:rsid w:val="00ED67D4"/>
    <w:rsid w:val="00EE0C97"/>
    <w:rsid w:val="00EE0E21"/>
    <w:rsid w:val="00EE3020"/>
    <w:rsid w:val="00EF0B01"/>
    <w:rsid w:val="00EF34AE"/>
    <w:rsid w:val="00EF4E72"/>
    <w:rsid w:val="00EF688C"/>
    <w:rsid w:val="00F10E0E"/>
    <w:rsid w:val="00F150F1"/>
    <w:rsid w:val="00F16F26"/>
    <w:rsid w:val="00F20205"/>
    <w:rsid w:val="00F27004"/>
    <w:rsid w:val="00F4385F"/>
    <w:rsid w:val="00F501FB"/>
    <w:rsid w:val="00F54864"/>
    <w:rsid w:val="00F55A35"/>
    <w:rsid w:val="00F62CFB"/>
    <w:rsid w:val="00F64981"/>
    <w:rsid w:val="00F709E2"/>
    <w:rsid w:val="00F70C00"/>
    <w:rsid w:val="00F71552"/>
    <w:rsid w:val="00F75DF5"/>
    <w:rsid w:val="00F802C8"/>
    <w:rsid w:val="00F838BE"/>
    <w:rsid w:val="00F83A95"/>
    <w:rsid w:val="00F865E8"/>
    <w:rsid w:val="00F9023E"/>
    <w:rsid w:val="00F91913"/>
    <w:rsid w:val="00F9359C"/>
    <w:rsid w:val="00F94AB6"/>
    <w:rsid w:val="00F9506A"/>
    <w:rsid w:val="00FA1EF8"/>
    <w:rsid w:val="00FA2A9D"/>
    <w:rsid w:val="00FA6ADD"/>
    <w:rsid w:val="00FA6C5D"/>
    <w:rsid w:val="00FA6D0F"/>
    <w:rsid w:val="00FB1D2B"/>
    <w:rsid w:val="00FC5F66"/>
    <w:rsid w:val="00FC6390"/>
    <w:rsid w:val="00FD44E7"/>
    <w:rsid w:val="00FD4736"/>
    <w:rsid w:val="00FE0172"/>
    <w:rsid w:val="00FE02B0"/>
    <w:rsid w:val="00FE0C6E"/>
    <w:rsid w:val="00FE2CC6"/>
    <w:rsid w:val="00FE3AB4"/>
    <w:rsid w:val="00FE7D62"/>
    <w:rsid w:val="00FF3376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E95128"/>
    <w:pPr>
      <w:keepNext/>
      <w:numPr>
        <w:numId w:val="1"/>
      </w:numPr>
      <w:outlineLvl w:val="0"/>
    </w:pPr>
    <w:rPr>
      <w:b/>
      <w:caps/>
      <w:sz w:val="18"/>
    </w:rPr>
  </w:style>
  <w:style w:type="paragraph" w:styleId="Nadpis2">
    <w:name w:val="heading 2"/>
    <w:basedOn w:val="Normlny"/>
    <w:next w:val="Normlny"/>
    <w:link w:val="Nadpis2Char"/>
    <w:qFormat/>
    <w:rsid w:val="00E95128"/>
    <w:pPr>
      <w:keepNext/>
      <w:numPr>
        <w:numId w:val="38"/>
      </w:numPr>
      <w:outlineLvl w:val="1"/>
    </w:pPr>
    <w:rPr>
      <w:b/>
      <w:sz w:val="18"/>
    </w:rPr>
  </w:style>
  <w:style w:type="paragraph" w:styleId="Nadpis6">
    <w:name w:val="heading 6"/>
    <w:basedOn w:val="Normlny"/>
    <w:next w:val="Normlny"/>
    <w:link w:val="Nadpis6Char"/>
    <w:qFormat/>
    <w:rsid w:val="00E95128"/>
    <w:pPr>
      <w:keepNext/>
      <w:outlineLvl w:val="5"/>
    </w:pPr>
    <w:rPr>
      <w:b/>
      <w:caps/>
      <w:sz w:val="3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0F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95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E95128"/>
  </w:style>
  <w:style w:type="paragraph" w:styleId="Pta">
    <w:name w:val="footer"/>
    <w:basedOn w:val="Normlny"/>
    <w:link w:val="PtaChar"/>
    <w:unhideWhenUsed/>
    <w:rsid w:val="00E95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95128"/>
  </w:style>
  <w:style w:type="character" w:styleId="slostrany">
    <w:name w:val="page number"/>
    <w:basedOn w:val="Predvolenpsmoodseku"/>
    <w:rsid w:val="00E95128"/>
    <w:rPr>
      <w:rFonts w:cs="Times New Roman"/>
    </w:rPr>
  </w:style>
  <w:style w:type="character" w:customStyle="1" w:styleId="Nadpis1Char">
    <w:name w:val="Nadpis 1 Char"/>
    <w:basedOn w:val="Predvolenpsmoodseku"/>
    <w:link w:val="Nadpis1"/>
    <w:rsid w:val="00E95128"/>
    <w:rPr>
      <w:rFonts w:ascii="Times New Roman" w:eastAsia="Times New Roman" w:hAnsi="Times New Roman" w:cs="Times New Roman"/>
      <w:b/>
      <w:caps/>
      <w:sz w:val="18"/>
      <w:szCs w:val="20"/>
    </w:rPr>
  </w:style>
  <w:style w:type="character" w:customStyle="1" w:styleId="Nadpis2Char">
    <w:name w:val="Nadpis 2 Char"/>
    <w:basedOn w:val="Predvolenpsmoodseku"/>
    <w:link w:val="Nadpis2"/>
    <w:rsid w:val="00E9512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6Char">
    <w:name w:val="Nadpis 6 Char"/>
    <w:basedOn w:val="Predvolenpsmoodseku"/>
    <w:link w:val="Nadpis6"/>
    <w:rsid w:val="00E9512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Zkladntext">
    <w:name w:val="Body Text"/>
    <w:basedOn w:val="Normlny"/>
    <w:link w:val="ZkladntextChar"/>
    <w:rsid w:val="00E95128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E95128"/>
    <w:rPr>
      <w:rFonts w:ascii="Times New Roman" w:eastAsia="Times New Roman" w:hAnsi="Times New Roman" w:cs="Times New Roman"/>
      <w:sz w:val="18"/>
      <w:szCs w:val="20"/>
    </w:rPr>
  </w:style>
  <w:style w:type="paragraph" w:customStyle="1" w:styleId="Uvod">
    <w:name w:val="Uvod"/>
    <w:basedOn w:val="Normlny"/>
    <w:rsid w:val="00E95128"/>
    <w:pPr>
      <w:ind w:left="284" w:hanging="284"/>
      <w:jc w:val="both"/>
    </w:pPr>
    <w:rPr>
      <w:sz w:val="22"/>
    </w:rPr>
  </w:style>
  <w:style w:type="character" w:styleId="Odkaznapoznmkupodiarou">
    <w:name w:val="footnote reference"/>
    <w:basedOn w:val="Predvolenpsmoodseku"/>
    <w:semiHidden/>
    <w:rsid w:val="00E95128"/>
    <w:rPr>
      <w:rFonts w:cs="Times New Roman"/>
      <w:position w:val="6"/>
      <w:sz w:val="16"/>
      <w:szCs w:val="16"/>
    </w:rPr>
  </w:style>
  <w:style w:type="paragraph" w:customStyle="1" w:styleId="lita">
    <w:name w:val="lit_a"/>
    <w:basedOn w:val="Normlny"/>
    <w:rsid w:val="00E95128"/>
    <w:pPr>
      <w:spacing w:after="20"/>
      <w:ind w:left="624" w:hanging="340"/>
      <w:jc w:val="both"/>
    </w:pPr>
    <w:rPr>
      <w:rFonts w:ascii="Times" w:hAnsi="Times"/>
      <w:lang w:val="en-US"/>
    </w:rPr>
  </w:style>
  <w:style w:type="paragraph" w:customStyle="1" w:styleId="zif">
    <w:name w:val="zif"/>
    <w:basedOn w:val="Normlny"/>
    <w:link w:val="zifChar"/>
    <w:rsid w:val="00E95128"/>
    <w:pPr>
      <w:tabs>
        <w:tab w:val="left" w:pos="620"/>
      </w:tabs>
      <w:spacing w:after="80"/>
      <w:jc w:val="both"/>
    </w:pPr>
    <w:rPr>
      <w:rFonts w:ascii="Times" w:hAnsi="Times"/>
      <w:lang w:val="en-US"/>
    </w:rPr>
  </w:style>
  <w:style w:type="character" w:customStyle="1" w:styleId="zifChar">
    <w:name w:val="zif Char"/>
    <w:basedOn w:val="Predvolenpsmoodseku"/>
    <w:link w:val="zif"/>
    <w:locked/>
    <w:rsid w:val="00E95128"/>
    <w:rPr>
      <w:rFonts w:ascii="Times" w:eastAsia="Times New Roman" w:hAnsi="Times" w:cs="Times New Roman"/>
      <w:sz w:val="20"/>
      <w:szCs w:val="20"/>
      <w:lang w:val="en-US"/>
    </w:rPr>
  </w:style>
  <w:style w:type="paragraph" w:styleId="Odsekzoznamu">
    <w:name w:val="List Paragraph"/>
    <w:basedOn w:val="Normlny"/>
    <w:qFormat/>
    <w:rsid w:val="00E95128"/>
    <w:pPr>
      <w:ind w:left="708"/>
    </w:pPr>
  </w:style>
  <w:style w:type="paragraph" w:customStyle="1" w:styleId="Tabulka">
    <w:name w:val="Tabulka"/>
    <w:basedOn w:val="Normlny"/>
    <w:rsid w:val="00160AAA"/>
    <w:rPr>
      <w:color w:val="000000"/>
      <w:sz w:val="18"/>
    </w:rPr>
  </w:style>
  <w:style w:type="paragraph" w:customStyle="1" w:styleId="Pismenka">
    <w:name w:val="Pismenka"/>
    <w:basedOn w:val="Zkladntext"/>
    <w:rsid w:val="00160AAA"/>
    <w:pPr>
      <w:numPr>
        <w:numId w:val="7"/>
      </w:numPr>
      <w:tabs>
        <w:tab w:val="clear" w:pos="360"/>
        <w:tab w:val="num" w:pos="426"/>
      </w:tabs>
      <w:ind w:hanging="426"/>
    </w:pPr>
    <w:rPr>
      <w:b/>
    </w:rPr>
  </w:style>
  <w:style w:type="character" w:customStyle="1" w:styleId="Nadpis9Char">
    <w:name w:val="Nadpis 9 Char"/>
    <w:basedOn w:val="Predvolenpsmoodseku"/>
    <w:link w:val="Nadpis9"/>
    <w:semiHidden/>
    <w:rsid w:val="003E0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9E1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20A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0A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0ACD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A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AC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bsahtabuky">
    <w:name w:val="Obsah tabuľky"/>
    <w:basedOn w:val="Zkladntext"/>
    <w:rsid w:val="00E7672A"/>
    <w:pPr>
      <w:suppressLineNumbers/>
      <w:suppressAutoHyphens/>
      <w:ind w:left="0"/>
    </w:pPr>
    <w:rPr>
      <w:sz w:val="24"/>
      <w:lang w:val="en-US" w:eastAsia="cs-CZ"/>
    </w:rPr>
  </w:style>
  <w:style w:type="table" w:styleId="Mriekatabuky">
    <w:name w:val="Table Grid"/>
    <w:basedOn w:val="Normlnatabuka"/>
    <w:uiPriority w:val="39"/>
    <w:rsid w:val="0056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E95128"/>
    <w:pPr>
      <w:keepNext/>
      <w:numPr>
        <w:numId w:val="1"/>
      </w:numPr>
      <w:outlineLvl w:val="0"/>
    </w:pPr>
    <w:rPr>
      <w:b/>
      <w:caps/>
      <w:sz w:val="18"/>
    </w:rPr>
  </w:style>
  <w:style w:type="paragraph" w:styleId="Nadpis2">
    <w:name w:val="heading 2"/>
    <w:basedOn w:val="Normlny"/>
    <w:next w:val="Normlny"/>
    <w:link w:val="Nadpis2Char"/>
    <w:qFormat/>
    <w:rsid w:val="00E95128"/>
    <w:pPr>
      <w:keepNext/>
      <w:numPr>
        <w:numId w:val="38"/>
      </w:numPr>
      <w:outlineLvl w:val="1"/>
    </w:pPr>
    <w:rPr>
      <w:b/>
      <w:sz w:val="18"/>
    </w:rPr>
  </w:style>
  <w:style w:type="paragraph" w:styleId="Nadpis6">
    <w:name w:val="heading 6"/>
    <w:basedOn w:val="Normlny"/>
    <w:next w:val="Normlny"/>
    <w:link w:val="Nadpis6Char"/>
    <w:qFormat/>
    <w:rsid w:val="00E95128"/>
    <w:pPr>
      <w:keepNext/>
      <w:outlineLvl w:val="5"/>
    </w:pPr>
    <w:rPr>
      <w:b/>
      <w:caps/>
      <w:sz w:val="3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E0F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95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E95128"/>
  </w:style>
  <w:style w:type="paragraph" w:styleId="Pta">
    <w:name w:val="footer"/>
    <w:basedOn w:val="Normlny"/>
    <w:link w:val="PtaChar"/>
    <w:unhideWhenUsed/>
    <w:rsid w:val="00E95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95128"/>
  </w:style>
  <w:style w:type="character" w:styleId="slostrany">
    <w:name w:val="page number"/>
    <w:basedOn w:val="Predvolenpsmoodseku"/>
    <w:rsid w:val="00E95128"/>
    <w:rPr>
      <w:rFonts w:cs="Times New Roman"/>
    </w:rPr>
  </w:style>
  <w:style w:type="character" w:customStyle="1" w:styleId="Nadpis1Char">
    <w:name w:val="Nadpis 1 Char"/>
    <w:basedOn w:val="Predvolenpsmoodseku"/>
    <w:link w:val="Nadpis1"/>
    <w:rsid w:val="00E95128"/>
    <w:rPr>
      <w:rFonts w:ascii="Times New Roman" w:eastAsia="Times New Roman" w:hAnsi="Times New Roman" w:cs="Times New Roman"/>
      <w:b/>
      <w:caps/>
      <w:sz w:val="18"/>
      <w:szCs w:val="20"/>
    </w:rPr>
  </w:style>
  <w:style w:type="character" w:customStyle="1" w:styleId="Nadpis2Char">
    <w:name w:val="Nadpis 2 Char"/>
    <w:basedOn w:val="Predvolenpsmoodseku"/>
    <w:link w:val="Nadpis2"/>
    <w:rsid w:val="00E95128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Nadpis6Char">
    <w:name w:val="Nadpis 6 Char"/>
    <w:basedOn w:val="Predvolenpsmoodseku"/>
    <w:link w:val="Nadpis6"/>
    <w:rsid w:val="00E9512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Zkladntext">
    <w:name w:val="Body Text"/>
    <w:basedOn w:val="Normlny"/>
    <w:link w:val="ZkladntextChar"/>
    <w:rsid w:val="00E95128"/>
    <w:pPr>
      <w:ind w:left="426"/>
      <w:jc w:val="both"/>
    </w:pPr>
    <w:rPr>
      <w:sz w:val="18"/>
    </w:rPr>
  </w:style>
  <w:style w:type="character" w:customStyle="1" w:styleId="ZkladntextChar">
    <w:name w:val="Základný text Char"/>
    <w:basedOn w:val="Predvolenpsmoodseku"/>
    <w:link w:val="Zkladntext"/>
    <w:rsid w:val="00E95128"/>
    <w:rPr>
      <w:rFonts w:ascii="Times New Roman" w:eastAsia="Times New Roman" w:hAnsi="Times New Roman" w:cs="Times New Roman"/>
      <w:sz w:val="18"/>
      <w:szCs w:val="20"/>
    </w:rPr>
  </w:style>
  <w:style w:type="paragraph" w:customStyle="1" w:styleId="Uvod">
    <w:name w:val="Uvod"/>
    <w:basedOn w:val="Normlny"/>
    <w:rsid w:val="00E95128"/>
    <w:pPr>
      <w:ind w:left="284" w:hanging="284"/>
      <w:jc w:val="both"/>
    </w:pPr>
    <w:rPr>
      <w:sz w:val="22"/>
    </w:rPr>
  </w:style>
  <w:style w:type="character" w:styleId="Odkaznapoznmkupodiarou">
    <w:name w:val="footnote reference"/>
    <w:basedOn w:val="Predvolenpsmoodseku"/>
    <w:semiHidden/>
    <w:rsid w:val="00E95128"/>
    <w:rPr>
      <w:rFonts w:cs="Times New Roman"/>
      <w:position w:val="6"/>
      <w:sz w:val="16"/>
      <w:szCs w:val="16"/>
    </w:rPr>
  </w:style>
  <w:style w:type="paragraph" w:customStyle="1" w:styleId="lita">
    <w:name w:val="lit_a"/>
    <w:basedOn w:val="Normlny"/>
    <w:rsid w:val="00E95128"/>
    <w:pPr>
      <w:spacing w:after="20"/>
      <w:ind w:left="624" w:hanging="340"/>
      <w:jc w:val="both"/>
    </w:pPr>
    <w:rPr>
      <w:rFonts w:ascii="Times" w:hAnsi="Times"/>
      <w:lang w:val="en-US"/>
    </w:rPr>
  </w:style>
  <w:style w:type="paragraph" w:customStyle="1" w:styleId="zif">
    <w:name w:val="zif"/>
    <w:basedOn w:val="Normlny"/>
    <w:link w:val="zifChar"/>
    <w:rsid w:val="00E95128"/>
    <w:pPr>
      <w:tabs>
        <w:tab w:val="left" w:pos="620"/>
      </w:tabs>
      <w:spacing w:after="80"/>
      <w:jc w:val="both"/>
    </w:pPr>
    <w:rPr>
      <w:rFonts w:ascii="Times" w:hAnsi="Times"/>
      <w:lang w:val="en-US"/>
    </w:rPr>
  </w:style>
  <w:style w:type="character" w:customStyle="1" w:styleId="zifChar">
    <w:name w:val="zif Char"/>
    <w:basedOn w:val="Predvolenpsmoodseku"/>
    <w:link w:val="zif"/>
    <w:locked/>
    <w:rsid w:val="00E95128"/>
    <w:rPr>
      <w:rFonts w:ascii="Times" w:eastAsia="Times New Roman" w:hAnsi="Times" w:cs="Times New Roman"/>
      <w:sz w:val="20"/>
      <w:szCs w:val="20"/>
      <w:lang w:val="en-US"/>
    </w:rPr>
  </w:style>
  <w:style w:type="paragraph" w:styleId="Odsekzoznamu">
    <w:name w:val="List Paragraph"/>
    <w:basedOn w:val="Normlny"/>
    <w:qFormat/>
    <w:rsid w:val="00E95128"/>
    <w:pPr>
      <w:ind w:left="708"/>
    </w:pPr>
  </w:style>
  <w:style w:type="paragraph" w:customStyle="1" w:styleId="Tabulka">
    <w:name w:val="Tabulka"/>
    <w:basedOn w:val="Normlny"/>
    <w:rsid w:val="00160AAA"/>
    <w:rPr>
      <w:color w:val="000000"/>
      <w:sz w:val="18"/>
    </w:rPr>
  </w:style>
  <w:style w:type="paragraph" w:customStyle="1" w:styleId="Pismenka">
    <w:name w:val="Pismenka"/>
    <w:basedOn w:val="Zkladntext"/>
    <w:rsid w:val="00160AAA"/>
    <w:pPr>
      <w:numPr>
        <w:numId w:val="7"/>
      </w:numPr>
      <w:tabs>
        <w:tab w:val="clear" w:pos="360"/>
        <w:tab w:val="num" w:pos="426"/>
      </w:tabs>
      <w:ind w:hanging="426"/>
    </w:pPr>
    <w:rPr>
      <w:b/>
    </w:rPr>
  </w:style>
  <w:style w:type="character" w:customStyle="1" w:styleId="Nadpis9Char">
    <w:name w:val="Nadpis 9 Char"/>
    <w:basedOn w:val="Predvolenpsmoodseku"/>
    <w:link w:val="Nadpis9"/>
    <w:semiHidden/>
    <w:rsid w:val="003E0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9E1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20A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0A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0ACD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A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AC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bsahtabuky">
    <w:name w:val="Obsah tabuľky"/>
    <w:basedOn w:val="Zkladntext"/>
    <w:rsid w:val="00E7672A"/>
    <w:pPr>
      <w:suppressLineNumbers/>
      <w:suppressAutoHyphens/>
      <w:ind w:left="0"/>
    </w:pPr>
    <w:rPr>
      <w:sz w:val="24"/>
      <w:lang w:val="en-US" w:eastAsia="cs-CZ"/>
    </w:rPr>
  </w:style>
  <w:style w:type="table" w:styleId="Mriekatabuky">
    <w:name w:val="Table Grid"/>
    <w:basedOn w:val="Normlnatabuka"/>
    <w:uiPriority w:val="39"/>
    <w:rsid w:val="0056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3.emf"/><Relationship Id="rId26" Type="http://schemas.openxmlformats.org/officeDocument/2006/relationships/image" Target="media/image7.emf"/><Relationship Id="rId39" Type="http://schemas.openxmlformats.org/officeDocument/2006/relationships/package" Target="embeddings/Microsoft_Excel_Worksheet12.xlsx"/><Relationship Id="rId21" Type="http://schemas.openxmlformats.org/officeDocument/2006/relationships/package" Target="embeddings/Microsoft_Excel_Worksheet3.xlsx"/><Relationship Id="rId34" Type="http://schemas.openxmlformats.org/officeDocument/2006/relationships/image" Target="media/image11.emf"/><Relationship Id="rId42" Type="http://schemas.openxmlformats.org/officeDocument/2006/relationships/image" Target="media/image15.emf"/><Relationship Id="rId47" Type="http://schemas.openxmlformats.org/officeDocument/2006/relationships/package" Target="embeddings/Microsoft_Excel_Worksheet16.xlsx"/><Relationship Id="rId50" Type="http://schemas.openxmlformats.org/officeDocument/2006/relationships/image" Target="media/image19.emf"/><Relationship Id="rId55" Type="http://schemas.openxmlformats.org/officeDocument/2006/relationships/package" Target="embeddings/Microsoft_Excel_Worksheet20.xlsx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package" Target="embeddings/Microsoft_Excel_Worksheet5.xlsx"/><Relationship Id="rId33" Type="http://schemas.openxmlformats.org/officeDocument/2006/relationships/package" Target="embeddings/Microsoft_Excel_Worksheet9.xlsx"/><Relationship Id="rId38" Type="http://schemas.openxmlformats.org/officeDocument/2006/relationships/image" Target="media/image13.emf"/><Relationship Id="rId46" Type="http://schemas.openxmlformats.org/officeDocument/2006/relationships/image" Target="media/image17.e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emf"/><Relationship Id="rId29" Type="http://schemas.openxmlformats.org/officeDocument/2006/relationships/package" Target="embeddings/Microsoft_Excel_Worksheet7.xlsx"/><Relationship Id="rId41" Type="http://schemas.openxmlformats.org/officeDocument/2006/relationships/package" Target="embeddings/Microsoft_Excel_Worksheet13.xlsx"/><Relationship Id="rId54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6.emf"/><Relationship Id="rId32" Type="http://schemas.openxmlformats.org/officeDocument/2006/relationships/image" Target="media/image10.emf"/><Relationship Id="rId37" Type="http://schemas.openxmlformats.org/officeDocument/2006/relationships/package" Target="embeddings/Microsoft_Excel_Worksheet11.xlsx"/><Relationship Id="rId40" Type="http://schemas.openxmlformats.org/officeDocument/2006/relationships/image" Target="media/image14.emf"/><Relationship Id="rId45" Type="http://schemas.openxmlformats.org/officeDocument/2006/relationships/package" Target="embeddings/Microsoft_Excel_Worksheet15.xlsx"/><Relationship Id="rId53" Type="http://schemas.openxmlformats.org/officeDocument/2006/relationships/package" Target="embeddings/Microsoft_Excel_Worksheet19.xlsx"/><Relationship Id="rId58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package" Target="embeddings/Microsoft_Excel_Worksheet4.xlsx"/><Relationship Id="rId28" Type="http://schemas.openxmlformats.org/officeDocument/2006/relationships/image" Target="media/image8.emf"/><Relationship Id="rId36" Type="http://schemas.openxmlformats.org/officeDocument/2006/relationships/image" Target="media/image12.emf"/><Relationship Id="rId49" Type="http://schemas.openxmlformats.org/officeDocument/2006/relationships/package" Target="embeddings/Microsoft_Excel_Worksheet17.xlsx"/><Relationship Id="rId57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package" Target="embeddings/Microsoft_Excel_Worksheet2.xlsx"/><Relationship Id="rId31" Type="http://schemas.openxmlformats.org/officeDocument/2006/relationships/package" Target="embeddings/Microsoft_Excel_Worksheet8.xlsx"/><Relationship Id="rId44" Type="http://schemas.openxmlformats.org/officeDocument/2006/relationships/image" Target="media/image16.emf"/><Relationship Id="rId52" Type="http://schemas.openxmlformats.org/officeDocument/2006/relationships/image" Target="media/image20.e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1.xlsx"/><Relationship Id="rId22" Type="http://schemas.openxmlformats.org/officeDocument/2006/relationships/image" Target="media/image5.emf"/><Relationship Id="rId27" Type="http://schemas.openxmlformats.org/officeDocument/2006/relationships/package" Target="embeddings/Microsoft_Excel_Worksheet6.xlsx"/><Relationship Id="rId30" Type="http://schemas.openxmlformats.org/officeDocument/2006/relationships/image" Target="media/image9.emf"/><Relationship Id="rId35" Type="http://schemas.openxmlformats.org/officeDocument/2006/relationships/package" Target="embeddings/Microsoft_Excel_Worksheet10.xlsx"/><Relationship Id="rId43" Type="http://schemas.openxmlformats.org/officeDocument/2006/relationships/package" Target="embeddings/Microsoft_Excel_Worksheet14.xlsx"/><Relationship Id="rId48" Type="http://schemas.openxmlformats.org/officeDocument/2006/relationships/image" Target="media/image18.emf"/><Relationship Id="rId56" Type="http://schemas.openxmlformats.org/officeDocument/2006/relationships/header" Target="header5.xml"/><Relationship Id="rId8" Type="http://schemas.openxmlformats.org/officeDocument/2006/relationships/endnotes" Target="endnotes.xml"/><Relationship Id="rId51" Type="http://schemas.openxmlformats.org/officeDocument/2006/relationships/package" Target="embeddings/Microsoft_Excel_Worksheet18.xlsx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291C-E4C1-478C-B4B1-945A719C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3921</Words>
  <Characters>22350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lstankovits</dc:creator>
  <cp:lastModifiedBy>Mária Pánová</cp:lastModifiedBy>
  <cp:revision>4</cp:revision>
  <cp:lastPrinted>2014-06-24T06:31:00Z</cp:lastPrinted>
  <dcterms:created xsi:type="dcterms:W3CDTF">2014-06-30T07:48:00Z</dcterms:created>
  <dcterms:modified xsi:type="dcterms:W3CDTF">2014-06-30T08:03:00Z</dcterms:modified>
</cp:coreProperties>
</file>