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media/image1.png" ContentType="image/pn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style0"/>
      </w:pPr>
      <w:r>
        <w:rPr>
          <w:rFonts w:ascii="Cambria" w:hAnsi="Cambria"/>
          <w:b/>
          <w:i/>
          <w:iCs/>
          <w:color w:val="002060"/>
          <w:sz w:val="28"/>
          <w:szCs w:val="28"/>
        </w:rPr>
        <w:t>„</w:t>
      </w:r>
      <w:r>
        <w:rPr>
          <w:rFonts w:ascii="Cambria" w:hAnsi="Cambria"/>
          <w:b/>
          <w:i/>
          <w:iCs/>
          <w:color w:val="002060"/>
          <w:sz w:val="28"/>
          <w:szCs w:val="28"/>
        </w:rPr>
        <w:t xml:space="preserve">DIEŤA V NEMOCNICI „ , n.o. </w:t>
      </w:r>
      <w:r>
        <w:rPr>
          <w:rFonts w:ascii="Cambria" w:hAnsi="Cambria"/>
          <w:b/>
          <w:i/>
          <w:color w:val="002060"/>
          <w:sz w:val="28"/>
          <w:szCs w:val="28"/>
        </w:rPr>
        <w:t xml:space="preserve">                                                                                                         </w:t>
      </w:r>
      <w:r>
        <w:rPr>
          <w:rFonts w:ascii="Cambria" w:hAnsi="Cambria"/>
          <w:b/>
          <w:i/>
          <w:iCs/>
          <w:color w:val="002060"/>
          <w:sz w:val="28"/>
          <w:szCs w:val="28"/>
        </w:rPr>
        <w:t>Trieda SNP 1, 040 11  Košice, Slovenská republika, IČO: 45 739 846</w:t>
      </w:r>
    </w:p>
    <w:p>
      <w:pPr>
        <w:pStyle w:val="style0"/>
      </w:pPr>
      <w:r>
        <w:rPr>
          <w:color w:val="002060"/>
        </w:rPr>
      </w:r>
    </w:p>
    <w:p>
      <w:pPr>
        <w:pStyle w:val="style0"/>
      </w:pPr>
      <w:r>
        <w:rPr>
          <w:color w:val="002060"/>
        </w:rPr>
      </w:r>
    </w:p>
    <w:p>
      <w:pPr>
        <w:pStyle w:val="style0"/>
      </w:pPr>
      <w:r>
        <w:rPr>
          <w:color w:val="002060"/>
        </w:rPr>
      </w:r>
    </w:p>
    <w:p>
      <w:pPr>
        <w:pStyle w:val="style0"/>
      </w:pPr>
      <w:r>
        <w:rPr>
          <w:color w:val="002060"/>
        </w:rPr>
      </w:r>
    </w:p>
    <w:p>
      <w:pPr>
        <w:pStyle w:val="style0"/>
      </w:pPr>
      <w:r>
        <w:rPr>
          <w:color w:val="002060"/>
        </w:rPr>
      </w:r>
    </w:p>
    <w:p>
      <w:pPr>
        <w:pStyle w:val="style0"/>
      </w:pPr>
      <w:r>
        <w:rPr>
          <w:color w:val="002060"/>
        </w:rPr>
      </w:r>
    </w:p>
    <w:p>
      <w:pPr>
        <w:pStyle w:val="style0"/>
        <w:jc w:val="center"/>
      </w:pPr>
      <w:r>
        <w:rPr/>
        <w:drawing>
          <wp:inline distB="0" distL="0" distR="0" distT="0">
            <wp:extent cx="2411730" cy="2465070"/>
            <wp:effectExtent b="0" l="0" r="0" t="0"/>
            <wp:docPr descr="A description..." id="1" name="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descr="A description...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1730" cy="24650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style0"/>
        <w:jc w:val="center"/>
      </w:pPr>
      <w:r>
        <w:rPr>
          <w:color w:val="002060"/>
        </w:rPr>
      </w:r>
    </w:p>
    <w:p>
      <w:pPr>
        <w:pStyle w:val="style0"/>
        <w:ind w:hanging="0" w:left="1410" w:right="0"/>
      </w:pPr>
      <w:r>
        <w:rPr>
          <w:rFonts w:ascii="Cambria" w:hAnsi="Cambria"/>
          <w:b/>
          <w:iCs/>
          <w:color w:val="002060"/>
          <w:sz w:val="44"/>
          <w:szCs w:val="44"/>
        </w:rPr>
        <w:t xml:space="preserve">   „</w:t>
      </w:r>
      <w:r>
        <w:rPr>
          <w:rFonts w:ascii="Cambria" w:hAnsi="Cambria"/>
          <w:b/>
          <w:iCs/>
          <w:color w:val="002060"/>
          <w:sz w:val="44"/>
          <w:szCs w:val="44"/>
        </w:rPr>
        <w:t>DIEŤA V NEMOCNICI „ , n.o.</w:t>
      </w:r>
    </w:p>
    <w:p>
      <w:pPr>
        <w:pStyle w:val="style0"/>
      </w:pPr>
      <w:r>
        <w:rPr>
          <w:rFonts w:ascii="Cambria" w:hAnsi="Cambria"/>
          <w:b/>
          <w:color w:val="002060"/>
          <w:sz w:val="36"/>
          <w:szCs w:val="36"/>
        </w:rPr>
        <w:t xml:space="preserve">    </w:t>
      </w:r>
      <w:r>
        <w:rPr>
          <w:rFonts w:ascii="Cambria" w:hAnsi="Cambria"/>
          <w:b/>
          <w:color w:val="002060"/>
          <w:sz w:val="36"/>
          <w:szCs w:val="36"/>
        </w:rPr>
        <w:t>Výročná správa neziskovej organizácie za rok 2013</w:t>
      </w:r>
    </w:p>
    <w:p>
      <w:pPr>
        <w:pStyle w:val="style26"/>
        <w:spacing w:after="120" w:before="0"/>
      </w:pPr>
      <w:r>
        <w:rPr/>
      </w:r>
    </w:p>
    <w:p>
      <w:pPr>
        <w:pStyle w:val="style0"/>
      </w:pPr>
      <w:r>
        <w:rPr>
          <w:rFonts w:ascii="Cambria" w:hAnsi="Cambria"/>
          <w:b/>
          <w:color w:val="002060"/>
          <w:sz w:val="36"/>
          <w:szCs w:val="36"/>
        </w:rPr>
      </w:r>
    </w:p>
    <w:p>
      <w:pPr>
        <w:pStyle w:val="style0"/>
      </w:pPr>
      <w:r>
        <w:rPr>
          <w:rFonts w:ascii="Cambria" w:hAnsi="Cambria"/>
          <w:b/>
          <w:color w:val="002060"/>
          <w:sz w:val="36"/>
          <w:szCs w:val="36"/>
        </w:rPr>
      </w:r>
    </w:p>
    <w:p>
      <w:pPr>
        <w:pStyle w:val="style0"/>
      </w:pPr>
      <w:r>
        <w:rPr>
          <w:rFonts w:ascii="Cambria" w:hAnsi="Cambria"/>
          <w:b/>
          <w:color w:val="002060"/>
          <w:sz w:val="36"/>
          <w:szCs w:val="36"/>
        </w:rPr>
      </w:r>
    </w:p>
    <w:p>
      <w:pPr>
        <w:pStyle w:val="style0"/>
      </w:pPr>
      <w:r>
        <w:rPr>
          <w:rFonts w:ascii="Cambria" w:hAnsi="Cambria"/>
          <w:b/>
          <w:color w:val="002060"/>
          <w:sz w:val="36"/>
          <w:szCs w:val="36"/>
        </w:rPr>
      </w:r>
    </w:p>
    <w:p>
      <w:pPr>
        <w:pStyle w:val="style0"/>
      </w:pPr>
      <w:r>
        <w:rPr>
          <w:rFonts w:ascii="Cambria" w:hAnsi="Cambria"/>
          <w:b/>
          <w:color w:val="002060"/>
          <w:sz w:val="36"/>
          <w:szCs w:val="36"/>
        </w:rPr>
      </w:r>
    </w:p>
    <w:p>
      <w:pPr>
        <w:pStyle w:val="style0"/>
      </w:pPr>
      <w:r>
        <w:rPr>
          <w:rFonts w:ascii="Cambria" w:hAnsi="Cambria"/>
          <w:b/>
          <w:color w:val="002060"/>
          <w:sz w:val="36"/>
          <w:szCs w:val="36"/>
        </w:rPr>
      </w:r>
    </w:p>
    <w:p>
      <w:pPr>
        <w:pStyle w:val="style0"/>
        <w:jc w:val="center"/>
      </w:pPr>
      <w:r>
        <w:rPr>
          <w:rFonts w:ascii="Times New Roman" w:cs="Times New Roman" w:hAnsi="Times New Roman"/>
          <w:b/>
          <w:sz w:val="72"/>
          <w:szCs w:val="72"/>
        </w:rPr>
        <w:t>Výročná správa</w:t>
      </w:r>
    </w:p>
    <w:p>
      <w:pPr>
        <w:pStyle w:val="style0"/>
        <w:pBdr>
          <w:bottom w:color="00000A" w:space="0" w:sz="6" w:val="single"/>
        </w:pBdr>
        <w:jc w:val="center"/>
      </w:pPr>
      <w:r>
        <w:rPr>
          <w:rFonts w:ascii="Times New Roman" w:cs="Times New Roman" w:hAnsi="Times New Roman"/>
          <w:b/>
          <w:sz w:val="44"/>
          <w:szCs w:val="44"/>
        </w:rPr>
        <w:t>„</w:t>
      </w:r>
      <w:r>
        <w:rPr>
          <w:rFonts w:ascii="Times New Roman" w:cs="Times New Roman" w:hAnsi="Times New Roman"/>
          <w:b/>
          <w:sz w:val="44"/>
          <w:szCs w:val="44"/>
        </w:rPr>
        <w:t>Dieťa  v nemocnici „ , n.o.</w:t>
      </w:r>
    </w:p>
    <w:p>
      <w:pPr>
        <w:pStyle w:val="style0"/>
        <w:jc w:val="center"/>
      </w:pPr>
      <w:r>
        <w:rPr>
          <w:rFonts w:ascii="Times New Roman" w:cs="Times New Roman" w:hAnsi="Times New Roman"/>
          <w:b/>
          <w:sz w:val="28"/>
          <w:szCs w:val="28"/>
        </w:rPr>
        <w:t>Obdobie od 01.01.2013 – 31.12.2013</w:t>
      </w:r>
    </w:p>
    <w:p>
      <w:pPr>
        <w:pStyle w:val="style0"/>
      </w:pPr>
      <w:r>
        <w:rPr>
          <w:rFonts w:ascii="Times New Roman" w:cs="Times New Roman" w:hAnsi="Times New Roman"/>
          <w:b/>
          <w:sz w:val="28"/>
          <w:szCs w:val="28"/>
        </w:rPr>
        <w:t>OBSAH:</w:t>
      </w:r>
    </w:p>
    <w:p>
      <w:pPr>
        <w:pStyle w:val="style25"/>
        <w:numPr>
          <w:ilvl w:val="0"/>
          <w:numId w:val="1"/>
        </w:numPr>
      </w:pPr>
      <w:r>
        <w:rPr>
          <w:rFonts w:ascii="Times New Roman" w:cs="Times New Roman" w:hAnsi="Times New Roman"/>
          <w:b/>
          <w:sz w:val="28"/>
          <w:szCs w:val="28"/>
        </w:rPr>
        <w:t>Všeobecné informácie o neziskovej organizácii</w:t>
      </w:r>
    </w:p>
    <w:p>
      <w:pPr>
        <w:pStyle w:val="style25"/>
        <w:numPr>
          <w:ilvl w:val="0"/>
          <w:numId w:val="1"/>
        </w:numPr>
      </w:pPr>
      <w:r>
        <w:rPr>
          <w:rFonts w:ascii="Times New Roman" w:cs="Times New Roman" w:hAnsi="Times New Roman"/>
          <w:b/>
          <w:sz w:val="28"/>
          <w:szCs w:val="28"/>
        </w:rPr>
        <w:t>Orgány neziskovej organizácie</w:t>
      </w:r>
    </w:p>
    <w:p>
      <w:pPr>
        <w:pStyle w:val="style25"/>
        <w:numPr>
          <w:ilvl w:val="0"/>
          <w:numId w:val="1"/>
        </w:numPr>
      </w:pPr>
      <w:r>
        <w:rPr>
          <w:rFonts w:ascii="Times New Roman" w:cs="Times New Roman" w:hAnsi="Times New Roman"/>
          <w:b/>
          <w:sz w:val="28"/>
          <w:szCs w:val="28"/>
        </w:rPr>
        <w:t>Finančná časť</w:t>
      </w:r>
    </w:p>
    <w:p>
      <w:pPr>
        <w:pStyle w:val="style25"/>
        <w:numPr>
          <w:ilvl w:val="0"/>
          <w:numId w:val="1"/>
        </w:numPr>
      </w:pPr>
      <w:r>
        <w:rPr>
          <w:rFonts w:ascii="Times New Roman" w:cs="Times New Roman" w:hAnsi="Times New Roman"/>
          <w:b/>
          <w:sz w:val="28"/>
          <w:szCs w:val="28"/>
        </w:rPr>
        <w:t>Činnosť</w:t>
      </w:r>
    </w:p>
    <w:p>
      <w:pPr>
        <w:pStyle w:val="style25"/>
        <w:numPr>
          <w:ilvl w:val="0"/>
          <w:numId w:val="1"/>
        </w:numPr>
      </w:pPr>
      <w:r>
        <w:rPr>
          <w:rFonts w:ascii="Times New Roman" w:cs="Times New Roman" w:hAnsi="Times New Roman"/>
          <w:b/>
          <w:sz w:val="28"/>
          <w:szCs w:val="28"/>
        </w:rPr>
        <w:t>Záver</w:t>
      </w:r>
    </w:p>
    <w:p>
      <w:pPr>
        <w:pStyle w:val="style25"/>
        <w:ind w:hanging="0" w:left="1080" w:right="0"/>
      </w:pPr>
      <w:r>
        <w:rPr>
          <w:rFonts w:ascii="Times New Roman" w:cs="Times New Roman" w:hAnsi="Times New Roman"/>
          <w:b/>
          <w:sz w:val="28"/>
          <w:szCs w:val="28"/>
        </w:rPr>
      </w:r>
    </w:p>
    <w:p>
      <w:pPr>
        <w:pStyle w:val="style0"/>
        <w:jc w:val="both"/>
      </w:pPr>
      <w:r>
        <w:rPr>
          <w:rFonts w:ascii="Times New Roman" w:cs="Times New Roman" w:hAnsi="Times New Roman"/>
          <w:b/>
          <w:sz w:val="28"/>
          <w:szCs w:val="28"/>
        </w:rPr>
      </w:r>
    </w:p>
    <w:p>
      <w:pPr>
        <w:pStyle w:val="style0"/>
        <w:jc w:val="both"/>
      </w:pPr>
      <w:r>
        <w:rPr>
          <w:rFonts w:ascii="Times New Roman" w:cs="Times New Roman" w:hAnsi="Times New Roman"/>
          <w:b/>
          <w:sz w:val="28"/>
          <w:szCs w:val="28"/>
        </w:rPr>
        <w:t>I .Všeobecné informácie o neziskovej organizácii</w:t>
      </w:r>
    </w:p>
    <w:p>
      <w:pPr>
        <w:pStyle w:val="style0"/>
        <w:ind w:firstLine="708" w:left="0" w:right="0"/>
        <w:jc w:val="both"/>
      </w:pPr>
      <w:r>
        <w:rPr>
          <w:rFonts w:ascii="Times New Roman" w:cs="Times New Roman" w:hAnsi="Times New Roman"/>
        </w:rPr>
        <w:t>Nezisková organizácia „Dieťa v nemocnici„ , n.o. bola zaregistrovaná rozhodnutím Obvodného úradu Košice zo dňa 07.12.2012 pod č. ObU-KE-OVVS4-2012/10148 podľa § 11 ods. 1 zák. č.213/1997 Z.z. o neziskových organizáciách poskytujúcich všeobecne prospešné služby  v znení neskorších predpisov . Nezisková organizácia je počas doby jej  trvania –  doba neurčitá - , zapísaná v registri neziskových organizácií poskytujúcich všeobecne prospešné služby pod č. OVVS/34/2012.</w:t>
      </w:r>
    </w:p>
    <w:p>
      <w:pPr>
        <w:pStyle w:val="style0"/>
        <w:jc w:val="both"/>
      </w:pPr>
      <w:r>
        <w:rPr>
          <w:rFonts w:ascii="Times New Roman" w:cs="Times New Roman" w:hAnsi="Times New Roman"/>
        </w:rPr>
        <w:t>Nezisková organizácia „Dieťa v nemocnici „ , n.o. poskytuje nasledovné všeobecne prospešné služby:</w:t>
      </w:r>
    </w:p>
    <w:p>
      <w:pPr>
        <w:pStyle w:val="style0"/>
        <w:spacing w:after="0" w:before="0"/>
        <w:jc w:val="both"/>
      </w:pPr>
      <w:r>
        <w:rPr>
          <w:rFonts w:ascii="Times New Roman" w:cs="Times New Roman" w:hAnsi="Times New Roman"/>
        </w:rPr>
        <w:t xml:space="preserve">► </w:t>
      </w:r>
      <w:r>
        <w:rPr>
          <w:rFonts w:ascii="Times New Roman" w:cs="Times New Roman" w:hAnsi="Times New Roman"/>
        </w:rPr>
        <w:t>poskytovanie zdravotnej starostlivosti,</w:t>
      </w:r>
    </w:p>
    <w:p>
      <w:pPr>
        <w:pStyle w:val="style0"/>
        <w:spacing w:after="0" w:before="0"/>
        <w:jc w:val="both"/>
      </w:pPr>
      <w:r>
        <w:rPr>
          <w:rFonts w:ascii="Times New Roman" w:cs="Times New Roman" w:hAnsi="Times New Roman"/>
        </w:rPr>
        <w:t xml:space="preserve">► </w:t>
      </w:r>
      <w:r>
        <w:rPr>
          <w:rFonts w:ascii="Times New Roman" w:cs="Times New Roman" w:hAnsi="Times New Roman"/>
        </w:rPr>
        <w:t>poskytovanie sociálnej pomoci a humanitárna starostlivosť,</w:t>
      </w:r>
    </w:p>
    <w:p>
      <w:pPr>
        <w:pStyle w:val="style0"/>
        <w:spacing w:after="0" w:before="0"/>
      </w:pPr>
      <w:r>
        <w:rPr>
          <w:rFonts w:ascii="Times New Roman" w:cs="Times New Roman" w:hAnsi="Times New Roman"/>
        </w:rPr>
        <w:t xml:space="preserve">► </w:t>
      </w:r>
      <w:r>
        <w:rPr>
          <w:rFonts w:ascii="Times New Roman" w:cs="Times New Roman" w:hAnsi="Times New Roman"/>
        </w:rPr>
        <w:t>tvorba, rozvoj, ochrana, obnova a prezentácia duchovných a kultúrnych hodnôt ,</w:t>
      </w:r>
    </w:p>
    <w:p>
      <w:pPr>
        <w:pStyle w:val="style0"/>
        <w:spacing w:after="0" w:before="0"/>
      </w:pPr>
      <w:r>
        <w:rPr>
          <w:rFonts w:ascii="Times New Roman" w:cs="Times New Roman" w:hAnsi="Times New Roman"/>
        </w:rPr>
        <w:t xml:space="preserve">► </w:t>
      </w:r>
      <w:r>
        <w:rPr>
          <w:rFonts w:ascii="Times New Roman" w:cs="Times New Roman" w:hAnsi="Times New Roman"/>
        </w:rPr>
        <w:t>ochrana ľudských práv a základných slobôd,</w:t>
      </w:r>
    </w:p>
    <w:p>
      <w:pPr>
        <w:pStyle w:val="style0"/>
        <w:spacing w:after="0" w:before="0"/>
      </w:pPr>
      <w:r>
        <w:rPr>
          <w:rFonts w:ascii="Times New Roman" w:cs="Times New Roman" w:hAnsi="Times New Roman"/>
        </w:rPr>
        <w:t xml:space="preserve">► </w:t>
      </w:r>
      <w:r>
        <w:rPr>
          <w:rFonts w:ascii="Times New Roman" w:cs="Times New Roman" w:hAnsi="Times New Roman"/>
        </w:rPr>
        <w:t>vzdelávanie, výchova a rozvoj telesnej kultúry,</w:t>
      </w:r>
    </w:p>
    <w:p>
      <w:pPr>
        <w:pStyle w:val="style0"/>
        <w:spacing w:after="0" w:before="0"/>
      </w:pPr>
      <w:r>
        <w:rPr>
          <w:rFonts w:ascii="Times New Roman" w:cs="Times New Roman" w:hAnsi="Times New Roman"/>
        </w:rPr>
        <w:t xml:space="preserve">► </w:t>
      </w:r>
      <w:r>
        <w:rPr>
          <w:rFonts w:ascii="Times New Roman" w:cs="Times New Roman" w:hAnsi="Times New Roman"/>
        </w:rPr>
        <w:t>výskum, vývoj, vedecko-technické služby a informačné služby,</w:t>
      </w:r>
    </w:p>
    <w:p>
      <w:pPr>
        <w:pStyle w:val="style0"/>
        <w:spacing w:after="0" w:before="0"/>
      </w:pPr>
      <w:r>
        <w:rPr>
          <w:rFonts w:ascii="Times New Roman" w:cs="Times New Roman" w:hAnsi="Times New Roman"/>
        </w:rPr>
        <w:t xml:space="preserve">► </w:t>
      </w:r>
      <w:r>
        <w:rPr>
          <w:rFonts w:ascii="Times New Roman" w:cs="Times New Roman" w:hAnsi="Times New Roman"/>
        </w:rPr>
        <w:t>tvorba a ochrana životného prostredia a ochrana zdravia obyvateľstva,</w:t>
      </w:r>
    </w:p>
    <w:p>
      <w:pPr>
        <w:pStyle w:val="style0"/>
        <w:spacing w:after="0" w:before="0"/>
      </w:pPr>
      <w:r>
        <w:rPr>
          <w:rFonts w:ascii="Times New Roman" w:cs="Times New Roman" w:hAnsi="Times New Roman"/>
        </w:rPr>
        <w:t xml:space="preserve">► </w:t>
      </w:r>
      <w:r>
        <w:rPr>
          <w:rFonts w:ascii="Times New Roman" w:cs="Times New Roman" w:hAnsi="Times New Roman"/>
        </w:rPr>
        <w:t>služby na podporu regionálneho rozvoja a zamestnanosti,</w:t>
      </w:r>
    </w:p>
    <w:p>
      <w:pPr>
        <w:pStyle w:val="style0"/>
        <w:spacing w:after="0" w:before="0"/>
      </w:pPr>
      <w:r>
        <w:rPr>
          <w:rFonts w:ascii="Times New Roman" w:cs="Times New Roman" w:hAnsi="Times New Roman"/>
        </w:rPr>
        <w:t xml:space="preserve">► </w:t>
      </w:r>
      <w:r>
        <w:rPr>
          <w:rFonts w:ascii="Times New Roman" w:cs="Times New Roman" w:hAnsi="Times New Roman"/>
        </w:rPr>
        <w:t>zabezpečovanie bývania, správy, údržby a obnovy bytového fondu</w:t>
      </w:r>
    </w:p>
    <w:p>
      <w:pPr>
        <w:pStyle w:val="style0"/>
        <w:spacing w:after="0" w:before="0"/>
      </w:pPr>
      <w:r>
        <w:rPr>
          <w:rFonts w:ascii="Times New Roman" w:cs="Times New Roman" w:hAnsi="Times New Roman"/>
        </w:rPr>
      </w:r>
    </w:p>
    <w:p>
      <w:pPr>
        <w:pStyle w:val="style0"/>
        <w:spacing w:after="0" w:before="0"/>
      </w:pPr>
      <w:r>
        <w:rPr>
          <w:rFonts w:ascii="Times New Roman" w:cs="Times New Roman" w:hAnsi="Times New Roman"/>
        </w:rPr>
        <w:t>Hlavným cieľom neziskovej organizácie je podpora pri poskytovaní zdravotnej a  sociálnej starostlivosti , ako aj  podpora pre vzdelávanie, vedu, výskum a vývoj.</w:t>
      </w:r>
    </w:p>
    <w:p>
      <w:pPr>
        <w:pStyle w:val="style0"/>
        <w:spacing w:after="0" w:before="0"/>
      </w:pPr>
      <w:r>
        <w:rPr>
          <w:rFonts w:ascii="Times New Roman" w:cs="Times New Roman" w:hAnsi="Times New Roman"/>
        </w:rPr>
      </w:r>
    </w:p>
    <w:p>
      <w:pPr>
        <w:pStyle w:val="style0"/>
        <w:spacing w:after="0" w:before="0"/>
      </w:pPr>
      <w:r>
        <w:rPr>
          <w:rFonts w:ascii="Times New Roman" w:cs="Times New Roman" w:hAnsi="Times New Roman"/>
          <w:b/>
          <w:sz w:val="28"/>
          <w:szCs w:val="28"/>
        </w:rPr>
      </w:r>
    </w:p>
    <w:p>
      <w:pPr>
        <w:pStyle w:val="style0"/>
        <w:spacing w:after="0" w:before="0"/>
      </w:pPr>
      <w:r>
        <w:rPr>
          <w:rFonts w:ascii="Times New Roman" w:cs="Times New Roman" w:hAnsi="Times New Roman"/>
          <w:b/>
          <w:sz w:val="28"/>
          <w:szCs w:val="28"/>
        </w:rPr>
      </w:r>
    </w:p>
    <w:p>
      <w:pPr>
        <w:pStyle w:val="style0"/>
        <w:spacing w:after="0" w:before="0"/>
      </w:pPr>
      <w:r>
        <w:rPr>
          <w:rFonts w:ascii="Times New Roman" w:cs="Times New Roman" w:hAnsi="Times New Roman"/>
          <w:b/>
          <w:sz w:val="28"/>
          <w:szCs w:val="28"/>
        </w:rPr>
      </w:r>
    </w:p>
    <w:p>
      <w:pPr>
        <w:pStyle w:val="style0"/>
        <w:spacing w:after="0" w:before="0"/>
      </w:pPr>
      <w:r>
        <w:rPr>
          <w:rFonts w:ascii="Times New Roman" w:cs="Times New Roman" w:hAnsi="Times New Roman"/>
          <w:b/>
          <w:sz w:val="28"/>
          <w:szCs w:val="28"/>
        </w:rPr>
        <w:t xml:space="preserve">II. Orgány neziskovej organizácie </w:t>
      </w:r>
    </w:p>
    <w:p>
      <w:pPr>
        <w:pStyle w:val="style0"/>
        <w:spacing w:after="0" w:before="0"/>
      </w:pPr>
      <w:r>
        <w:rPr>
          <w:rFonts w:ascii="Times New Roman" w:cs="Times New Roman" w:hAnsi="Times New Roman"/>
        </w:rPr>
      </w:r>
    </w:p>
    <w:p>
      <w:pPr>
        <w:pStyle w:val="style0"/>
        <w:spacing w:after="0" w:before="0"/>
      </w:pPr>
      <w:r>
        <w:rPr>
          <w:rFonts w:ascii="Times New Roman" w:cs="Times New Roman" w:hAnsi="Times New Roman"/>
        </w:rPr>
        <w:t xml:space="preserve">Orgánmi neziskovej organizácie sú: </w:t>
      </w:r>
    </w:p>
    <w:p>
      <w:pPr>
        <w:pStyle w:val="style0"/>
        <w:spacing w:after="0" w:before="0"/>
      </w:pPr>
      <w:r>
        <w:rPr>
          <w:rFonts w:ascii="Times New Roman" w:cs="Times New Roman" w:hAnsi="Times New Roman"/>
        </w:rPr>
      </w:r>
    </w:p>
    <w:p>
      <w:pPr>
        <w:pStyle w:val="style0"/>
        <w:spacing w:after="0" w:before="0"/>
      </w:pPr>
      <w:r>
        <w:rPr>
          <w:rFonts w:ascii="Times New Roman" w:cs="Times New Roman" w:hAnsi="Times New Roman"/>
        </w:rPr>
        <w:t xml:space="preserve">► </w:t>
      </w:r>
      <w:r>
        <w:rPr>
          <w:rFonts w:ascii="Times New Roman" w:cs="Times New Roman" w:hAnsi="Times New Roman"/>
        </w:rPr>
        <w:t>správna rada</w:t>
      </w:r>
    </w:p>
    <w:p>
      <w:pPr>
        <w:pStyle w:val="style0"/>
        <w:spacing w:after="0" w:before="0"/>
      </w:pPr>
      <w:r>
        <w:rPr>
          <w:rFonts w:ascii="Times New Roman" w:cs="Times New Roman" w:hAnsi="Times New Roman"/>
        </w:rPr>
        <w:t xml:space="preserve">► </w:t>
      </w:r>
      <w:r>
        <w:rPr>
          <w:rFonts w:ascii="Times New Roman" w:cs="Times New Roman" w:hAnsi="Times New Roman"/>
        </w:rPr>
        <w:t>revízor</w:t>
      </w:r>
    </w:p>
    <w:p>
      <w:pPr>
        <w:pStyle w:val="style0"/>
        <w:spacing w:after="0" w:before="0"/>
      </w:pPr>
      <w:r>
        <w:rPr>
          <w:rFonts w:ascii="Times New Roman" w:cs="Times New Roman" w:hAnsi="Times New Roman"/>
        </w:rPr>
        <w:t xml:space="preserve">► </w:t>
      </w:r>
      <w:r>
        <w:rPr>
          <w:rFonts w:ascii="Times New Roman" w:cs="Times New Roman" w:hAnsi="Times New Roman"/>
        </w:rPr>
        <w:t>riaditeľ</w:t>
      </w:r>
    </w:p>
    <w:p>
      <w:pPr>
        <w:pStyle w:val="style0"/>
        <w:spacing w:after="0" w:before="0"/>
      </w:pPr>
      <w:r>
        <w:rPr>
          <w:rFonts w:ascii="Times New Roman" w:cs="Times New Roman" w:hAnsi="Times New Roman"/>
        </w:rPr>
      </w:r>
    </w:p>
    <w:p>
      <w:pPr>
        <w:pStyle w:val="style0"/>
        <w:spacing w:after="0" w:before="0"/>
      </w:pPr>
      <w:r>
        <w:rPr>
          <w:rFonts w:ascii="Times New Roman" w:cs="Times New Roman" w:hAnsi="Times New Roman"/>
        </w:rPr>
        <w:t>Správna rada pracovala v roku 2013 v zložení:</w:t>
      </w:r>
    </w:p>
    <w:p>
      <w:pPr>
        <w:pStyle w:val="style0"/>
        <w:spacing w:after="0" w:before="0"/>
      </w:pPr>
      <w:r>
        <w:rPr>
          <w:rFonts w:ascii="Times New Roman" w:cs="Times New Roman" w:hAnsi="Times New Roman"/>
        </w:rPr>
      </w:r>
    </w:p>
    <w:p>
      <w:pPr>
        <w:pStyle w:val="style0"/>
        <w:spacing w:after="0" w:before="0"/>
      </w:pPr>
      <w:r>
        <w:rPr>
          <w:rFonts w:ascii="Times New Roman" w:cs="Times New Roman" w:hAnsi="Times New Roman"/>
        </w:rPr>
        <w:t>JUDr. Vorobel Slavomír, Ing. Daniela Fürstenzellerová, MBA,  JUDr. Gabriela Ballaschová,  p. Jana Kuľbagová, p. Monika Grantnerová</w:t>
      </w:r>
    </w:p>
    <w:p>
      <w:pPr>
        <w:pStyle w:val="style0"/>
        <w:spacing w:after="0" w:before="0"/>
      </w:pPr>
      <w:r>
        <w:rPr>
          <w:rFonts w:ascii="Times New Roman" w:cs="Times New Roman" w:hAnsi="Times New Roman"/>
        </w:rPr>
      </w:r>
    </w:p>
    <w:p>
      <w:pPr>
        <w:pStyle w:val="style0"/>
        <w:spacing w:after="0" w:before="0"/>
      </w:pPr>
      <w:r>
        <w:rPr>
          <w:rFonts w:ascii="Times New Roman" w:cs="Times New Roman" w:hAnsi="Times New Roman"/>
        </w:rPr>
        <w:t>Revízor nadácie :  p. Gabriela Heinrichová   (dobrovoľná a neplatená funkcia )</w:t>
      </w:r>
    </w:p>
    <w:p>
      <w:pPr>
        <w:pStyle w:val="style0"/>
        <w:spacing w:after="0" w:before="0"/>
      </w:pPr>
      <w:r>
        <w:rPr>
          <w:rFonts w:ascii="Times New Roman" w:cs="Times New Roman" w:hAnsi="Times New Roman"/>
        </w:rPr>
      </w:r>
    </w:p>
    <w:p>
      <w:pPr>
        <w:pStyle w:val="style0"/>
        <w:spacing w:after="0" w:before="0"/>
      </w:pPr>
      <w:r>
        <w:rPr>
          <w:rFonts w:ascii="Times New Roman" w:cs="Times New Roman" w:hAnsi="Times New Roman"/>
        </w:rPr>
        <w:t>Riaditeľ nadácie: MUDr. Urbančíková Ingrid, PhD., MPH</w:t>
      </w:r>
    </w:p>
    <w:p>
      <w:pPr>
        <w:pStyle w:val="style0"/>
        <w:spacing w:after="0" w:before="0"/>
      </w:pPr>
      <w:r>
        <w:rPr>
          <w:rFonts w:ascii="Times New Roman" w:cs="Times New Roman" w:hAnsi="Times New Roman"/>
        </w:rPr>
      </w:r>
    </w:p>
    <w:p>
      <w:pPr>
        <w:pStyle w:val="style0"/>
        <w:spacing w:after="28" w:before="0"/>
      </w:pPr>
      <w:r>
        <w:rPr>
          <w:rFonts w:ascii="Times New Roman" w:cs="Times New Roman" w:hAnsi="Times New Roman"/>
        </w:rPr>
        <w:t xml:space="preserve">V hodnotenom období v roku 2013 odmeny  alebo mzdy za výkon funkcie riaditeľa alebo  člena Správnej rady neboli vyplatené, pretože .nezisková organizácia nemala uzatvorené  s riaditeľom a členmi Správnej rady  Dohody o prácach vykonávaných  mimo pracovného pomeru  a nemala uzatvorené ani  Pracovné zmluvy . </w:t>
      </w:r>
    </w:p>
    <w:p>
      <w:pPr>
        <w:pStyle w:val="style0"/>
        <w:spacing w:after="28" w:before="0"/>
      </w:pPr>
      <w:r>
        <w:rPr>
          <w:rFonts w:ascii="Times New Roman" w:cs="Times New Roman" w:hAnsi="Times New Roman"/>
          <w:b/>
          <w:sz w:val="28"/>
          <w:szCs w:val="28"/>
        </w:rPr>
        <w:t>III. Finančná časť</w:t>
      </w:r>
    </w:p>
    <w:p>
      <w:pPr>
        <w:pStyle w:val="style0"/>
        <w:spacing w:after="28" w:before="0"/>
      </w:pPr>
      <w:r>
        <w:rPr>
          <w:rFonts w:ascii="Times New Roman" w:cs="Times New Roman" w:hAnsi="Times New Roman"/>
        </w:rPr>
        <w:t>Finančný príjem neziskovej organizácie v roku 2013 pozostával  zo sponzorských príspevkov. Nezisková organizácia oslovila vedenie viacerých obchodných  spoločností, bankových inštitúcií  na území SR prostredníctvom listov na podporu verejnoprospešného účelu. V roku 2013 organizácia nebola podľa platnej legislatívy poberateľom 2 % podielu zaplatenej dane.</w:t>
      </w:r>
    </w:p>
    <w:p>
      <w:pPr>
        <w:pStyle w:val="style0"/>
        <w:spacing w:after="28" w:before="0"/>
      </w:pPr>
      <w:r>
        <w:rPr>
          <w:rFonts w:ascii="Times New Roman" w:cs="Times New Roman" w:hAnsi="Times New Roman"/>
        </w:rPr>
        <w:t>Výdavky a príjmy  neziskovej organizácie plánované v rámci rozpočtu na rok 2013 a  schváleného prijatím na zasadnutí správnej rady, boli odsúhlasené nasledovne:</w:t>
      </w:r>
    </w:p>
    <w:tbl>
      <w:tblPr>
        <w:jc w:val="left"/>
        <w:tblInd w:type="dxa" w:w="-108"/>
        <w:tblBorders/>
      </w:tblPr>
      <w:tblGrid>
        <w:gridCol w:w="3935"/>
        <w:gridCol w:w="2204"/>
        <w:gridCol w:w="3073"/>
      </w:tblGrid>
      <w:tr>
        <w:trPr>
          <w:cantSplit w:val="false"/>
        </w:trPr>
        <w:tc>
          <w:tcPr>
            <w:tcW w:type="dxa" w:w="3935"/>
            <w:tcBorders/>
            <w:shd w:fill="FFFF00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  <w:b/>
              </w:rPr>
              <w:t>Výdavky</w:t>
            </w:r>
          </w:p>
        </w:tc>
        <w:tc>
          <w:tcPr>
            <w:tcW w:type="dxa" w:w="2204"/>
            <w:tcBorders/>
            <w:shd w:fill="FFFF00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  <w:b/>
              </w:rPr>
              <w:t>Plánovaný rozpočet</w:t>
            </w:r>
          </w:p>
        </w:tc>
        <w:tc>
          <w:tcPr>
            <w:tcW w:type="dxa" w:w="3073"/>
            <w:tcBorders/>
            <w:shd w:fill="FFFF00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  <w:b/>
              </w:rPr>
              <w:t>Reálne výdavky</w:t>
            </w:r>
          </w:p>
        </w:tc>
      </w:tr>
      <w:tr>
        <w:trPr>
          <w:cantSplit w:val="false"/>
        </w:trPr>
        <w:tc>
          <w:tcPr>
            <w:tcW w:type="dxa" w:w="3935"/>
            <w:tcBorders/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</w:rPr>
              <w:t xml:space="preserve">Notárske služby </w:t>
            </w:r>
          </w:p>
        </w:tc>
        <w:tc>
          <w:tcPr>
            <w:tcW w:type="dxa" w:w="2204"/>
            <w:tcBorders/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</w:rPr>
              <w:t xml:space="preserve">       </w:t>
            </w:r>
            <w:r>
              <w:rPr>
                <w:rFonts w:ascii="Times New Roman" w:cs="Times New Roman" w:hAnsi="Times New Roman"/>
              </w:rPr>
              <w:t>60,00 Eur</w:t>
            </w:r>
          </w:p>
        </w:tc>
        <w:tc>
          <w:tcPr>
            <w:tcW w:type="dxa" w:w="3073"/>
            <w:tcBorders/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</w:rPr>
              <w:t xml:space="preserve">       </w:t>
            </w:r>
            <w:r>
              <w:rPr>
                <w:rFonts w:ascii="Times New Roman" w:cs="Times New Roman" w:hAnsi="Times New Roman"/>
              </w:rPr>
              <w:t>51,60 Eur</w:t>
            </w:r>
          </w:p>
        </w:tc>
      </w:tr>
      <w:tr>
        <w:trPr>
          <w:cantSplit w:val="false"/>
        </w:trPr>
        <w:tc>
          <w:tcPr>
            <w:tcW w:type="dxa" w:w="3935"/>
            <w:tcBorders/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</w:rPr>
              <w:t>Kancelárske potreby</w:t>
            </w:r>
          </w:p>
        </w:tc>
        <w:tc>
          <w:tcPr>
            <w:tcW w:type="dxa" w:w="2204"/>
            <w:tcBorders/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</w:rPr>
              <w:t xml:space="preserve">       </w:t>
            </w:r>
            <w:r>
              <w:rPr>
                <w:rFonts w:ascii="Times New Roman" w:cs="Times New Roman" w:hAnsi="Times New Roman"/>
              </w:rPr>
              <w:t>20,00 Eur</w:t>
            </w:r>
          </w:p>
        </w:tc>
        <w:tc>
          <w:tcPr>
            <w:tcW w:type="dxa" w:w="3073"/>
            <w:tcBorders/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</w:rPr>
              <w:t xml:space="preserve">       </w:t>
            </w:r>
            <w:r>
              <w:rPr>
                <w:rFonts w:ascii="Times New Roman" w:cs="Times New Roman" w:hAnsi="Times New Roman"/>
              </w:rPr>
              <w:t>15,66 Eur</w:t>
            </w:r>
          </w:p>
        </w:tc>
      </w:tr>
      <w:tr>
        <w:trPr>
          <w:cantSplit w:val="false"/>
        </w:trPr>
        <w:tc>
          <w:tcPr>
            <w:tcW w:type="dxa" w:w="3935"/>
            <w:tcBorders/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</w:rPr>
              <w:t xml:space="preserve">Poskytnuté príspevky iným účtovným jednotkám </w:t>
            </w:r>
          </w:p>
        </w:tc>
        <w:tc>
          <w:tcPr>
            <w:tcW w:type="dxa" w:w="2204"/>
            <w:tcBorders/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</w:rPr>
              <w:t>10.100,00 Eur</w:t>
            </w:r>
          </w:p>
        </w:tc>
        <w:tc>
          <w:tcPr>
            <w:tcW w:type="dxa" w:w="3073"/>
            <w:tcBorders/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</w:rPr>
              <w:t>10.000,00 Eur</w:t>
            </w:r>
          </w:p>
        </w:tc>
      </w:tr>
      <w:tr>
        <w:trPr>
          <w:cantSplit w:val="false"/>
        </w:trPr>
        <w:tc>
          <w:tcPr>
            <w:tcW w:type="dxa" w:w="3935"/>
            <w:tcBorders/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</w:rPr>
              <w:t>Daň z úrokov a poplatky</w:t>
            </w:r>
          </w:p>
        </w:tc>
        <w:tc>
          <w:tcPr>
            <w:tcW w:type="dxa" w:w="2204"/>
            <w:tcBorders/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</w:rPr>
              <w:t xml:space="preserve">          </w:t>
            </w:r>
            <w:r>
              <w:rPr>
                <w:rFonts w:ascii="Times New Roman" w:cs="Times New Roman" w:hAnsi="Times New Roman"/>
              </w:rPr>
              <w:t>3,50 Eur</w:t>
            </w:r>
          </w:p>
        </w:tc>
        <w:tc>
          <w:tcPr>
            <w:tcW w:type="dxa" w:w="3073"/>
            <w:tcBorders/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</w:rPr>
              <w:t xml:space="preserve">         </w:t>
            </w:r>
            <w:r>
              <w:rPr>
                <w:rFonts w:ascii="Times New Roman" w:cs="Times New Roman" w:hAnsi="Times New Roman"/>
              </w:rPr>
              <w:t>1,40 Eur</w:t>
            </w:r>
          </w:p>
        </w:tc>
      </w:tr>
      <w:tr>
        <w:trPr>
          <w:cantSplit w:val="false"/>
        </w:trPr>
        <w:tc>
          <w:tcPr>
            <w:tcW w:type="dxa" w:w="3935"/>
            <w:tcBorders/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</w:rPr>
              <w:t>Ostatné výdavky na prevádzku n.o.</w:t>
            </w:r>
          </w:p>
        </w:tc>
        <w:tc>
          <w:tcPr>
            <w:tcW w:type="dxa" w:w="2204"/>
            <w:tcBorders/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</w:rPr>
              <w:t xml:space="preserve">   </w:t>
            </w:r>
            <w:r>
              <w:rPr>
                <w:rFonts w:ascii="Times New Roman" w:cs="Times New Roman" w:hAnsi="Times New Roman"/>
              </w:rPr>
              <w:t>5.517,00 Eur</w:t>
            </w:r>
          </w:p>
        </w:tc>
        <w:tc>
          <w:tcPr>
            <w:tcW w:type="dxa" w:w="3073"/>
            <w:tcBorders/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</w:rPr>
              <w:t xml:space="preserve">         </w:t>
            </w:r>
            <w:r>
              <w:rPr>
                <w:rFonts w:ascii="Times New Roman" w:cs="Times New Roman" w:hAnsi="Times New Roman"/>
              </w:rPr>
              <w:t>0,00 Eur</w:t>
            </w:r>
          </w:p>
        </w:tc>
      </w:tr>
      <w:tr>
        <w:trPr>
          <w:cantSplit w:val="false"/>
        </w:trPr>
        <w:tc>
          <w:tcPr>
            <w:tcW w:type="dxa" w:w="3935"/>
            <w:tcBorders/>
            <w:shd w:fill="FFFF00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  <w:b/>
              </w:rPr>
              <w:t>Spolu</w:t>
            </w:r>
          </w:p>
        </w:tc>
        <w:tc>
          <w:tcPr>
            <w:tcW w:type="dxa" w:w="2204"/>
            <w:tcBorders/>
            <w:shd w:fill="FFFF00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  <w:b/>
              </w:rPr>
              <w:t>15.700,50 Eur</w:t>
            </w:r>
          </w:p>
        </w:tc>
        <w:tc>
          <w:tcPr>
            <w:tcW w:type="dxa" w:w="3073"/>
            <w:tcBorders/>
            <w:shd w:fill="FFFF00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  <w:b/>
              </w:rPr>
              <w:t>10.068,66 Eur</w:t>
            </w:r>
          </w:p>
        </w:tc>
      </w:tr>
    </w:tbl>
    <w:p>
      <w:pPr>
        <w:pStyle w:val="style0"/>
        <w:spacing w:after="28" w:before="0"/>
      </w:pPr>
      <w:r>
        <w:rPr>
          <w:rFonts w:ascii="Times New Roman" w:cs="Times New Roman" w:hAnsi="Times New Roman"/>
          <w:b/>
        </w:rPr>
      </w:r>
    </w:p>
    <w:tbl>
      <w:tblPr>
        <w:jc w:val="left"/>
        <w:tblInd w:type="dxa" w:w="-108"/>
        <w:tblBorders/>
      </w:tblPr>
      <w:tblGrid>
        <w:gridCol w:w="3940"/>
        <w:gridCol w:w="2204"/>
        <w:gridCol w:w="3078"/>
      </w:tblGrid>
      <w:tr>
        <w:trPr>
          <w:cantSplit w:val="false"/>
        </w:trPr>
        <w:tc>
          <w:tcPr>
            <w:tcW w:type="dxa" w:w="3940"/>
            <w:tcBorders/>
            <w:shd w:fill="FFFF00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  <w:b/>
              </w:rPr>
              <w:t>Príjmy</w:t>
            </w:r>
          </w:p>
        </w:tc>
        <w:tc>
          <w:tcPr>
            <w:tcW w:type="dxa" w:w="2204"/>
            <w:tcBorders/>
            <w:shd w:fill="FFFF00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  <w:b/>
              </w:rPr>
              <w:t>Plánovaný rozpočet</w:t>
            </w:r>
          </w:p>
        </w:tc>
        <w:tc>
          <w:tcPr>
            <w:tcW w:type="dxa" w:w="3078"/>
            <w:tcBorders/>
            <w:shd w:fill="FFFF00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  <w:b/>
              </w:rPr>
              <w:t>Reálne príjmy</w:t>
            </w:r>
          </w:p>
        </w:tc>
      </w:tr>
      <w:tr>
        <w:trPr>
          <w:cantSplit w:val="false"/>
        </w:trPr>
        <w:tc>
          <w:tcPr>
            <w:tcW w:type="dxa" w:w="3940"/>
            <w:tcBorders/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</w:rPr>
              <w:t>Prijaté príspevky od iných organizácií</w:t>
            </w:r>
          </w:p>
        </w:tc>
        <w:tc>
          <w:tcPr>
            <w:tcW w:type="dxa" w:w="2204"/>
            <w:tcBorders/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</w:rPr>
              <w:t>15.100,00  Eur</w:t>
            </w:r>
          </w:p>
        </w:tc>
        <w:tc>
          <w:tcPr>
            <w:tcW w:type="dxa" w:w="3078"/>
            <w:tcBorders/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</w:rPr>
              <w:t xml:space="preserve"> </w:t>
            </w:r>
            <w:r>
              <w:rPr>
                <w:rFonts w:ascii="Times New Roman" w:cs="Times New Roman" w:hAnsi="Times New Roman"/>
              </w:rPr>
              <w:t>15.000,00 Eur</w:t>
            </w:r>
          </w:p>
        </w:tc>
      </w:tr>
      <w:tr>
        <w:trPr>
          <w:cantSplit w:val="false"/>
        </w:trPr>
        <w:tc>
          <w:tcPr>
            <w:tcW w:type="dxa" w:w="3940"/>
            <w:tcBorders/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</w:rPr>
              <w:t>Prijaté príspevky od fyzických osôb</w:t>
            </w:r>
          </w:p>
        </w:tc>
        <w:tc>
          <w:tcPr>
            <w:tcW w:type="dxa" w:w="2204"/>
            <w:tcBorders/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</w:rPr>
              <w:t xml:space="preserve">      </w:t>
            </w:r>
            <w:r>
              <w:rPr>
                <w:rFonts w:ascii="Times New Roman" w:cs="Times New Roman" w:hAnsi="Times New Roman"/>
              </w:rPr>
              <w:t>600,00 Eur</w:t>
            </w:r>
          </w:p>
        </w:tc>
        <w:tc>
          <w:tcPr>
            <w:tcW w:type="dxa" w:w="3078"/>
            <w:tcBorders/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</w:rPr>
              <w:t xml:space="preserve">      </w:t>
            </w:r>
            <w:r>
              <w:rPr>
                <w:rFonts w:ascii="Times New Roman" w:cs="Times New Roman" w:hAnsi="Times New Roman"/>
              </w:rPr>
              <w:t>550,00 Eur</w:t>
            </w:r>
          </w:p>
        </w:tc>
      </w:tr>
      <w:tr>
        <w:trPr>
          <w:cantSplit w:val="false"/>
        </w:trPr>
        <w:tc>
          <w:tcPr>
            <w:tcW w:type="dxa" w:w="3940"/>
            <w:tcBorders/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</w:rPr>
              <w:t xml:space="preserve">Úroky </w:t>
            </w:r>
          </w:p>
        </w:tc>
        <w:tc>
          <w:tcPr>
            <w:tcW w:type="dxa" w:w="2204"/>
            <w:tcBorders/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</w:rPr>
              <w:t xml:space="preserve">          </w:t>
            </w:r>
            <w:r>
              <w:rPr>
                <w:rFonts w:ascii="Times New Roman" w:cs="Times New Roman" w:hAnsi="Times New Roman"/>
              </w:rPr>
              <w:t xml:space="preserve">0,50 Eur </w:t>
            </w:r>
          </w:p>
        </w:tc>
        <w:tc>
          <w:tcPr>
            <w:tcW w:type="dxa" w:w="3078"/>
            <w:tcBorders/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</w:rPr>
              <w:t xml:space="preserve">          </w:t>
            </w:r>
            <w:r>
              <w:rPr>
                <w:rFonts w:ascii="Times New Roman" w:cs="Times New Roman" w:hAnsi="Times New Roman"/>
              </w:rPr>
              <w:t>0,32 Eur</w:t>
            </w:r>
          </w:p>
        </w:tc>
      </w:tr>
      <w:tr>
        <w:trPr>
          <w:cantSplit w:val="false"/>
        </w:trPr>
        <w:tc>
          <w:tcPr>
            <w:tcW w:type="dxa" w:w="3940"/>
            <w:tcBorders/>
            <w:shd w:fill="FFFF00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  <w:b/>
              </w:rPr>
              <w:t>Spolu</w:t>
            </w:r>
          </w:p>
        </w:tc>
        <w:tc>
          <w:tcPr>
            <w:tcW w:type="dxa" w:w="2204"/>
            <w:tcBorders/>
            <w:shd w:fill="FFFF00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  <w:b/>
              </w:rPr>
              <w:t xml:space="preserve"> </w:t>
            </w:r>
            <w:r>
              <w:rPr>
                <w:rFonts w:ascii="Times New Roman" w:cs="Times New Roman" w:hAnsi="Times New Roman"/>
                <w:b/>
              </w:rPr>
              <w:t xml:space="preserve">15.700,50 Eur </w:t>
            </w:r>
          </w:p>
        </w:tc>
        <w:tc>
          <w:tcPr>
            <w:tcW w:type="dxa" w:w="3078"/>
            <w:tcBorders/>
            <w:shd w:fill="FFFF00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  <w:b/>
              </w:rPr>
              <w:t xml:space="preserve"> </w:t>
            </w:r>
            <w:r>
              <w:rPr>
                <w:rFonts w:ascii="Times New Roman" w:cs="Times New Roman" w:hAnsi="Times New Roman"/>
                <w:b/>
              </w:rPr>
              <w:t>15.550,32 Eur</w:t>
            </w:r>
          </w:p>
        </w:tc>
      </w:tr>
    </w:tbl>
    <w:p>
      <w:pPr>
        <w:pStyle w:val="style0"/>
        <w:spacing w:after="28" w:before="0"/>
      </w:pPr>
      <w:r>
        <w:rPr>
          <w:rFonts w:ascii="Times New Roman" w:cs="Times New Roman" w:hAnsi="Times New Roman"/>
          <w:b/>
        </w:rPr>
      </w:r>
    </w:p>
    <w:p>
      <w:pPr>
        <w:pStyle w:val="style0"/>
        <w:spacing w:after="28" w:before="0"/>
      </w:pPr>
      <w:r>
        <w:rPr>
          <w:rFonts w:ascii="Times New Roman" w:cs="Times New Roman" w:hAnsi="Times New Roman"/>
          <w:b/>
        </w:rPr>
        <w:t>Reálne náklady a výnosy k 31.12.2013:</w:t>
      </w:r>
    </w:p>
    <w:tbl>
      <w:tblPr>
        <w:jc w:val="left"/>
        <w:tblInd w:type="dxa" w:w="-108"/>
        <w:tblBorders/>
      </w:tblPr>
      <w:tblGrid>
        <w:gridCol w:w="4643"/>
        <w:gridCol w:w="4536"/>
      </w:tblGrid>
      <w:tr>
        <w:trPr>
          <w:cantSplit w:val="false"/>
        </w:trPr>
        <w:tc>
          <w:tcPr>
            <w:tcW w:type="dxa" w:w="4643"/>
            <w:tcBorders/>
            <w:shd w:fill="FFFF00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</w:rPr>
            </w:r>
          </w:p>
        </w:tc>
        <w:tc>
          <w:tcPr>
            <w:tcW w:type="dxa" w:w="4536"/>
            <w:tcBorders/>
            <w:shd w:fill="FFFF00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  <w:b/>
              </w:rPr>
              <w:t>Výnosy</w:t>
            </w:r>
          </w:p>
        </w:tc>
      </w:tr>
      <w:tr>
        <w:trPr>
          <w:cantSplit w:val="false"/>
        </w:trPr>
        <w:tc>
          <w:tcPr>
            <w:tcW w:type="dxa" w:w="4643"/>
            <w:tcBorders/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</w:rPr>
              <w:t xml:space="preserve">Prijaté príspevky od organizácií </w:t>
            </w:r>
          </w:p>
        </w:tc>
        <w:tc>
          <w:tcPr>
            <w:tcW w:type="dxa" w:w="4536"/>
            <w:tcBorders/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</w:rPr>
              <w:t>15.000,00 Eur</w:t>
            </w:r>
          </w:p>
        </w:tc>
      </w:tr>
      <w:tr>
        <w:trPr>
          <w:cantSplit w:val="false"/>
        </w:trPr>
        <w:tc>
          <w:tcPr>
            <w:tcW w:type="dxa" w:w="4643"/>
            <w:tcBorders/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</w:rPr>
              <w:t>Prijaté príspevky od fyzických osôb</w:t>
            </w:r>
          </w:p>
        </w:tc>
        <w:tc>
          <w:tcPr>
            <w:tcW w:type="dxa" w:w="4536"/>
            <w:tcBorders/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</w:rPr>
              <w:t xml:space="preserve">      </w:t>
            </w:r>
            <w:r>
              <w:rPr>
                <w:rFonts w:ascii="Times New Roman" w:cs="Times New Roman" w:hAnsi="Times New Roman"/>
              </w:rPr>
              <w:t>550,00Eur</w:t>
            </w:r>
          </w:p>
        </w:tc>
      </w:tr>
      <w:tr>
        <w:trPr>
          <w:cantSplit w:val="false"/>
        </w:trPr>
        <w:tc>
          <w:tcPr>
            <w:tcW w:type="dxa" w:w="4643"/>
            <w:tcBorders/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</w:rPr>
              <w:t xml:space="preserve">Úroky </w:t>
            </w:r>
          </w:p>
        </w:tc>
        <w:tc>
          <w:tcPr>
            <w:tcW w:type="dxa" w:w="4536"/>
            <w:tcBorders/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</w:rPr>
              <w:t xml:space="preserve">          </w:t>
            </w:r>
            <w:r>
              <w:rPr>
                <w:rFonts w:ascii="Times New Roman" w:cs="Times New Roman" w:hAnsi="Times New Roman"/>
              </w:rPr>
              <w:t>0,32 Eur</w:t>
            </w:r>
          </w:p>
        </w:tc>
      </w:tr>
      <w:tr>
        <w:trPr>
          <w:cantSplit w:val="false"/>
        </w:trPr>
        <w:tc>
          <w:tcPr>
            <w:tcW w:type="dxa" w:w="4643"/>
            <w:tcBorders/>
            <w:shd w:fill="FFFF00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  <w:b/>
              </w:rPr>
              <w:t>Spolu</w:t>
            </w:r>
          </w:p>
        </w:tc>
        <w:tc>
          <w:tcPr>
            <w:tcW w:type="dxa" w:w="4536"/>
            <w:tcBorders/>
            <w:shd w:fill="FFFF00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  <w:b/>
              </w:rPr>
              <w:t>15.550,32 Eur</w:t>
            </w:r>
          </w:p>
        </w:tc>
      </w:tr>
    </w:tbl>
    <w:p>
      <w:pPr>
        <w:pStyle w:val="style0"/>
        <w:spacing w:after="28" w:before="0"/>
      </w:pPr>
      <w:r>
        <w:rPr>
          <w:rFonts w:ascii="Times New Roman" w:cs="Times New Roman" w:hAnsi="Times New Roman"/>
        </w:rPr>
      </w:r>
    </w:p>
    <w:p>
      <w:pPr>
        <w:pStyle w:val="style0"/>
        <w:spacing w:after="28" w:before="0"/>
        <w:jc w:val="both"/>
      </w:pPr>
      <w:r>
        <w:rPr>
          <w:rFonts w:ascii="Times New Roman" w:cs="Times New Roman" w:hAnsi="Times New Roman"/>
        </w:rPr>
        <w:t>Všetky finančné prostriedky prijaté od organizácií boli účelovo viazané  a určená časť týchto finančných prostriedkov bola použitá v súlade s účelom darovacej  zmluvy, ktorý bol zadefinovaný v darovacej zmluve. Čiastka 10.000,- Eur bola použitá na účely podpory vydania  odbornej zdravotníckej publikácie , učenej širokej odbornej lekárskej verejnosti v súlade s predmetom činnosti neziskovej organizácie zameranej na vzdelávanie a výchovu.</w:t>
      </w:r>
    </w:p>
    <w:tbl>
      <w:tblPr>
        <w:jc w:val="left"/>
        <w:tblInd w:type="dxa" w:w="-108"/>
        <w:tblBorders/>
      </w:tblPr>
      <w:tblGrid>
        <w:gridCol w:w="4624"/>
        <w:gridCol w:w="4624"/>
      </w:tblGrid>
      <w:tr>
        <w:trPr>
          <w:cantSplit w:val="false"/>
        </w:trPr>
        <w:tc>
          <w:tcPr>
            <w:tcW w:type="dxa" w:w="4624"/>
            <w:tcBorders/>
            <w:shd w:fill="FFFF00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</w:rPr>
            </w:r>
          </w:p>
        </w:tc>
        <w:tc>
          <w:tcPr>
            <w:tcW w:type="dxa" w:w="4624"/>
            <w:tcBorders/>
            <w:shd w:fill="FFFF00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  <w:b/>
              </w:rPr>
              <w:t>Náklady</w:t>
            </w:r>
          </w:p>
        </w:tc>
      </w:tr>
      <w:tr>
        <w:trPr>
          <w:cantSplit w:val="false"/>
        </w:trPr>
        <w:tc>
          <w:tcPr>
            <w:tcW w:type="dxa" w:w="4624"/>
            <w:tcBorders/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</w:rPr>
              <w:t>Ostatné služby – odmena za notársky úkon</w:t>
            </w:r>
          </w:p>
        </w:tc>
        <w:tc>
          <w:tcPr>
            <w:tcW w:type="dxa" w:w="4624"/>
            <w:tcBorders/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</w:rPr>
              <w:t xml:space="preserve">         </w:t>
            </w:r>
            <w:r>
              <w:rPr>
                <w:rFonts w:ascii="Times New Roman" w:cs="Times New Roman" w:hAnsi="Times New Roman"/>
              </w:rPr>
              <w:t>51,60 Eur</w:t>
            </w:r>
          </w:p>
        </w:tc>
      </w:tr>
      <w:tr>
        <w:trPr>
          <w:cantSplit w:val="false"/>
        </w:trPr>
        <w:tc>
          <w:tcPr>
            <w:tcW w:type="dxa" w:w="4624"/>
            <w:tcBorders/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</w:rPr>
              <w:t>Iné ostatné náklady – bankové poplatky</w:t>
            </w:r>
          </w:p>
        </w:tc>
        <w:tc>
          <w:tcPr>
            <w:tcW w:type="dxa" w:w="4624"/>
            <w:tcBorders/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</w:rPr>
              <w:t xml:space="preserve">           </w:t>
            </w:r>
            <w:r>
              <w:rPr>
                <w:rFonts w:ascii="Times New Roman" w:cs="Times New Roman" w:hAnsi="Times New Roman"/>
              </w:rPr>
              <w:t>1,35 Eur</w:t>
            </w:r>
          </w:p>
        </w:tc>
      </w:tr>
      <w:tr>
        <w:trPr>
          <w:cantSplit w:val="false"/>
        </w:trPr>
        <w:tc>
          <w:tcPr>
            <w:tcW w:type="dxa" w:w="4624"/>
            <w:tcBorders/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</w:rPr>
              <w:t>Poskytnuté príspevky iným účt. jednotkám</w:t>
            </w:r>
          </w:p>
        </w:tc>
        <w:tc>
          <w:tcPr>
            <w:tcW w:type="dxa" w:w="4624"/>
            <w:tcBorders/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</w:rPr>
              <w:t xml:space="preserve">  </w:t>
            </w:r>
            <w:r>
              <w:rPr>
                <w:rFonts w:ascii="Times New Roman" w:cs="Times New Roman" w:hAnsi="Times New Roman"/>
              </w:rPr>
              <w:t>10.000,00 Eur</w:t>
            </w:r>
          </w:p>
        </w:tc>
      </w:tr>
      <w:tr>
        <w:trPr>
          <w:cantSplit w:val="false"/>
        </w:trPr>
        <w:tc>
          <w:tcPr>
            <w:tcW w:type="dxa" w:w="4624"/>
            <w:tcBorders/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</w:rPr>
              <w:t>Kancelárske potreby – pečiatka</w:t>
            </w:r>
          </w:p>
        </w:tc>
        <w:tc>
          <w:tcPr>
            <w:tcW w:type="dxa" w:w="4624"/>
            <w:tcBorders/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</w:rPr>
              <w:t xml:space="preserve">         </w:t>
            </w:r>
            <w:r>
              <w:rPr>
                <w:rFonts w:ascii="Times New Roman" w:cs="Times New Roman" w:hAnsi="Times New Roman"/>
              </w:rPr>
              <w:t>15,66 Eur</w:t>
            </w:r>
          </w:p>
        </w:tc>
      </w:tr>
      <w:tr>
        <w:trPr>
          <w:cantSplit w:val="false"/>
        </w:trPr>
        <w:tc>
          <w:tcPr>
            <w:tcW w:type="dxa" w:w="4624"/>
            <w:tcBorders/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</w:rPr>
              <w:t>Daň z úrokov</w:t>
            </w:r>
          </w:p>
        </w:tc>
        <w:tc>
          <w:tcPr>
            <w:tcW w:type="dxa" w:w="4624"/>
            <w:tcBorders/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</w:rPr>
              <w:t xml:space="preserve">           </w:t>
            </w:r>
            <w:r>
              <w:rPr>
                <w:rFonts w:ascii="Times New Roman" w:cs="Times New Roman" w:hAnsi="Times New Roman"/>
              </w:rPr>
              <w:t>0,05 Eur</w:t>
            </w:r>
          </w:p>
        </w:tc>
      </w:tr>
      <w:tr>
        <w:trPr>
          <w:cantSplit w:val="false"/>
        </w:trPr>
        <w:tc>
          <w:tcPr>
            <w:tcW w:type="dxa" w:w="4605"/>
            <w:tcBorders/>
            <w:shd w:fill="FFFF00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  <w:b/>
              </w:rPr>
              <w:t>Spolu</w:t>
            </w:r>
          </w:p>
        </w:tc>
        <w:tc>
          <w:tcPr>
            <w:tcW w:type="dxa" w:w="4643"/>
            <w:tcBorders/>
            <w:shd w:fill="FFFF00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  <w:b/>
              </w:rPr>
              <w:t xml:space="preserve">  </w:t>
            </w:r>
            <w:r>
              <w:rPr>
                <w:rFonts w:ascii="Times New Roman" w:cs="Times New Roman" w:hAnsi="Times New Roman"/>
                <w:b/>
              </w:rPr>
              <w:t>10.068,66 Eur</w:t>
            </w:r>
          </w:p>
        </w:tc>
      </w:tr>
    </w:tbl>
    <w:p>
      <w:pPr>
        <w:pStyle w:val="style0"/>
        <w:spacing w:after="28" w:before="0"/>
      </w:pPr>
      <w:r>
        <w:rPr>
          <w:rFonts w:ascii="Times New Roman" w:cs="Times New Roman" w:hAnsi="Times New Roman"/>
        </w:rPr>
      </w:r>
    </w:p>
    <w:p>
      <w:pPr>
        <w:pStyle w:val="style0"/>
        <w:spacing w:after="28" w:before="0"/>
      </w:pPr>
      <w:r>
        <w:rPr>
          <w:rFonts w:ascii="Times New Roman" w:cs="Times New Roman" w:hAnsi="Times New Roman"/>
        </w:rPr>
        <w:t xml:space="preserve">Stav aktív a pasív k 31.12.2013 predstavuje čiastku 5.481,66 Eur. Z toho majetok vo výške 5.481,66 Eur pozostáva – finančné účty bankové /účet 221/Iný majetok nezisková organizácia neeviduje. </w:t>
      </w:r>
    </w:p>
    <w:p>
      <w:pPr>
        <w:pStyle w:val="style0"/>
        <w:spacing w:after="28" w:before="0"/>
      </w:pPr>
      <w:r>
        <w:rPr>
          <w:rFonts w:ascii="Times New Roman" w:cs="Times New Roman" w:hAnsi="Times New Roman"/>
        </w:rPr>
        <w:t>Stav na účte ČSOB, a.s. k 31.12.2013 – 4017678051/7500</w:t>
      </w:r>
    </w:p>
    <w:tbl>
      <w:tblPr>
        <w:jc w:val="left"/>
        <w:tblInd w:type="dxa" w:w="-108"/>
        <w:tblBorders/>
      </w:tblPr>
      <w:tblGrid>
        <w:gridCol w:w="3070"/>
        <w:gridCol w:w="3069"/>
        <w:gridCol w:w="3073"/>
      </w:tblGrid>
      <w:tr>
        <w:trPr>
          <w:cantSplit w:val="false"/>
        </w:trPr>
        <w:tc>
          <w:tcPr>
            <w:tcW w:type="dxa" w:w="3070"/>
            <w:tcBorders/>
            <w:shd w:fill="FFFF00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  <w:b/>
              </w:rPr>
              <w:t>ČSOB, a.s.</w:t>
            </w:r>
          </w:p>
        </w:tc>
        <w:tc>
          <w:tcPr>
            <w:tcW w:type="dxa" w:w="3069"/>
            <w:tcBorders/>
            <w:shd w:fill="FFFF00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  <w:b/>
              </w:rPr>
              <w:t>Počiatočný stav k 01.01.2013</w:t>
            </w:r>
          </w:p>
        </w:tc>
        <w:tc>
          <w:tcPr>
            <w:tcW w:type="dxa" w:w="3073"/>
            <w:tcBorders/>
            <w:shd w:fill="FFFF00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  <w:b/>
              </w:rPr>
              <w:t>Zostatok k 31.12.2013</w:t>
            </w:r>
          </w:p>
        </w:tc>
      </w:tr>
      <w:tr>
        <w:trPr>
          <w:cantSplit w:val="false"/>
        </w:trPr>
        <w:tc>
          <w:tcPr>
            <w:tcW w:type="dxa" w:w="3070"/>
            <w:tcBorders/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</w:rPr>
              <w:t>Bežný účet</w:t>
            </w:r>
          </w:p>
        </w:tc>
        <w:tc>
          <w:tcPr>
            <w:tcW w:type="dxa" w:w="3069"/>
            <w:tcBorders/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</w:rPr>
              <w:t>0</w:t>
            </w:r>
          </w:p>
        </w:tc>
        <w:tc>
          <w:tcPr>
            <w:tcW w:type="dxa" w:w="3073"/>
            <w:tcBorders/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8" w:before="0"/>
            </w:pPr>
            <w:r>
              <w:rPr>
                <w:rFonts w:ascii="Times New Roman" w:cs="Times New Roman" w:hAnsi="Times New Roman"/>
              </w:rPr>
              <w:t>5.481,66 Eur</w:t>
            </w:r>
          </w:p>
        </w:tc>
      </w:tr>
    </w:tbl>
    <w:p>
      <w:pPr>
        <w:pStyle w:val="style0"/>
        <w:spacing w:after="28" w:before="0"/>
      </w:pPr>
      <w:r>
        <w:rPr>
          <w:rFonts w:ascii="Times New Roman" w:cs="Times New Roman" w:hAnsi="Times New Roman"/>
        </w:rPr>
      </w:r>
    </w:p>
    <w:p>
      <w:pPr>
        <w:pStyle w:val="style0"/>
        <w:spacing w:after="28" w:before="0"/>
      </w:pPr>
      <w:r>
        <w:rPr>
          <w:rFonts w:ascii="Times New Roman" w:cs="Times New Roman" w:hAnsi="Times New Roman"/>
          <w:b/>
          <w:sz w:val="28"/>
          <w:szCs w:val="28"/>
        </w:rPr>
        <w:t>IV. Činnosť neziskovej organizácie</w:t>
      </w:r>
    </w:p>
    <w:p>
      <w:pPr>
        <w:pStyle w:val="style0"/>
        <w:spacing w:after="28" w:before="0"/>
        <w:ind w:firstLine="708" w:left="0" w:right="0"/>
        <w:jc w:val="both"/>
      </w:pPr>
      <w:r>
        <w:rPr>
          <w:rFonts w:ascii="Times New Roman" w:cs="Times New Roman" w:hAnsi="Times New Roman"/>
        </w:rPr>
        <w:t>Hlavnou obsahovou náplňou neziskovej organizácie je trvale podporovať a pomáhať pri skvalitňovaní zdravotnej starostlivosti vo forme modernizácie prístrojového vybavenia nemocničného zariadenia, pri podpore vzdelávania, odbornej erudovanosti, výchovy  a sociálnej starostlivosti. Správna rada sa neuzniesla na žiadnych zmenách v štatúte, ani na žiadnych zmenách v  zložení orgánov neziskovej organizácie v roku 2013.</w:t>
      </w:r>
    </w:p>
    <w:p>
      <w:pPr>
        <w:pStyle w:val="style0"/>
        <w:spacing w:after="28" w:before="0"/>
        <w:jc w:val="both"/>
      </w:pPr>
      <w:r>
        <w:rPr>
          <w:rFonts w:ascii="Times New Roman" w:cs="Times New Roman" w:hAnsi="Times New Roman"/>
          <w:b/>
          <w:sz w:val="24"/>
          <w:szCs w:val="24"/>
        </w:rPr>
        <w:t>Ciele nadácie</w:t>
      </w:r>
    </w:p>
    <w:p>
      <w:pPr>
        <w:pStyle w:val="style0"/>
        <w:spacing w:after="28" w:before="0"/>
        <w:jc w:val="both"/>
      </w:pPr>
      <w:r>
        <w:rPr>
          <w:rFonts w:ascii="Times New Roman" w:cs="Times New Roman" w:hAnsi="Times New Roman"/>
        </w:rPr>
        <w:tab/>
        <w:t xml:space="preserve">Vzhľadom k rôznorodosti  predmetu činnosti neziskovej organizácie a v snahe zefektívniť prácu pri výbere projektov, nezisková organizácia bude realizovať predovšetkým projekty s konkrétnym obsahovým zameraním,  ktoré oslovia čo najviac ľudí a budú viditeľným prínosom pre  pacientov a rozvoj Detskej fakultnej nemocnice Košice. Nezisková organizácia plánuje v budúcnosti  postupne rozširovať svoju činnosť v rozsahu  schváleného predmetu svojej činnosti tak, aby mohla dosiahnuť určený cieľ svojho založenia.  Má záujem spoluprácu rozšíriť o spoločné aktivity so sociálnymi a vzdelávacími inštitúciami a inými subjektmi – s cieľom zlepšenia kvality zdravotnej starostlivosti, zvýšenia úrovne vzdelanosti a podpory odbornej prípravy zdravotníckych pracovníkov, prípadne  riešenia sociálnych potrieb pacientov Detskej fakultnej nemocnice Košice. </w:t>
      </w:r>
    </w:p>
    <w:p>
      <w:pPr>
        <w:pStyle w:val="style0"/>
        <w:spacing w:after="28" w:before="0"/>
      </w:pPr>
      <w:r>
        <w:rPr>
          <w:rFonts w:ascii="Times New Roman" w:cs="Times New Roman" w:hAnsi="Times New Roman"/>
        </w:rPr>
      </w:r>
    </w:p>
    <w:p>
      <w:pPr>
        <w:pStyle w:val="style0"/>
        <w:spacing w:after="28" w:before="0"/>
      </w:pPr>
      <w:r>
        <w:rPr>
          <w:rFonts w:ascii="Times New Roman" w:cs="Times New Roman" w:hAnsi="Times New Roman"/>
          <w:b/>
          <w:sz w:val="28"/>
          <w:szCs w:val="28"/>
        </w:rPr>
        <w:t>V. Záver</w:t>
      </w:r>
    </w:p>
    <w:p>
      <w:pPr>
        <w:pStyle w:val="style0"/>
        <w:spacing w:after="28" w:before="0"/>
      </w:pPr>
      <w:r>
        <w:rPr>
          <w:rFonts w:ascii="Times New Roman" w:cs="Times New Roman" w:hAnsi="Times New Roman"/>
        </w:rPr>
        <w:t>Správna rada neziskovej organizácie ďakuje za všetky finančné dary všetkým sponzorom, ktorí  podporili jej činnosť.</w:t>
      </w:r>
    </w:p>
    <w:p>
      <w:pPr>
        <w:pStyle w:val="style0"/>
        <w:spacing w:after="28" w:before="0"/>
      </w:pPr>
      <w:r>
        <w:rPr>
          <w:rFonts w:ascii="Times New Roman" w:cs="Times New Roman" w:hAnsi="Times New Roman"/>
        </w:rPr>
      </w:r>
    </w:p>
    <w:p>
      <w:pPr>
        <w:pStyle w:val="style0"/>
        <w:spacing w:after="28" w:before="0"/>
      </w:pPr>
      <w:r>
        <w:rPr>
          <w:rFonts w:ascii="Times New Roman" w:cs="Times New Roman" w:hAnsi="Times New Roman"/>
        </w:rPr>
      </w:r>
    </w:p>
    <w:p>
      <w:pPr>
        <w:pStyle w:val="style0"/>
        <w:spacing w:after="28" w:before="0"/>
      </w:pPr>
      <w:r>
        <w:rPr>
          <w:rFonts w:ascii="Times New Roman" w:cs="Times New Roman" w:hAnsi="Times New Roman"/>
        </w:rPr>
        <w:t>V Košiciach, dňa 24.06.2014</w:t>
      </w:r>
    </w:p>
    <w:p>
      <w:pPr>
        <w:pStyle w:val="style0"/>
        <w:spacing w:after="28" w:before="0"/>
      </w:pPr>
      <w:r>
        <w:rPr>
          <w:rFonts w:ascii="Times New Roman" w:cs="Times New Roman" w:hAnsi="Times New Roman"/>
        </w:rPr>
      </w:r>
    </w:p>
    <w:p>
      <w:pPr>
        <w:pStyle w:val="style0"/>
        <w:spacing w:after="0" w:before="0"/>
      </w:pPr>
      <w:r>
        <w:rPr>
          <w:rFonts w:ascii="Times New Roman" w:cs="Times New Roman" w:hAnsi="Times New Roman"/>
        </w:rPr>
      </w:r>
    </w:p>
    <w:p>
      <w:pPr>
        <w:pStyle w:val="style0"/>
        <w:spacing w:after="0" w:before="0"/>
      </w:pPr>
      <w:r>
        <w:rPr>
          <w:rFonts w:ascii="Times New Roman" w:cs="Times New Roman" w:hAnsi="Times New Roman"/>
        </w:rPr>
        <w:tab/>
        <w:tab/>
        <w:tab/>
        <w:tab/>
        <w:tab/>
        <w:tab/>
        <w:tab/>
        <w:t>MUDr. Ingrid Urbančíková, PhD., MPH</w:t>
      </w:r>
    </w:p>
    <w:p>
      <w:pPr>
        <w:pStyle w:val="style0"/>
        <w:spacing w:after="0" w:before="0"/>
      </w:pPr>
      <w:r>
        <w:rPr>
          <w:rFonts w:ascii="Times New Roman" w:cs="Times New Roman" w:hAnsi="Times New Roman"/>
        </w:rPr>
        <w:tab/>
        <w:tab/>
        <w:tab/>
        <w:tab/>
        <w:tab/>
        <w:tab/>
        <w:tab/>
        <w:tab/>
        <w:tab/>
        <w:t xml:space="preserve">Riaditeľka </w:t>
      </w:r>
    </w:p>
    <w:p>
      <w:pPr>
        <w:pStyle w:val="style0"/>
        <w:spacing w:after="28" w:before="0"/>
      </w:pPr>
      <w:r>
        <w:rPr>
          <w:rFonts w:ascii="Times New Roman" w:cs="Times New Roman" w:hAnsi="Times New Roman"/>
        </w:rPr>
      </w:r>
    </w:p>
    <w:p>
      <w:pPr>
        <w:pStyle w:val="style0"/>
        <w:spacing w:after="28" w:before="0"/>
      </w:pPr>
      <w:r>
        <w:rPr>
          <w:rFonts w:ascii="Times New Roman" w:cs="Times New Roman" w:hAnsi="Times New Roman"/>
        </w:rPr>
      </w:r>
    </w:p>
    <w:p>
      <w:pPr>
        <w:pStyle w:val="style0"/>
        <w:spacing w:after="28" w:before="0"/>
      </w:pPr>
      <w:r>
        <w:rPr>
          <w:rFonts w:ascii="Times New Roman" w:cs="Times New Roman" w:hAnsi="Times New Roman"/>
        </w:rPr>
      </w:r>
    </w:p>
    <w:p>
      <w:pPr>
        <w:pStyle w:val="style0"/>
        <w:spacing w:after="28" w:before="0"/>
      </w:pPr>
      <w:r>
        <w:rPr>
          <w:rFonts w:ascii="Times New Roman" w:cs="Times New Roman" w:hAnsi="Times New Roman"/>
        </w:rPr>
      </w:r>
    </w:p>
    <w:p>
      <w:pPr>
        <w:pStyle w:val="style0"/>
        <w:spacing w:after="28" w:before="0"/>
      </w:pPr>
      <w:r>
        <w:rPr>
          <w:rFonts w:ascii="Times New Roman" w:cs="Times New Roman" w:hAnsi="Times New Roman"/>
        </w:rPr>
      </w:r>
    </w:p>
    <w:p>
      <w:pPr>
        <w:pStyle w:val="style0"/>
        <w:spacing w:after="28" w:before="0"/>
      </w:pPr>
      <w:r>
        <w:rPr>
          <w:rFonts w:ascii="Times New Roman" w:cs="Times New Roman" w:hAnsi="Times New Roman"/>
        </w:rPr>
      </w:r>
    </w:p>
    <w:p>
      <w:pPr>
        <w:pStyle w:val="style0"/>
        <w:spacing w:after="28" w:before="0"/>
      </w:pPr>
      <w:r>
        <w:rPr>
          <w:rFonts w:ascii="Times New Roman" w:cs="Times New Roman" w:hAnsi="Times New Roman"/>
        </w:rPr>
      </w:r>
    </w:p>
    <w:p>
      <w:pPr>
        <w:pStyle w:val="style0"/>
        <w:spacing w:after="28" w:before="0"/>
      </w:pPr>
      <w:r>
        <w:rPr>
          <w:rFonts w:ascii="Times New Roman" w:cs="Times New Roman" w:hAnsi="Times New Roman"/>
        </w:rPr>
      </w:r>
    </w:p>
    <w:p>
      <w:pPr>
        <w:pStyle w:val="style0"/>
        <w:spacing w:after="28" w:before="0"/>
      </w:pPr>
      <w:r>
        <w:rPr>
          <w:rFonts w:ascii="Times New Roman" w:cs="Times New Roman" w:hAnsi="Times New Roman"/>
        </w:rPr>
      </w:r>
    </w:p>
    <w:p>
      <w:pPr>
        <w:pStyle w:val="style0"/>
        <w:spacing w:after="28" w:before="0"/>
      </w:pPr>
      <w:r>
        <w:rPr>
          <w:rFonts w:ascii="Times New Roman" w:cs="Times New Roman" w:hAnsi="Times New Roman"/>
        </w:rPr>
      </w:r>
    </w:p>
    <w:p>
      <w:pPr>
        <w:pStyle w:val="style0"/>
        <w:spacing w:after="0" w:before="0" w:line="100" w:lineRule="atLeast"/>
      </w:pPr>
      <w:r>
        <w:rPr>
          <w:rFonts w:ascii="Times New Roman" w:cs="Times New Roman" w:hAnsi="Times New Roman"/>
        </w:rPr>
        <w:t xml:space="preserve">Príloha: </w:t>
      </w:r>
    </w:p>
    <w:p>
      <w:pPr>
        <w:pStyle w:val="style0"/>
        <w:spacing w:after="0" w:before="0" w:line="100" w:lineRule="atLeast"/>
      </w:pPr>
      <w:r>
        <w:rPr>
          <w:rFonts w:ascii="Times New Roman" w:cs="Times New Roman" w:hAnsi="Times New Roman"/>
        </w:rPr>
        <w:t>Poznámky k účtovnej závierke k 31.12.2013</w:t>
      </w:r>
    </w:p>
    <w:p>
      <w:pPr>
        <w:pStyle w:val="style0"/>
        <w:spacing w:after="0" w:before="0" w:line="100" w:lineRule="atLeast"/>
      </w:pPr>
      <w:r>
        <w:rPr>
          <w:rFonts w:ascii="Times New Roman" w:cs="Times New Roman" w:hAnsi="Times New Roman"/>
        </w:rPr>
        <w:t>Účtovná závierka neziskovej účtovnej jednotky v sústave podvojného účtovníctva</w:t>
      </w:r>
    </w:p>
    <w:p>
      <w:pPr>
        <w:pStyle w:val="style0"/>
        <w:spacing w:after="0" w:before="0" w:line="100" w:lineRule="atLeast"/>
      </w:pPr>
      <w:r>
        <w:rPr>
          <w:rFonts w:ascii="Times New Roman" w:cs="Times New Roman" w:hAnsi="Times New Roman"/>
        </w:rPr>
      </w:r>
    </w:p>
    <w:p>
      <w:pPr>
        <w:pStyle w:val="style0"/>
        <w:spacing w:after="28" w:before="0"/>
      </w:pPr>
      <w:r>
        <w:rPr>
          <w:rFonts w:ascii="Times New Roman" w:cs="Times New Roman" w:hAnsi="Times New Roman"/>
        </w:rPr>
      </w:r>
    </w:p>
    <w:p>
      <w:pPr>
        <w:pStyle w:val="style0"/>
        <w:spacing w:after="28" w:before="0"/>
      </w:pPr>
      <w:r>
        <w:rPr>
          <w:rFonts w:ascii="Times New Roman" w:cs="Times New Roman" w:hAnsi="Times New Roman"/>
        </w:rPr>
      </w:r>
    </w:p>
    <w:p>
      <w:pPr>
        <w:pStyle w:val="style0"/>
        <w:spacing w:after="28" w:before="0"/>
      </w:pPr>
      <w:r>
        <w:rPr>
          <w:rFonts w:ascii="Times New Roman" w:cs="Times New Roman" w:hAnsi="Times New Roman"/>
        </w:rPr>
      </w:r>
    </w:p>
    <w:p>
      <w:pPr>
        <w:pStyle w:val="style0"/>
        <w:spacing w:after="28" w:before="0"/>
      </w:pPr>
      <w:r>
        <w:rPr>
          <w:rFonts w:ascii="Times New Roman" w:cs="Times New Roman" w:hAnsi="Times New Roman"/>
        </w:rPr>
      </w:r>
    </w:p>
    <w:p>
      <w:pPr>
        <w:pStyle w:val="style0"/>
        <w:spacing w:after="28" w:before="0"/>
      </w:pPr>
      <w:r>
        <w:rPr>
          <w:rFonts w:ascii="Times New Roman" w:cs="Times New Roman" w:hAnsi="Times New Roman"/>
        </w:rPr>
      </w:r>
    </w:p>
    <w:p>
      <w:pPr>
        <w:pStyle w:val="style0"/>
        <w:spacing w:after="28" w:before="0"/>
      </w:pPr>
      <w:r>
        <w:rPr>
          <w:rFonts w:ascii="Times New Roman" w:cs="Times New Roman" w:hAnsi="Times New Roman"/>
        </w:rPr>
      </w:r>
    </w:p>
    <w:p>
      <w:pPr>
        <w:pStyle w:val="style0"/>
        <w:spacing w:after="28" w:before="0"/>
      </w:pPr>
      <w:r>
        <w:rPr>
          <w:rFonts w:ascii="Times New Roman" w:cs="Times New Roman" w:hAnsi="Times New Roman"/>
        </w:rPr>
      </w:r>
    </w:p>
    <w:p>
      <w:pPr>
        <w:pStyle w:val="style0"/>
        <w:spacing w:after="28" w:before="0"/>
      </w:pPr>
      <w:r>
        <w:rPr>
          <w:rFonts w:ascii="Times New Roman" w:cs="Times New Roman" w:hAnsi="Times New Roman"/>
        </w:rPr>
      </w:r>
    </w:p>
    <w:p>
      <w:pPr>
        <w:pStyle w:val="style0"/>
        <w:spacing w:after="28" w:before="0"/>
      </w:pPr>
      <w:r>
        <w:rPr>
          <w:rFonts w:ascii="Times New Roman" w:cs="Times New Roman" w:hAnsi="Times New Roman"/>
        </w:rPr>
      </w:r>
    </w:p>
    <w:p>
      <w:pPr>
        <w:pStyle w:val="style0"/>
        <w:spacing w:after="28" w:before="0"/>
      </w:pPr>
      <w:r>
        <w:rPr>
          <w:rFonts w:ascii="Times New Roman" w:cs="Times New Roman" w:hAnsi="Times New Roman"/>
        </w:rPr>
      </w:r>
    </w:p>
    <w:p>
      <w:pPr>
        <w:pStyle w:val="style0"/>
        <w:spacing w:after="28" w:before="0"/>
      </w:pPr>
      <w:r>
        <w:rPr>
          <w:rFonts w:ascii="Times New Roman" w:cs="Times New Roman" w:hAnsi="Times New Roman"/>
        </w:rPr>
      </w:r>
    </w:p>
    <w:p>
      <w:pPr>
        <w:pStyle w:val="style0"/>
        <w:spacing w:after="28" w:before="0"/>
      </w:pPr>
      <w:r>
        <w:rPr>
          <w:rFonts w:ascii="Times New Roman" w:cs="Times New Roman" w:hAnsi="Times New Roman"/>
        </w:rPr>
      </w:r>
    </w:p>
    <w:p>
      <w:pPr>
        <w:pStyle w:val="style0"/>
        <w:spacing w:after="28" w:before="0"/>
      </w:pPr>
      <w:r>
        <w:rPr>
          <w:rFonts w:ascii="Times New Roman" w:cs="Times New Roman" w:hAnsi="Times New Roman"/>
        </w:rPr>
      </w:r>
    </w:p>
    <w:p>
      <w:pPr>
        <w:pStyle w:val="style0"/>
        <w:spacing w:after="28" w:before="0"/>
      </w:pPr>
      <w:r>
        <w:rPr>
          <w:rFonts w:ascii="Times New Roman" w:cs="Times New Roman" w:hAnsi="Times New Roman"/>
        </w:rPr>
      </w:r>
    </w:p>
    <w:p>
      <w:pPr>
        <w:pStyle w:val="style0"/>
        <w:spacing w:after="28" w:before="0"/>
      </w:pPr>
      <w:r>
        <w:rPr>
          <w:rFonts w:ascii="Times New Roman" w:cs="Times New Roman" w:hAnsi="Times New Roman"/>
        </w:rPr>
      </w:r>
    </w:p>
    <w:p>
      <w:pPr>
        <w:pStyle w:val="style0"/>
        <w:spacing w:after="28" w:before="0"/>
      </w:pPr>
      <w:r>
        <w:rPr>
          <w:rFonts w:ascii="Times New Roman" w:cs="Times New Roman" w:hAnsi="Times New Roman"/>
        </w:rPr>
      </w:r>
    </w:p>
    <w:p>
      <w:pPr>
        <w:pStyle w:val="style0"/>
        <w:spacing w:after="28" w:before="0"/>
      </w:pPr>
      <w:r>
        <w:rPr/>
      </w:r>
    </w:p>
    <w:sectPr>
      <w:type w:val="nextPage"/>
      <w:pgSz w:h="16838" w:w="11906"/>
      <w:pgMar w:bottom="1417" w:footer="0" w:gutter="0" w:header="0" w:left="1417" w:right="1417" w:top="1417"/>
      <w:pgNumType w:fmt="decimal"/>
      <w:formProt w:val="false"/>
      <w:textDirection w:val="lrTb"/>
      <w:docGrid w:charSpace="4096" w:linePitch="360" w:type="default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ee"/>
    <w:family w:val="roman"/>
    <w:pitch w:val="variable"/>
  </w:font>
  <w:font w:name="Calibri">
    <w:charset w:val="ee"/>
    <w:family w:val="roman"/>
    <w:pitch w:val="variable"/>
  </w:font>
</w:fonts>
</file>

<file path=word/numbering.xml><?xml version="1.0" encoding="utf-8"?>
<w:numbering xmlns:w="http://schemas.openxmlformats.org/wordprocessingml/2006/main">
  <w:abstractNum w:abstractNumId="1">
    <w:lvl w:ilvl="0">
      <w:start w:val="1"/>
      <w:numFmt w:val="upperRoman"/>
      <w:lvlText w:val="%1."/>
      <w:lvlJc w:val="left"/>
      <w:pPr>
        <w:ind w:hanging="720" w:left="1080"/>
      </w:pPr>
    </w:lvl>
    <w:lvl w:ilvl="1">
      <w:start w:val="1"/>
      <w:numFmt w:val="lowerLetter"/>
      <w:lvlText w:val="%2."/>
      <w:lvlJc w:val="left"/>
      <w:pPr>
        <w:ind w:hanging="360" w:left="1440"/>
      </w:pPr>
    </w:lvl>
    <w:lvl w:ilvl="2">
      <w:start w:val="1"/>
      <w:numFmt w:val="lowerRoman"/>
      <w:lvlText w:val="%3."/>
      <w:lvlJc w:val="right"/>
      <w:pPr>
        <w:ind w:hanging="180" w:left="2160"/>
      </w:pPr>
    </w:lvl>
    <w:lvl w:ilvl="3">
      <w:start w:val="1"/>
      <w:numFmt w:val="decimal"/>
      <w:lvlText w:val="%4."/>
      <w:lvlJc w:val="left"/>
      <w:pPr>
        <w:ind w:hanging="360" w:left="2880"/>
      </w:pPr>
    </w:lvl>
    <w:lvl w:ilvl="4">
      <w:start w:val="1"/>
      <w:numFmt w:val="lowerLetter"/>
      <w:lvlText w:val="%5."/>
      <w:lvlJc w:val="left"/>
      <w:pPr>
        <w:ind w:hanging="360" w:left="3600"/>
      </w:pPr>
    </w:lvl>
    <w:lvl w:ilvl="5">
      <w:start w:val="1"/>
      <w:numFmt w:val="lowerRoman"/>
      <w:lvlText w:val="%6."/>
      <w:lvlJc w:val="right"/>
      <w:pPr>
        <w:ind w:hanging="180" w:left="4320"/>
      </w:pPr>
    </w:lvl>
    <w:lvl w:ilvl="6">
      <w:start w:val="1"/>
      <w:numFmt w:val="decimal"/>
      <w:lvlText w:val="%7."/>
      <w:lvlJc w:val="left"/>
      <w:pPr>
        <w:ind w:hanging="360" w:left="5040"/>
      </w:pPr>
    </w:lvl>
    <w:lvl w:ilvl="7">
      <w:start w:val="1"/>
      <w:numFmt w:val="lowerLetter"/>
      <w:lvlText w:val="%8."/>
      <w:lvlJc w:val="left"/>
      <w:pPr>
        <w:ind w:hanging="360" w:left="5760"/>
      </w:pPr>
    </w:lvl>
    <w:lvl w:ilvl="8">
      <w:start w:val="1"/>
      <w:numFmt w:val="lowerRoman"/>
      <w:lvlText w:val="%9."/>
      <w:lvlJc w:val="right"/>
      <w:pPr>
        <w:ind w:hanging="180" w:left="648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pos="432" w:val="num"/>
        </w:tabs>
        <w:ind w:hanging="432" w:left="432"/>
      </w:pPr>
    </w:lvl>
    <w:lvl w:ilvl="1">
      <w:start w:val="1"/>
      <w:numFmt w:val="none"/>
      <w:suff w:val="nothing"/>
      <w:lvlText w:val=""/>
      <w:lvlJc w:val="left"/>
      <w:pPr>
        <w:tabs>
          <w:tab w:pos="576" w:val="num"/>
        </w:tabs>
        <w:ind w:hanging="576" w:left="576"/>
      </w:pPr>
    </w:lvl>
    <w:lvl w:ilvl="2">
      <w:start w:val="1"/>
      <w:numFmt w:val="none"/>
      <w:suff w:val="nothing"/>
      <w:lvlText w:val=""/>
      <w:lvlJc w:val="left"/>
      <w:pPr>
        <w:tabs>
          <w:tab w:pos="720" w:val="num"/>
        </w:tabs>
        <w:ind w:hanging="720" w:left="720"/>
      </w:pPr>
    </w:lvl>
    <w:lvl w:ilvl="3">
      <w:start w:val="1"/>
      <w:numFmt w:val="none"/>
      <w:suff w:val="nothing"/>
      <w:lvlText w:val=""/>
      <w:lvlJc w:val="left"/>
      <w:pPr>
        <w:tabs>
          <w:tab w:pos="864" w:val="num"/>
        </w:tabs>
        <w:ind w:hanging="864" w:left="864"/>
      </w:pPr>
    </w:lvl>
    <w:lvl w:ilvl="4">
      <w:start w:val="1"/>
      <w:numFmt w:val="none"/>
      <w:suff w:val="nothing"/>
      <w:lvlText w:val=""/>
      <w:lvlJc w:val="left"/>
      <w:pPr>
        <w:tabs>
          <w:tab w:pos="1008" w:val="num"/>
        </w:tabs>
        <w:ind w:hanging="1008" w:left="1008"/>
      </w:pPr>
    </w:lvl>
    <w:lvl w:ilvl="5">
      <w:start w:val="1"/>
      <w:numFmt w:val="none"/>
      <w:suff w:val="nothing"/>
      <w:lvlText w:val=""/>
      <w:lvlJc w:val="left"/>
      <w:pPr>
        <w:tabs>
          <w:tab w:pos="1152" w:val="num"/>
        </w:tabs>
        <w:ind w:hanging="1152" w:left="1152"/>
      </w:pPr>
    </w:lvl>
    <w:lvl w:ilvl="6">
      <w:start w:val="1"/>
      <w:numFmt w:val="none"/>
      <w:suff w:val="nothing"/>
      <w:lvlText w:val=""/>
      <w:lvlJc w:val="left"/>
      <w:pPr>
        <w:tabs>
          <w:tab w:pos="1296" w:val="num"/>
        </w:tabs>
        <w:ind w:hanging="1296" w:left="1296"/>
      </w:pPr>
    </w:lvl>
    <w:lvl w:ilvl="7">
      <w:start w:val="1"/>
      <w:numFmt w:val="none"/>
      <w:suff w:val="nothing"/>
      <w:lvlText w:val=""/>
      <w:lvlJc w:val="left"/>
      <w:pPr>
        <w:tabs>
          <w:tab w:pos="1440" w:val="num"/>
        </w:tabs>
        <w:ind w:hanging="1440" w:left="1440"/>
      </w:pPr>
    </w:lvl>
    <w:lvl w:ilvl="8">
      <w:start w:val="1"/>
      <w:numFmt w:val="none"/>
      <w:suff w:val="nothing"/>
      <w:lvlText w:val=""/>
      <w:lvlJc w:val="left"/>
      <w:pPr>
        <w:tabs>
          <w:tab w:pos="1584" w:val="num"/>
        </w:tabs>
        <w:ind w:hanging="1584" w:left="1584"/>
      </w:pPr>
    </w:lvl>
  </w:abstractNum>
  <w:num w:numId="1">
    <w:abstractNumId w:val="1"/>
  </w:num>
  <w:num w:numId="2">
    <w:abstractNumId w:val="2"/>
  </w:num>
</w:numbering>
</file>

<file path=word/styles.xml><?xml version="1.0" encoding="utf-8"?>
<w:styles xmlns:w="http://schemas.openxmlformats.org/wordprocessingml/2006/main">
  <w:style w:styleId="style0" w:type="paragraph">
    <w:name w:val="Východzie"/>
    <w:next w:val="style0"/>
    <w:pPr>
      <w:widowControl/>
      <w:tabs>
        <w:tab w:leader="none" w:pos="708" w:val="left"/>
      </w:tabs>
      <w:suppressAutoHyphens w:val="true"/>
      <w:spacing w:after="200" w:before="0" w:line="276" w:lineRule="auto"/>
    </w:pPr>
    <w:rPr>
      <w:rFonts w:ascii="Calibri" w:cs="Calibri" w:eastAsia="SimSun" w:hAnsi="Calibri"/>
      <w:color w:val="auto"/>
      <w:sz w:val="22"/>
      <w:szCs w:val="22"/>
      <w:lang w:bidi="ar-SA" w:eastAsia="en-US" w:val="sk-SK"/>
    </w:rPr>
  </w:style>
  <w:style w:styleId="style15" w:type="character">
    <w:name w:val="Default Paragraph Font"/>
    <w:next w:val="style15"/>
    <w:rPr/>
  </w:style>
  <w:style w:styleId="style16" w:type="character">
    <w:name w:val="Text bubliny Char"/>
    <w:basedOn w:val="style15"/>
    <w:next w:val="style16"/>
    <w:rPr>
      <w:rFonts w:ascii="Tahoma" w:cs="Tahoma" w:hAnsi="Tahoma"/>
      <w:sz w:val="16"/>
      <w:szCs w:val="16"/>
    </w:rPr>
  </w:style>
  <w:style w:styleId="style17" w:type="character">
    <w:name w:val="ListLabel 1"/>
    <w:next w:val="style17"/>
    <w:rPr>
      <w:rFonts w:cs="Times New Roman"/>
    </w:rPr>
  </w:style>
  <w:style w:styleId="style18" w:type="character">
    <w:name w:val="ListLabel 2"/>
    <w:next w:val="style18"/>
    <w:rPr>
      <w:rFonts w:cs="Courier New"/>
    </w:rPr>
  </w:style>
  <w:style w:styleId="style19" w:type="paragraph">
    <w:name w:val="Nadpis"/>
    <w:basedOn w:val="style0"/>
    <w:next w:val="style20"/>
    <w:pPr>
      <w:keepNext/>
      <w:spacing w:after="120" w:before="240"/>
    </w:pPr>
    <w:rPr>
      <w:rFonts w:ascii="Arial" w:cs="Mangal" w:eastAsia="Microsoft YaHei" w:hAnsi="Arial"/>
      <w:sz w:val="28"/>
      <w:szCs w:val="28"/>
    </w:rPr>
  </w:style>
  <w:style w:styleId="style20" w:type="paragraph">
    <w:name w:val="Telo textu"/>
    <w:basedOn w:val="style0"/>
    <w:next w:val="style20"/>
    <w:pPr>
      <w:spacing w:after="120" w:before="0"/>
    </w:pPr>
    <w:rPr/>
  </w:style>
  <w:style w:styleId="style21" w:type="paragraph">
    <w:name w:val="Zoznam"/>
    <w:basedOn w:val="style20"/>
    <w:next w:val="style21"/>
    <w:pPr/>
    <w:rPr>
      <w:rFonts w:cs="Mangal"/>
    </w:rPr>
  </w:style>
  <w:style w:styleId="style22" w:type="paragraph">
    <w:name w:val="Popis"/>
    <w:basedOn w:val="style0"/>
    <w:next w:val="style22"/>
    <w:pPr>
      <w:suppressLineNumbers/>
      <w:spacing w:after="120" w:before="120"/>
    </w:pPr>
    <w:rPr>
      <w:rFonts w:cs="Mangal"/>
      <w:i/>
      <w:iCs/>
      <w:sz w:val="24"/>
      <w:szCs w:val="24"/>
    </w:rPr>
  </w:style>
  <w:style w:styleId="style23" w:type="paragraph">
    <w:name w:val="Index"/>
    <w:basedOn w:val="style0"/>
    <w:next w:val="style23"/>
    <w:pPr>
      <w:suppressLineNumbers/>
    </w:pPr>
    <w:rPr>
      <w:rFonts w:cs="Mangal"/>
    </w:rPr>
  </w:style>
  <w:style w:styleId="style24" w:type="paragraph">
    <w:name w:val="Balloon Text"/>
    <w:basedOn w:val="style0"/>
    <w:next w:val="style24"/>
    <w:pPr>
      <w:spacing w:after="0" w:before="0" w:line="100" w:lineRule="atLeast"/>
    </w:pPr>
    <w:rPr>
      <w:rFonts w:ascii="Tahoma" w:cs="Tahoma" w:hAnsi="Tahoma"/>
      <w:sz w:val="16"/>
      <w:szCs w:val="16"/>
    </w:rPr>
  </w:style>
  <w:style w:styleId="style25" w:type="paragraph">
    <w:name w:val="List Paragraph"/>
    <w:basedOn w:val="style0"/>
    <w:next w:val="style25"/>
    <w:pPr>
      <w:ind w:hanging="0" w:left="720" w:right="0"/>
    </w:pPr>
    <w:rPr/>
  </w:style>
  <w:style w:styleId="style26" w:type="paragraph">
    <w:name w:val="Obsah rámca"/>
    <w:basedOn w:val="style20"/>
    <w:next w:val="style26"/>
    <w:pPr/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Application>Microsoft Office Word</Application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>
  <dcterms:created xsi:type="dcterms:W3CDTF">2014-07-11T07:49:00.00Z</dcterms:created>
  <dc:creator>NAMESTNIKEU</dc:creator>
  <cp:lastModifiedBy>NAMESTNIKEU</cp:lastModifiedBy>
  <cp:lastPrinted>2014-07-10T07:23:00.00Z</cp:lastPrinted>
  <dcterms:modified xsi:type="dcterms:W3CDTF">2014-07-11T07:49:00.00Z</dcterms:modified>
  <cp:revision>2</cp:revision>
</cp:coreProperties>
</file>