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Default="00295E93">
      <w:pPr>
        <w:rPr>
          <w:rFonts w:ascii="Arial" w:hAnsi="Arial" w:cs="Arial"/>
          <w:sz w:val="22"/>
          <w:szCs w:val="22"/>
        </w:rPr>
      </w:pPr>
    </w:p>
    <w:p w:rsidR="00936967" w:rsidRDefault="00936967">
      <w:pPr>
        <w:rPr>
          <w:rFonts w:ascii="Arial" w:hAnsi="Arial" w:cs="Arial"/>
          <w:b/>
          <w:sz w:val="22"/>
          <w:szCs w:val="22"/>
        </w:rPr>
      </w:pPr>
      <w:r w:rsidRPr="00936967">
        <w:rPr>
          <w:rFonts w:ascii="Arial" w:hAnsi="Arial" w:cs="Arial"/>
          <w:b/>
          <w:sz w:val="22"/>
          <w:szCs w:val="22"/>
        </w:rPr>
        <w:t>I. VŠEOBECNÉ INFORMÁCIE</w:t>
      </w:r>
    </w:p>
    <w:p w:rsidR="00936967" w:rsidRPr="00936967" w:rsidRDefault="00936967">
      <w:pPr>
        <w:rPr>
          <w:rFonts w:ascii="Arial" w:hAnsi="Arial" w:cs="Arial"/>
          <w:b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D36D54" w:rsidRPr="00D36D54" w:rsidTr="00D36D54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D36D54" w:rsidRPr="00D36D54" w:rsidRDefault="00D36D54" w:rsidP="00D36D54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D36D54">
              <w:rPr>
                <w:rFonts w:ascii="Arial" w:hAnsi="Arial" w:cs="Arial"/>
                <w:b/>
                <w:sz w:val="22"/>
                <w:szCs w:val="22"/>
              </w:rPr>
              <w:t>1.Základné informácie o účtovnej jednotke:</w:t>
            </w:r>
          </w:p>
        </w:tc>
      </w:tr>
      <w:tr w:rsidR="00D36D54" w:rsidRPr="0093379F" w:rsidTr="00D36D54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D36D54" w:rsidRPr="0093379F" w:rsidRDefault="00D36D54" w:rsidP="00D36D5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D36D54" w:rsidRPr="0093379F" w:rsidRDefault="00D36D54" w:rsidP="00D36D5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36D54" w:rsidRPr="005C44A2" w:rsidTr="00D36D5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6D54" w:rsidRPr="005C44A2" w:rsidRDefault="00D36D54" w:rsidP="00D36D5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C44A2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6D54" w:rsidRPr="005C44A2" w:rsidRDefault="0014074B" w:rsidP="009B310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eastAsiaTheme="majorEastAsia" w:hAnsi="Arial" w:cs="Arial"/>
                <w:sz w:val="22"/>
                <w:szCs w:val="22"/>
              </w:rPr>
              <w:t xml:space="preserve">INSINI </w:t>
            </w:r>
            <w:proofErr w:type="spellStart"/>
            <w:r>
              <w:rPr>
                <w:rStyle w:val="ra"/>
                <w:rFonts w:ascii="Arial" w:eastAsiaTheme="majorEastAsia" w:hAnsi="Arial" w:cs="Arial"/>
                <w:sz w:val="22"/>
                <w:szCs w:val="22"/>
              </w:rPr>
              <w:t>Media</w:t>
            </w:r>
            <w:proofErr w:type="spellEnd"/>
            <w:r w:rsidR="009B310E">
              <w:rPr>
                <w:rStyle w:val="ra"/>
                <w:rFonts w:ascii="Arial" w:eastAsiaTheme="majorEastAsia" w:hAnsi="Arial" w:cs="Arial"/>
                <w:sz w:val="22"/>
                <w:szCs w:val="22"/>
              </w:rPr>
              <w:t xml:space="preserve">, </w:t>
            </w:r>
            <w:r w:rsidR="00D36D54" w:rsidRPr="005C44A2">
              <w:rPr>
                <w:rStyle w:val="ra"/>
                <w:rFonts w:ascii="Arial" w:eastAsiaTheme="majorEastAsia" w:hAnsi="Arial" w:cs="Arial"/>
                <w:sz w:val="22"/>
                <w:szCs w:val="22"/>
              </w:rPr>
              <w:t>s. r. o.</w:t>
            </w:r>
          </w:p>
        </w:tc>
      </w:tr>
      <w:tr w:rsidR="00D36D54" w:rsidRPr="005C44A2" w:rsidTr="00D36D5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6D54" w:rsidRPr="005C44A2" w:rsidRDefault="00D36D54" w:rsidP="00D36D5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C44A2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6D54" w:rsidRPr="005C44A2" w:rsidRDefault="0014074B" w:rsidP="00D36D5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Style w:val="ra"/>
                <w:rFonts w:ascii="Arial" w:eastAsiaTheme="majorEastAsia" w:hAnsi="Arial" w:cs="Arial"/>
                <w:sz w:val="22"/>
                <w:szCs w:val="22"/>
              </w:rPr>
              <w:t>Gr</w:t>
            </w:r>
            <w:r>
              <w:rPr>
                <w:rStyle w:val="ra"/>
                <w:rFonts w:ascii="Calibri" w:eastAsiaTheme="majorEastAsia" w:hAnsi="Calibri" w:cs="Arial"/>
                <w:sz w:val="22"/>
                <w:szCs w:val="22"/>
              </w:rPr>
              <w:t>ö</w:t>
            </w:r>
            <w:r>
              <w:rPr>
                <w:rStyle w:val="ra"/>
                <w:rFonts w:ascii="Arial" w:eastAsiaTheme="majorEastAsia" w:hAnsi="Arial" w:cs="Arial"/>
                <w:sz w:val="22"/>
                <w:szCs w:val="22"/>
              </w:rPr>
              <w:t>sslingova</w:t>
            </w:r>
            <w:proofErr w:type="spellEnd"/>
            <w:r>
              <w:rPr>
                <w:rStyle w:val="ra"/>
                <w:rFonts w:ascii="Arial" w:eastAsiaTheme="majorEastAsia" w:hAnsi="Arial" w:cs="Arial"/>
                <w:sz w:val="22"/>
                <w:szCs w:val="22"/>
              </w:rPr>
              <w:t xml:space="preserve"> 6-8, 811 09 Bratislava</w:t>
            </w:r>
          </w:p>
        </w:tc>
      </w:tr>
      <w:tr w:rsidR="00D36D54" w:rsidRPr="005C44A2" w:rsidTr="00D36D5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6D54" w:rsidRPr="005C44A2" w:rsidRDefault="00D36D54" w:rsidP="00D36D5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C44A2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6D54" w:rsidRPr="005C44A2" w:rsidRDefault="0014074B" w:rsidP="0014074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</w:t>
            </w:r>
            <w:r w:rsidR="00A028DD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>03</w:t>
            </w:r>
            <w:r w:rsidR="00A028DD">
              <w:rPr>
                <w:rFonts w:ascii="Arial" w:hAnsi="Arial" w:cs="Arial"/>
                <w:sz w:val="22"/>
                <w:szCs w:val="22"/>
              </w:rPr>
              <w:t>.20</w:t>
            </w:r>
            <w:r>
              <w:rPr>
                <w:rFonts w:ascii="Arial" w:hAnsi="Arial" w:cs="Arial"/>
                <w:sz w:val="22"/>
                <w:szCs w:val="22"/>
              </w:rPr>
              <w:t>11</w:t>
            </w:r>
          </w:p>
        </w:tc>
      </w:tr>
      <w:tr w:rsidR="00D36D54" w:rsidRPr="005C44A2" w:rsidTr="00D36D5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36D54" w:rsidRPr="005C44A2" w:rsidRDefault="00D36D54" w:rsidP="00D36D5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C44A2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36D54" w:rsidRPr="005C44A2" w:rsidRDefault="009B310E" w:rsidP="0014074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14074B">
              <w:rPr>
                <w:rFonts w:ascii="Arial" w:hAnsi="Arial" w:cs="Arial"/>
                <w:sz w:val="22"/>
                <w:szCs w:val="22"/>
              </w:rPr>
              <w:t>9</w:t>
            </w:r>
            <w:r w:rsidR="00A028DD">
              <w:rPr>
                <w:rFonts w:ascii="Arial" w:hAnsi="Arial" w:cs="Arial"/>
                <w:sz w:val="22"/>
                <w:szCs w:val="22"/>
              </w:rPr>
              <w:t>.</w:t>
            </w:r>
            <w:r w:rsidR="0014074B">
              <w:rPr>
                <w:rFonts w:ascii="Arial" w:hAnsi="Arial" w:cs="Arial"/>
                <w:sz w:val="22"/>
                <w:szCs w:val="22"/>
              </w:rPr>
              <w:t>03</w:t>
            </w:r>
            <w:r w:rsidR="00A028DD">
              <w:rPr>
                <w:rFonts w:ascii="Arial" w:hAnsi="Arial" w:cs="Arial"/>
                <w:sz w:val="22"/>
                <w:szCs w:val="22"/>
              </w:rPr>
              <w:t>.20</w:t>
            </w:r>
            <w:r w:rsidR="0014074B">
              <w:rPr>
                <w:rFonts w:ascii="Arial" w:hAnsi="Arial" w:cs="Arial"/>
                <w:sz w:val="22"/>
                <w:szCs w:val="22"/>
              </w:rPr>
              <w:t>11</w:t>
            </w:r>
          </w:p>
        </w:tc>
      </w:tr>
    </w:tbl>
    <w:p w:rsidR="00D36D54" w:rsidRPr="0093379F" w:rsidRDefault="00D36D54" w:rsidP="00D36D54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D36D54" w:rsidRPr="00D36D54" w:rsidRDefault="00D36D54" w:rsidP="00D36D54">
      <w:pPr>
        <w:jc w:val="both"/>
        <w:rPr>
          <w:rFonts w:ascii="Arial" w:hAnsi="Arial" w:cs="Arial"/>
          <w:sz w:val="22"/>
          <w:szCs w:val="22"/>
        </w:rPr>
      </w:pPr>
      <w:r w:rsidRPr="00D36D54">
        <w:rPr>
          <w:rFonts w:ascii="Arial" w:hAnsi="Arial" w:cs="Arial"/>
          <w:sz w:val="22"/>
          <w:szCs w:val="22"/>
        </w:rPr>
        <w:t>Opis hospodárskej činnosti účtovnej jednotky:</w:t>
      </w:r>
    </w:p>
    <w:p w:rsidR="00A028DD" w:rsidRDefault="00A028DD" w:rsidP="00D36D54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D36D54" w:rsidRDefault="00D36D54" w:rsidP="00D36D54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14074B">
        <w:rPr>
          <w:rFonts w:ascii="Arial" w:hAnsi="Arial" w:cs="Arial"/>
          <w:sz w:val="22"/>
          <w:szCs w:val="22"/>
        </w:rPr>
        <w:t>vydavateľská činnosť</w:t>
      </w:r>
      <w:r>
        <w:rPr>
          <w:rFonts w:ascii="Arial" w:hAnsi="Arial" w:cs="Arial"/>
          <w:sz w:val="22"/>
          <w:szCs w:val="22"/>
        </w:rPr>
        <w:t>,</w:t>
      </w:r>
    </w:p>
    <w:p w:rsidR="00D36D54" w:rsidRDefault="00D36D54" w:rsidP="00D36D54">
      <w:pPr>
        <w:spacing w:after="120"/>
        <w:jc w:val="both"/>
        <w:rPr>
          <w:rFonts w:ascii="Arial" w:hAnsi="Arial" w:cs="Arial"/>
          <w:b/>
          <w:sz w:val="22"/>
          <w:szCs w:val="22"/>
        </w:rPr>
      </w:pPr>
    </w:p>
    <w:p w:rsidR="00D36D54" w:rsidRPr="00D36D54" w:rsidRDefault="00D36D54" w:rsidP="00D36D54">
      <w:pPr>
        <w:spacing w:after="12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2. </w:t>
      </w:r>
      <w:r w:rsidRPr="00D36D54">
        <w:rPr>
          <w:rFonts w:ascii="Arial" w:hAnsi="Arial" w:cs="Arial"/>
          <w:b/>
          <w:sz w:val="22"/>
          <w:szCs w:val="22"/>
        </w:rPr>
        <w:t>Informácie o počte zamestnancov</w:t>
      </w:r>
    </w:p>
    <w:p w:rsidR="00D36D54" w:rsidRDefault="0014074B" w:rsidP="00D36D54">
      <w:pPr>
        <w:jc w:val="both"/>
        <w:rPr>
          <w:rFonts w:ascii="Verdana" w:hAnsi="Verdana"/>
          <w:sz w:val="17"/>
          <w:szCs w:val="20"/>
          <w:lang w:eastAsia="en-US"/>
        </w:rPr>
      </w:pPr>
      <w:r>
        <w:rPr>
          <w:rFonts w:ascii="Verdana" w:hAnsi="Verdana"/>
          <w:sz w:val="17"/>
          <w:szCs w:val="20"/>
          <w:lang w:eastAsia="en-US"/>
        </w:rPr>
        <w:t>Spoločnosť nezamestnáva žiadnych zamestnancov.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>
        <w:rPr>
          <w:rFonts w:ascii="Verdana" w:hAnsi="Verdana" w:cs="Arial"/>
          <w:b/>
          <w:bCs/>
          <w:iCs/>
          <w:sz w:val="17"/>
          <w:szCs w:val="28"/>
          <w:lang w:eastAsia="en-US"/>
        </w:rPr>
        <w:t xml:space="preserve">3. </w:t>
      </w: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Neobmedzené ručenie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 xml:space="preserve">Spoločnosť nie je neobmedzene ručiacim spoločníkom v iných spoločnostiach podľa § 56 ods. 5 Obchodného zákonníka. 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>
        <w:rPr>
          <w:rFonts w:ascii="Verdana" w:hAnsi="Verdana" w:cs="Arial"/>
          <w:b/>
          <w:bCs/>
          <w:iCs/>
          <w:sz w:val="17"/>
          <w:szCs w:val="28"/>
          <w:lang w:eastAsia="en-US"/>
        </w:rPr>
        <w:t xml:space="preserve">4. </w:t>
      </w: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Právny dôvod zostavenia účtovnej závierky</w:t>
      </w:r>
    </w:p>
    <w:p w:rsidR="00D36D54" w:rsidRPr="00D36D54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 xml:space="preserve">Účtovná závierka Spoločnosti k 31. decembru 2013 je zostavená ako riadna účtovná závierka podľa § 17 ods. 6 zákona NR SR č. 431/2002 Z. z. o účtovníctve, za účtovné obdobie od 01. januára 2013 do 31. decembra 2013. 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jc w:val="both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>
        <w:rPr>
          <w:rFonts w:ascii="Verdana" w:hAnsi="Verdana" w:cs="Arial"/>
          <w:b/>
          <w:bCs/>
          <w:iCs/>
          <w:sz w:val="17"/>
          <w:szCs w:val="28"/>
          <w:lang w:eastAsia="en-US"/>
        </w:rPr>
        <w:t xml:space="preserve">5. </w:t>
      </w: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Dátum schválenia účtovnej závierky za bezprostredne predchádzajúce účtovné obdobie príslušným orgánom účtovnej jednotky:</w:t>
      </w:r>
    </w:p>
    <w:p w:rsidR="00D36D54" w:rsidRPr="00D36D54" w:rsidRDefault="00D36D54" w:rsidP="00D36D54">
      <w:pPr>
        <w:jc w:val="both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 w:cs="Arial"/>
          <w:bCs/>
          <w:iCs/>
          <w:sz w:val="17"/>
          <w:szCs w:val="28"/>
          <w:lang w:eastAsia="en-US"/>
        </w:rPr>
        <w:t xml:space="preserve">Účtovná závierka za bezprostredne predchádzajúce účtovné obdobie bola schválená dňa </w:t>
      </w:r>
      <w:r w:rsidR="009663C2">
        <w:rPr>
          <w:rFonts w:ascii="Verdana" w:hAnsi="Verdana" w:cs="Arial"/>
          <w:bCs/>
          <w:iCs/>
          <w:sz w:val="17"/>
          <w:szCs w:val="28"/>
          <w:lang w:eastAsia="en-US"/>
        </w:rPr>
        <w:t>16.2.2013</w:t>
      </w:r>
      <w:r w:rsidRPr="00D36D54">
        <w:rPr>
          <w:rFonts w:ascii="Verdana" w:hAnsi="Verdana" w:cs="Arial"/>
          <w:bCs/>
          <w:iCs/>
          <w:sz w:val="17"/>
          <w:szCs w:val="28"/>
          <w:lang w:eastAsia="en-US"/>
        </w:rPr>
        <w:t>.</w:t>
      </w:r>
    </w:p>
    <w:p w:rsidR="00D36D54" w:rsidRPr="00D36D54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br w:type="page"/>
      </w:r>
      <w:r w:rsidR="00936967">
        <w:rPr>
          <w:rFonts w:ascii="Verdana" w:hAnsi="Verdana" w:cs="Arial"/>
          <w:b/>
          <w:bCs/>
          <w:iCs/>
          <w:sz w:val="17"/>
          <w:szCs w:val="28"/>
          <w:lang w:eastAsia="en-US"/>
        </w:rPr>
        <w:t xml:space="preserve">6. </w:t>
      </w: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Členovia orgánov spoločnosti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tbl>
      <w:tblPr>
        <w:tblW w:w="9214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3119"/>
        <w:gridCol w:w="4394"/>
      </w:tblGrid>
      <w:tr w:rsidR="00D36D54" w:rsidRPr="00D36D54" w:rsidTr="00D36D54">
        <w:trPr>
          <w:trHeight w:val="352"/>
        </w:trPr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  <w:bookmarkStart w:id="0" w:name="OLE_LINK1"/>
            <w:r w:rsidRPr="00D36D54">
              <w:rPr>
                <w:rFonts w:ascii="Verdana" w:hAnsi="Verdana"/>
                <w:b/>
                <w:sz w:val="15"/>
                <w:szCs w:val="15"/>
                <w:lang w:eastAsia="en-US"/>
              </w:rPr>
              <w:t>Orgán</w:t>
            </w:r>
          </w:p>
        </w:tc>
        <w:tc>
          <w:tcPr>
            <w:tcW w:w="31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sz w:val="15"/>
                <w:szCs w:val="15"/>
                <w:lang w:eastAsia="en-US"/>
              </w:rPr>
              <w:t>Funkcia</w:t>
            </w:r>
          </w:p>
        </w:tc>
        <w:tc>
          <w:tcPr>
            <w:tcW w:w="43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sz w:val="15"/>
                <w:szCs w:val="15"/>
                <w:lang w:eastAsia="en-US"/>
              </w:rPr>
              <w:t>Meno</w:t>
            </w:r>
          </w:p>
        </w:tc>
      </w:tr>
      <w:tr w:rsidR="00D36D54" w:rsidRPr="00D36D54" w:rsidTr="00D36D54">
        <w:trPr>
          <w:trHeight w:val="352"/>
        </w:trPr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a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b</w:t>
            </w:r>
          </w:p>
        </w:tc>
        <w:tc>
          <w:tcPr>
            <w:tcW w:w="43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c</w:t>
            </w:r>
          </w:p>
        </w:tc>
      </w:tr>
      <w:tr w:rsidR="00D36D54" w:rsidRPr="00D36D54" w:rsidTr="00D36D54">
        <w:trPr>
          <w:cantSplit/>
          <w:trHeight w:val="257"/>
        </w:trPr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both"/>
              <w:rPr>
                <w:rFonts w:ascii="Verdana" w:hAnsi="Verdana"/>
                <w:snapToGrid w:val="0"/>
                <w:sz w:val="15"/>
                <w:szCs w:val="20"/>
              </w:rPr>
            </w:pPr>
            <w:r>
              <w:rPr>
                <w:rFonts w:ascii="Verdana" w:hAnsi="Verdana"/>
                <w:snapToGrid w:val="0"/>
                <w:sz w:val="15"/>
                <w:szCs w:val="20"/>
              </w:rPr>
              <w:t>Konateľ</w:t>
            </w:r>
          </w:p>
        </w:tc>
        <w:tc>
          <w:tcPr>
            <w:tcW w:w="311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D36D54" w:rsidRPr="00D36D54" w:rsidRDefault="00D36D54" w:rsidP="00D36D54">
            <w:pPr>
              <w:jc w:val="both"/>
              <w:rPr>
                <w:rFonts w:ascii="Verdana" w:hAnsi="Verdana"/>
                <w:snapToGrid w:val="0"/>
                <w:sz w:val="15"/>
                <w:szCs w:val="20"/>
              </w:rPr>
            </w:pPr>
            <w:r>
              <w:rPr>
                <w:rFonts w:ascii="Verdana" w:hAnsi="Verdana"/>
                <w:snapToGrid w:val="0"/>
                <w:sz w:val="15"/>
                <w:szCs w:val="20"/>
              </w:rPr>
              <w:t>konateľ</w:t>
            </w:r>
          </w:p>
        </w:tc>
        <w:tc>
          <w:tcPr>
            <w:tcW w:w="439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:rsidR="00D36D54" w:rsidRPr="00D36D54" w:rsidRDefault="00AB534C" w:rsidP="00D36D54">
            <w:pPr>
              <w:jc w:val="both"/>
              <w:rPr>
                <w:rFonts w:ascii="Verdana" w:hAnsi="Verdana"/>
                <w:snapToGrid w:val="0"/>
                <w:sz w:val="15"/>
                <w:szCs w:val="20"/>
                <w:highlight w:val="yellow"/>
              </w:rPr>
            </w:pPr>
            <w:r>
              <w:rPr>
                <w:rFonts w:ascii="Verdana" w:hAnsi="Verdana"/>
                <w:snapToGrid w:val="0"/>
                <w:sz w:val="15"/>
                <w:szCs w:val="20"/>
              </w:rPr>
              <w:t xml:space="preserve">Patrícia </w:t>
            </w:r>
            <w:proofErr w:type="spellStart"/>
            <w:r>
              <w:rPr>
                <w:rFonts w:ascii="Verdana" w:hAnsi="Verdana"/>
                <w:snapToGrid w:val="0"/>
                <w:sz w:val="15"/>
                <w:szCs w:val="20"/>
              </w:rPr>
              <w:t>Vitteková</w:t>
            </w:r>
            <w:proofErr w:type="spellEnd"/>
          </w:p>
        </w:tc>
      </w:tr>
      <w:bookmarkEnd w:id="0"/>
    </w:tbl>
    <w:p w:rsidR="00D36D54" w:rsidRPr="00D36D54" w:rsidRDefault="00D36D54" w:rsidP="00D36D54">
      <w:pPr>
        <w:jc w:val="both"/>
        <w:rPr>
          <w:rFonts w:ascii="Verdana" w:hAnsi="Verdana"/>
          <w:i/>
          <w:color w:val="FF0000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936967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>
        <w:rPr>
          <w:rFonts w:ascii="Verdana" w:hAnsi="Verdana" w:cs="Arial"/>
          <w:b/>
          <w:bCs/>
          <w:iCs/>
          <w:sz w:val="17"/>
          <w:szCs w:val="28"/>
          <w:lang w:eastAsia="en-US"/>
        </w:rPr>
        <w:t xml:space="preserve">7. </w:t>
      </w:r>
      <w:r w:rsidR="00D36D54"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Štruktúra spoločníkov a akcionárov a ich podiel na základnom imaní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bookmarkStart w:id="1" w:name="_MON_1389597090"/>
    <w:bookmarkStart w:id="2" w:name="_MON_1389596630"/>
    <w:bookmarkStart w:id="3" w:name="_MON_1389596823"/>
    <w:bookmarkEnd w:id="1"/>
    <w:bookmarkEnd w:id="2"/>
    <w:bookmarkEnd w:id="3"/>
    <w:bookmarkStart w:id="4" w:name="_MON_1389597047"/>
    <w:bookmarkEnd w:id="4"/>
    <w:p w:rsidR="00D36D54" w:rsidRPr="00D36D54" w:rsidRDefault="00AB534C" w:rsidP="00D36D54">
      <w:p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object w:dxaOrig="9162" w:dyaOrig="259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8.25pt;height:131.25pt" o:ole="">
            <v:imagedata r:id="rId9" o:title=""/>
            <w10:bordertop type="single" width="4"/>
            <w10:borderleft type="single" width="4"/>
          </v:shape>
          <o:OLEObject Type="Embed" ProgID="Excel.Sheet.8" ShapeID="_x0000_i1025" DrawAspect="Content" ObjectID="_1457860072" r:id="rId10"/>
        </w:object>
      </w:r>
    </w:p>
    <w:p w:rsidR="00D36D54" w:rsidRPr="00D36D54" w:rsidRDefault="00936967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>
        <w:rPr>
          <w:rFonts w:ascii="Verdana" w:hAnsi="Verdana" w:cs="Arial"/>
          <w:b/>
          <w:bCs/>
          <w:iCs/>
          <w:sz w:val="17"/>
          <w:szCs w:val="28"/>
          <w:lang w:eastAsia="en-US"/>
        </w:rPr>
        <w:t xml:space="preserve">8. </w:t>
      </w:r>
      <w:r w:rsidR="00D36D54"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Konsolidovaná účtovná závierka</w:t>
      </w:r>
    </w:p>
    <w:p w:rsidR="00D36D54" w:rsidRPr="00D36D54" w:rsidRDefault="00D36D54" w:rsidP="00D36D54">
      <w:pPr>
        <w:jc w:val="both"/>
        <w:rPr>
          <w:rFonts w:ascii="Verdana" w:hAnsi="Verdana"/>
          <w:b/>
          <w:sz w:val="20"/>
          <w:szCs w:val="20"/>
          <w:lang w:eastAsia="en-US"/>
        </w:rPr>
      </w:pPr>
    </w:p>
    <w:p w:rsidR="00D36D54" w:rsidRDefault="009663C2" w:rsidP="00936967">
      <w:pPr>
        <w:jc w:val="both"/>
        <w:rPr>
          <w:rFonts w:ascii="Verdana" w:hAnsi="Verdana"/>
          <w:sz w:val="17"/>
          <w:szCs w:val="20"/>
          <w:lang w:eastAsia="en-US"/>
        </w:rPr>
      </w:pPr>
      <w:r>
        <w:rPr>
          <w:rFonts w:ascii="Verdana" w:hAnsi="Verdana"/>
          <w:sz w:val="17"/>
          <w:szCs w:val="20"/>
          <w:lang w:eastAsia="en-US"/>
        </w:rPr>
        <w:t>Nie je.</w:t>
      </w:r>
    </w:p>
    <w:p w:rsidR="00936967" w:rsidRDefault="00936967" w:rsidP="00936967">
      <w:pPr>
        <w:jc w:val="both"/>
        <w:rPr>
          <w:rFonts w:ascii="Verdana" w:hAnsi="Verdana"/>
          <w:sz w:val="17"/>
          <w:szCs w:val="20"/>
          <w:highlight w:val="yellow"/>
          <w:lang w:eastAsia="en-US"/>
        </w:rPr>
      </w:pPr>
    </w:p>
    <w:p w:rsidR="00936967" w:rsidRPr="00D36D54" w:rsidRDefault="00936967" w:rsidP="00936967">
      <w:pPr>
        <w:jc w:val="both"/>
        <w:rPr>
          <w:rFonts w:ascii="Verdana" w:hAnsi="Verdana"/>
          <w:sz w:val="17"/>
          <w:szCs w:val="20"/>
          <w:highlight w:val="yellow"/>
          <w:lang w:eastAsia="en-US"/>
        </w:rPr>
      </w:pPr>
    </w:p>
    <w:p w:rsidR="00D36D54" w:rsidRPr="00936967" w:rsidRDefault="00D36D54" w:rsidP="00936967">
      <w:pPr>
        <w:pStyle w:val="Odsekzoznamu"/>
        <w:keepNext/>
        <w:numPr>
          <w:ilvl w:val="0"/>
          <w:numId w:val="39"/>
        </w:numPr>
        <w:jc w:val="both"/>
        <w:outlineLvl w:val="0"/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</w:pPr>
      <w:bookmarkStart w:id="5" w:name="_Ref150575427"/>
      <w:r w:rsidRPr="00936967"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  <w:t>POUŽITÉ ÚČTOVNÉ ZÁSADY A ÚČTOVNÉ METÓDY</w:t>
      </w:r>
      <w:bookmarkEnd w:id="5"/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1"/>
        </w:num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eurách.</w:t>
      </w:r>
    </w:p>
    <w:p w:rsidR="00D36D54" w:rsidRPr="00D36D54" w:rsidRDefault="00D36D54" w:rsidP="00D36D54">
      <w:pPr>
        <w:tabs>
          <w:tab w:val="num" w:pos="540"/>
        </w:tabs>
        <w:ind w:left="540" w:hanging="540"/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1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Účtovná závierka za rok 201</w:t>
      </w:r>
      <w:r w:rsidR="00936967">
        <w:rPr>
          <w:rFonts w:ascii="Verdana" w:hAnsi="Verdana"/>
          <w:sz w:val="17"/>
          <w:szCs w:val="20"/>
          <w:lang w:eastAsia="en-US"/>
        </w:rPr>
        <w:t>3</w:t>
      </w:r>
      <w:r w:rsidRPr="00D36D54">
        <w:rPr>
          <w:rFonts w:ascii="Verdana" w:hAnsi="Verdana"/>
          <w:sz w:val="17"/>
          <w:szCs w:val="20"/>
          <w:lang w:eastAsia="en-US"/>
        </w:rPr>
        <w:t xml:space="preserve"> bola spracovaná za predpokladu nepretržitého pokračovania činnosti. </w:t>
      </w:r>
    </w:p>
    <w:p w:rsidR="00D36D54" w:rsidRPr="00D36D54" w:rsidRDefault="00D36D54" w:rsidP="00D36D54">
      <w:pPr>
        <w:tabs>
          <w:tab w:val="num" w:pos="540"/>
        </w:tabs>
        <w:ind w:left="540" w:hanging="540"/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1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D36D54" w:rsidRPr="00D36D54" w:rsidRDefault="00D36D54" w:rsidP="00D36D54">
      <w:pPr>
        <w:tabs>
          <w:tab w:val="num" w:pos="540"/>
        </w:tabs>
        <w:ind w:left="540" w:hanging="540"/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1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D36D54" w:rsidRPr="00D36D54" w:rsidRDefault="00D36D54" w:rsidP="00D36D54">
      <w:pPr>
        <w:tabs>
          <w:tab w:val="num" w:pos="540"/>
        </w:tabs>
        <w:ind w:left="540" w:hanging="540"/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1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Moment zaúčtovania výnosov – výnosy sa účtujú pri splnení dodacích podmienok, nakoľko v tomto okamihu prechádzajú na odberateľa významné riziká a vlastnícke práva.</w:t>
      </w:r>
    </w:p>
    <w:p w:rsidR="00D36D54" w:rsidRPr="00D36D54" w:rsidRDefault="00D36D54" w:rsidP="00D36D54">
      <w:pPr>
        <w:tabs>
          <w:tab w:val="num" w:pos="540"/>
        </w:tabs>
        <w:ind w:left="540" w:hanging="540"/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1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D36D54" w:rsidRPr="00D36D54" w:rsidRDefault="00D36D54" w:rsidP="00D36D54">
      <w:pPr>
        <w:tabs>
          <w:tab w:val="num" w:pos="540"/>
        </w:tabs>
        <w:ind w:left="540" w:hanging="540"/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1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Použitie odhadov – zostavenie účtovnej závierky si vyžaduje, aby vedenie spoločnosti vypracovalo odhady a predpoklady, ktoré majú vplyv na vykazované sumy aktív a pasív, uvedenie možných budúcich aktív a pasív k dátumu, ku ktorému sa zostavuje účtovná závierka, ako aj na vykazovanú výšku výnosov a nákladov počas roka. Skutočné výsledky sa môžu od takýchto odhadov líšiť.</w:t>
      </w:r>
    </w:p>
    <w:p w:rsidR="00D36D54" w:rsidRPr="00D36D54" w:rsidRDefault="00D36D54" w:rsidP="00D36D54">
      <w:pPr>
        <w:tabs>
          <w:tab w:val="num" w:pos="540"/>
        </w:tabs>
        <w:ind w:left="540" w:hanging="540"/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1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keepNext/>
        <w:numPr>
          <w:ilvl w:val="1"/>
          <w:numId w:val="9"/>
        </w:numPr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bookmarkStart w:id="6" w:name="_Ref150575436"/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Spôsob ocenenia jednotlivých zložiek majetku a záväzkov – prvé ocenenie</w:t>
      </w:r>
      <w:bookmarkEnd w:id="6"/>
    </w:p>
    <w:p w:rsidR="00D36D54" w:rsidRPr="00D36D54" w:rsidRDefault="00D36D54" w:rsidP="00D36D54">
      <w:pPr>
        <w:jc w:val="both"/>
        <w:rPr>
          <w:rFonts w:ascii="Verdana" w:hAnsi="Verdana"/>
          <w:sz w:val="20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Pri obstaraní majetku sa uplatňuje princíp obstarávacích cien (t. j. historických cien). Ocenenie jednotlivých položiek majetku a záväzkov je takéto:</w:t>
      </w:r>
    </w:p>
    <w:p w:rsidR="00D36D54" w:rsidRPr="00D36D54" w:rsidRDefault="00D36D54" w:rsidP="00D36D54">
      <w:pPr>
        <w:jc w:val="both"/>
        <w:rPr>
          <w:rFonts w:ascii="Verdana" w:hAnsi="Verdana"/>
          <w:sz w:val="20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Dlhodobý hmotný a nehmotný majetok obstaraný kúpou – obstarávacou cenou. Obstarávacia cena je cena, za ktorú sa majetok obstaral, a náklady súvisiace s jeho obstaraním (prepravné a clo).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Dlhodobý nehmotný majetok vytvorený vlastnou činnosťou – vlastnými nákladmi alebo reprodukčnou obstarávacou cenou, ak sú vlastné náklady vyššie ako reprodukčná obstarávacia cena tohto majetku. Vlastné náklady zahŕňajú priame náklady vynaložené na výrobu alebo inú činnosť a nepriame náklady, ktoré sa vzťahujú na výrobu alebo inú činnosť. Reprodukčná obstarávacia cena je cena, za ktorú by sa majetok obstaral v čase, keď sa o ňom účtuje.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Dlhodobý hmotný majetok vytvorený vlastnou činnosťou – vlastnými nákladmi. Vlastné náklady zahŕňajú priame náklady vynaložené na výrobu alebo inú činnosť, a nepriame náklady, ktoré sa vzťahujú na výrobu alebo inú činnosť.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Dlhodobý nehmotný a hmotný majetok obstaraný iným spôsobom – reprodukčnou obstarávacou cenou v prípade bezodplatného nadobudnutia majetku alebo majetku novo zisteného pri inventarizácii, t. j. cenou, za ktorú by sa majetok obstaral v čase, keď sa o ňom účtuje.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Majetok obstaraný v rámci finančného prenájmu sa účtuje do majetku vo výške svojej reálnej hodnoty ku dňu obstarania (celková suma dohodnutých platieb znížená o nerealizované finančné náklady). Súvisiaci záväzok voči prenajímateľovi je v súvahe vykázaný v ostatných dlhodobých záväzkoch (r. 103 súvahy) a krátkodobá časť v ostatných záväzkoch (r. 114 súvahy). Nerealizované finančné náklady, ktoré predstavujú rozdiel medzi celkovou sumou dohodnutých platieb a reálnou hodnotou obstaraného majetku, sa účtujú vo výkaze ziskov a strát počas doby trvania prenájmu použitím metódy efektívnej úrokovej miery. Náklady súvisiace s obstaraním predmetu finančného prenájmu zvyšujú jeho ocenenie.</w:t>
      </w:r>
    </w:p>
    <w:p w:rsidR="00D36D54" w:rsidRPr="00D36D54" w:rsidRDefault="00D36D54" w:rsidP="00D36D54">
      <w:pPr>
        <w:ind w:left="539"/>
        <w:jc w:val="both"/>
        <w:rPr>
          <w:rFonts w:ascii="Verdana" w:hAnsi="Verdana"/>
          <w:i/>
          <w:color w:val="FF0000"/>
          <w:sz w:val="17"/>
          <w:szCs w:val="20"/>
          <w:lang w:eastAsia="en-US"/>
        </w:rPr>
      </w:pPr>
    </w:p>
    <w:p w:rsidR="00D36D54" w:rsidRPr="00D36D54" w:rsidRDefault="00D36D54" w:rsidP="00D36D54">
      <w:pPr>
        <w:ind w:left="539"/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Majetok prenajímaný formou finančného prenájmu sa v súvahe vykazuje ako dlhodobé iné pohľadávky (r. 045 súvahy) a krátkodobá časť v krátkodobých iných pohľadávkach (r. 054 súvahy) vo výške istiny (celková suma dohodnutých platieb znížená o nerealizované finančné výnosy). Nerealizované finančné výnosy, ktoré predstavujú rozdiel medzi celkovou sumou dohodnutých platieb a istinou, sa účtujú vo výkaze ziskov a strát počas doby trvania prenájmu použitím metódy efektívnej úrokovej miery.</w:t>
      </w:r>
    </w:p>
    <w:p w:rsidR="00D36D54" w:rsidRPr="00D36D54" w:rsidRDefault="00D36D54" w:rsidP="00D36D54">
      <w:pPr>
        <w:jc w:val="both"/>
        <w:rPr>
          <w:rFonts w:ascii="Verdana" w:hAnsi="Verdana"/>
          <w:sz w:val="20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Dlhodobý finančný majetok – obstarávacou cenou. Obstarávacia cena predstavuje cenu, za ktorú sa majetok obstaral, a náklady súvisiace s jeho obstaraním (poplatky a provízie maklérom, poradcom, burzám).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Zásoby obstarané kúpou:</w:t>
      </w:r>
    </w:p>
    <w:p w:rsidR="00D36D54" w:rsidRPr="00D36D54" w:rsidRDefault="00D36D54" w:rsidP="00D36D54">
      <w:pPr>
        <w:numPr>
          <w:ilvl w:val="0"/>
          <w:numId w:val="12"/>
        </w:num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>Nakupovaný materiál – obstarávacou cenou. Pri úbytku rovnakého druhu zásob sa používa metóda FIFO. Do vedľajších nákladov vstupuje clo, prepravné a provízie. Vedľajšie náklady sa rozvrhujú ako odchýlka podľa podielu súčtu stavu a prírastku odchýlky na súčte stavu a prírastku zásob.</w:t>
      </w:r>
    </w:p>
    <w:p w:rsidR="00D36D54" w:rsidRPr="00D36D54" w:rsidRDefault="00D36D54" w:rsidP="00D36D54">
      <w:pPr>
        <w:numPr>
          <w:ilvl w:val="0"/>
          <w:numId w:val="12"/>
        </w:num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>Nakupovaný tovar – obstarávacou cenou. Pri úbytku rovnakého druhu zásob sa používa metóda váženého aritmetického priemeru. Do vedľajších nákladov patrí prepravné, clo a provízie.</w:t>
      </w:r>
    </w:p>
    <w:p w:rsidR="00D36D54" w:rsidRPr="00D36D54" w:rsidRDefault="00D36D54" w:rsidP="00D36D54">
      <w:pPr>
        <w:jc w:val="both"/>
        <w:rPr>
          <w:rFonts w:ascii="Verdana" w:hAnsi="Verdana"/>
          <w:sz w:val="20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Zásoby vytvorené vlastnou činnosťou:</w:t>
      </w:r>
    </w:p>
    <w:p w:rsidR="00D36D54" w:rsidRPr="00D36D54" w:rsidRDefault="00D36D54" w:rsidP="00D36D54">
      <w:pPr>
        <w:numPr>
          <w:ilvl w:val="0"/>
          <w:numId w:val="13"/>
        </w:num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>Nedokončená výroba, polotovary a výrobky sa oceňujú vlastnými nákladmi, ktoré zahŕňajú priame náklady vynaložené na výrobu alebo inú činnosť, prípadne aj časť nepriamych nákladov, ktoré sa vzťahujú na výrobu alebo inú činnosť.</w:t>
      </w:r>
    </w:p>
    <w:p w:rsidR="00D36D54" w:rsidRPr="00D36D54" w:rsidRDefault="00D36D54" w:rsidP="00D36D54">
      <w:pPr>
        <w:jc w:val="both"/>
        <w:rPr>
          <w:rFonts w:ascii="Verdana" w:hAnsi="Verdana"/>
          <w:sz w:val="20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Zásoby obstarané iným spôsobom – reprodukčnou obstarávacou cenou v prípade bezodplatného nadobudnutia zásob alebo zásob novo zistených pri inventarizácii, t. j. cenou, za ktorú by sa majetok obstaral v čase, keď sa o ňom účtuje.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936967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936967">
        <w:rPr>
          <w:rFonts w:ascii="Verdana" w:hAnsi="Verdana"/>
          <w:sz w:val="17"/>
          <w:szCs w:val="20"/>
          <w:lang w:eastAsia="en-US"/>
        </w:rPr>
        <w:t>Zákazková výroba – v zmluvách o zákazkách sa určujú podmienky a vzťahy jednotlivých zmlúv, ktoré sa uzatvárajú vo fixných cenách alebo v skutočných nákladoch plus fixná marža.</w:t>
      </w:r>
    </w:p>
    <w:p w:rsidR="00D36D54" w:rsidRPr="00936967" w:rsidRDefault="00D36D54" w:rsidP="00D36D54">
      <w:pPr>
        <w:ind w:left="539"/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936967" w:rsidRDefault="00D36D54" w:rsidP="00D36D54">
      <w:pPr>
        <w:ind w:left="539"/>
        <w:jc w:val="both"/>
        <w:rPr>
          <w:rFonts w:ascii="Verdana" w:hAnsi="Verdana"/>
          <w:sz w:val="17"/>
          <w:szCs w:val="20"/>
          <w:lang w:eastAsia="en-US"/>
        </w:rPr>
      </w:pPr>
      <w:r w:rsidRPr="00936967">
        <w:rPr>
          <w:rFonts w:ascii="Verdana" w:hAnsi="Verdana"/>
          <w:sz w:val="17"/>
          <w:szCs w:val="20"/>
          <w:lang w:eastAsia="en-US"/>
        </w:rPr>
        <w:t xml:space="preserve">Výnosy zo zákazky zahŕňajú cenu dohodnutú v zmluve. Súčasťou týchto výnosov sú aj zmeny ceny dohodnutej v zmluve, ak sa dodatočne dohodne iný rozsah prác, nároky a stimulačné doplatky. Náklady na zákazku na účely účtovania sú priame náklady súvisiace so zákazkou, nepriame náklady, ktoré sa dajú priradiť k zákazke, a iné náklady, napríklad správna réžia, náklady na výskum a vývoj, ktoré sa dajú priradiť k zákazke odo dňa zabezpečenia zmluvy až po jej úplné splnenie. </w:t>
      </w:r>
    </w:p>
    <w:p w:rsidR="00D36D54" w:rsidRPr="00936967" w:rsidRDefault="00D36D54" w:rsidP="00D36D54">
      <w:pPr>
        <w:ind w:left="539"/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936967" w:rsidRDefault="00D36D54" w:rsidP="00D36D54">
      <w:pPr>
        <w:ind w:left="539"/>
        <w:jc w:val="both"/>
        <w:rPr>
          <w:rFonts w:ascii="Verdana" w:hAnsi="Verdana"/>
          <w:sz w:val="17"/>
          <w:szCs w:val="20"/>
          <w:lang w:eastAsia="en-US"/>
        </w:rPr>
      </w:pPr>
      <w:r w:rsidRPr="00936967">
        <w:rPr>
          <w:rFonts w:ascii="Verdana" w:hAnsi="Verdana"/>
          <w:sz w:val="17"/>
          <w:szCs w:val="20"/>
          <w:lang w:eastAsia="en-US"/>
        </w:rPr>
        <w:t xml:space="preserve">Na účely účtovania o zákazke sa zostavuje jej rozpočet. Ak sa z uskutočnenia zákazky očakáva strata, pretože rozpočtované náklady na zákazku sú vyššie ako rozpočtované výnosy zo zákazky, zohľadní sa táto strata v účtovnom období, v ktorom sa zákazka začala uskutočňovať, a to vytvorením opravnej položky (do výšky aktivovaných zásob) a rezervy (vo výške straty nad výšku aktivovaných zásob). </w:t>
      </w:r>
    </w:p>
    <w:p w:rsidR="00D36D54" w:rsidRPr="00936967" w:rsidRDefault="00D36D54" w:rsidP="00D36D54">
      <w:pPr>
        <w:ind w:left="539"/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Default="00D36D54" w:rsidP="00D36D54">
      <w:pPr>
        <w:ind w:left="539"/>
        <w:jc w:val="both"/>
        <w:rPr>
          <w:rFonts w:ascii="Verdana" w:hAnsi="Verdana"/>
          <w:sz w:val="17"/>
          <w:szCs w:val="20"/>
          <w:lang w:eastAsia="en-US"/>
        </w:rPr>
      </w:pPr>
      <w:r w:rsidRPr="00936967">
        <w:rPr>
          <w:rFonts w:ascii="Verdana" w:hAnsi="Verdana"/>
          <w:sz w:val="17"/>
          <w:szCs w:val="20"/>
          <w:lang w:eastAsia="en-US"/>
        </w:rPr>
        <w:t>Výnosy zo zákazky sa účtujú podľa metódy percenta dokončenia zákazky bez ohľadu na to, či doteraz uskutočnené práce už boli fakturované a v akej výške. Percento dokončenia zákazky sa zisťuje ako pomer skutočne vynaložených nákladov na zákazku k celkovým rozpočtovaným nákladom na zákazku.</w:t>
      </w:r>
    </w:p>
    <w:p w:rsidR="00936967" w:rsidRPr="00D36D54" w:rsidRDefault="00936967" w:rsidP="00D36D54">
      <w:pPr>
        <w:ind w:left="539"/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Pohľadávky:</w:t>
      </w:r>
    </w:p>
    <w:p w:rsidR="00D36D54" w:rsidRPr="00D36D54" w:rsidRDefault="00D36D54" w:rsidP="00D36D54">
      <w:pPr>
        <w:numPr>
          <w:ilvl w:val="0"/>
          <w:numId w:val="14"/>
        </w:num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>pri ich vzniku alebo bezodplatnom nadobudnutí – menovitou hodnotou,</w:t>
      </w:r>
    </w:p>
    <w:p w:rsidR="00D36D54" w:rsidRPr="00D36D54" w:rsidRDefault="00D36D54" w:rsidP="00D36D54">
      <w:pPr>
        <w:numPr>
          <w:ilvl w:val="0"/>
          <w:numId w:val="14"/>
        </w:num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>pri odplatnom nadobudnutí (postúpení) alebo nadobudnutí vkladom do základného imania – obstarávacou cenou.</w:t>
      </w:r>
    </w:p>
    <w:p w:rsidR="00D36D54" w:rsidRPr="00D36D54" w:rsidRDefault="00D36D54" w:rsidP="00D36D54">
      <w:pPr>
        <w:ind w:left="539"/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ind w:left="539"/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 xml:space="preserve">Pri dlhodobých pohľadávkach a dlhodobých pôžičkách sa uvádza opravná položka v stĺpci korekcia, čím sa upravuje hodnota tejto pohľadávky a pôžičky na jej súčasnú hodnotu, napríklad metódou efektívnej úrokovej miery. </w:t>
      </w:r>
    </w:p>
    <w:p w:rsidR="00D36D54" w:rsidRPr="00D36D54" w:rsidRDefault="00D36D54" w:rsidP="00D36D54">
      <w:pPr>
        <w:ind w:left="539"/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Krátkodobý finančný majetok – obstarávacou cenou. Obstarávacia cena je cena, za ktorú sa majetok obstaral, a náklady súvisiace s jeho obstaraním (poplatky a provízie maklérom, poradcom, burzám).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Časové rozlíšenie na strane aktív súvahy – očakávanou menovitou hodnotou.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Záväzky:</w:t>
      </w:r>
    </w:p>
    <w:p w:rsidR="00D36D54" w:rsidRPr="00D36D54" w:rsidRDefault="00D36D54" w:rsidP="00D36D54">
      <w:pPr>
        <w:numPr>
          <w:ilvl w:val="0"/>
          <w:numId w:val="15"/>
        </w:num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>pri ich vzniku – menovitou hodnotou,</w:t>
      </w:r>
    </w:p>
    <w:p w:rsidR="00D36D54" w:rsidRPr="00D36D54" w:rsidRDefault="00D36D54" w:rsidP="00D36D54">
      <w:pPr>
        <w:numPr>
          <w:ilvl w:val="0"/>
          <w:numId w:val="15"/>
        </w:num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>pri prevzatí – obstarávacou cenou.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 xml:space="preserve">Rezervy – v očakávanej výške záväzku alebo </w:t>
      </w:r>
      <w:proofErr w:type="spellStart"/>
      <w:r w:rsidRPr="00D36D54">
        <w:rPr>
          <w:rFonts w:ascii="Verdana" w:hAnsi="Verdana"/>
          <w:sz w:val="17"/>
          <w:szCs w:val="20"/>
          <w:lang w:eastAsia="en-US"/>
        </w:rPr>
        <w:t>poistnomatematickými</w:t>
      </w:r>
      <w:proofErr w:type="spellEnd"/>
      <w:r w:rsidRPr="00D36D54">
        <w:rPr>
          <w:rFonts w:ascii="Verdana" w:hAnsi="Verdana"/>
          <w:sz w:val="17"/>
          <w:szCs w:val="20"/>
          <w:lang w:eastAsia="en-US"/>
        </w:rPr>
        <w:t xml:space="preserve"> metódami.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 xml:space="preserve">Dlhopisy, pôžičky, úvery: </w:t>
      </w:r>
    </w:p>
    <w:p w:rsidR="00D36D54" w:rsidRPr="00D36D54" w:rsidRDefault="00D36D54" w:rsidP="00D36D54">
      <w:pPr>
        <w:numPr>
          <w:ilvl w:val="0"/>
          <w:numId w:val="16"/>
        </w:num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>pri ich vzniku – menovitou hodnotou,</w:t>
      </w:r>
    </w:p>
    <w:p w:rsidR="00D36D54" w:rsidRPr="00D36D54" w:rsidRDefault="00D36D54" w:rsidP="00D36D54">
      <w:pPr>
        <w:numPr>
          <w:ilvl w:val="0"/>
          <w:numId w:val="16"/>
        </w:num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>pri prevzatí – obstarávacou cenou.</w:t>
      </w:r>
    </w:p>
    <w:p w:rsidR="00D36D54" w:rsidRPr="00D36D54" w:rsidRDefault="00D36D54" w:rsidP="00D36D54">
      <w:pPr>
        <w:ind w:left="539"/>
        <w:jc w:val="both"/>
        <w:rPr>
          <w:rFonts w:ascii="Verdana" w:hAnsi="Verdana"/>
          <w:sz w:val="20"/>
          <w:szCs w:val="20"/>
          <w:lang w:eastAsia="en-US"/>
        </w:rPr>
      </w:pPr>
    </w:p>
    <w:p w:rsidR="00D36D54" w:rsidRPr="00D36D54" w:rsidRDefault="00D36D54" w:rsidP="00D36D54">
      <w:pPr>
        <w:ind w:left="539"/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Úroky z dlhopisov, pôžičiek a úverov sa účtujú do obdobia, s ktorým časovo a vecne súvisia.</w:t>
      </w:r>
    </w:p>
    <w:p w:rsidR="00D36D54" w:rsidRPr="00D36D54" w:rsidRDefault="00D36D54" w:rsidP="00D36D54">
      <w:pPr>
        <w:ind w:left="539"/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Časové rozlíšenie na strane pasív súvahy – očakávanou menovitou hodnotou.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Deriváty – nakúpené deriváty sa oceňujú obstarávacou cenou.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Prenajatý majetok a majetok obstaraný na základe zmluvy o kúpe prenajatej veci uzatvorenej do 31. decembra 2003 sa v súvahe nevykazuje, je vedený na podsúvahovom účte v obstarávacej cene. Akontácia pri finančnom lízingu sa časovo rozlišuje a rozpúšťa do nákladov počas doby prenájmu.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Majetok obstaraný v privatizácii – zostatkovou cenou z účtovníctva privatizovaného subjektu. Rozdiel medzi vydraženou cenou a účtovnou hodnotou majetku sa zaúčtoval na účet 097 – Opravná položka k nadobudnutému majetku, ktorá sa odpisuje do nákladov pravidelne počas 15 rokov od nadobudnutia majetku.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bookmarkStart w:id="7" w:name="_Ref150575442"/>
      <w:r w:rsidRPr="00D36D54">
        <w:rPr>
          <w:rFonts w:ascii="Verdana" w:hAnsi="Verdana"/>
          <w:sz w:val="17"/>
          <w:szCs w:val="20"/>
          <w:lang w:eastAsia="en-US"/>
        </w:rPr>
        <w:t>Emisné kvóty – pridelené emisné kvóty sa účtujú do krátkodobého finančného majetku so súvzťažným zápisom v prospech výnosov budúcich období, a to v ocenení reprodukčnou obstarávacou cenou v deň ich pripísania na účet kvót v registri. Zúčtovanie výnosov budúcich období sa účtuje v prospech ostatných výnosov z hospodárskej činnosti v časovej a vecnej súvislosti s použitím bezodplatne pridelených emisných kvót.</w:t>
      </w:r>
      <w:bookmarkEnd w:id="7"/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 xml:space="preserve">Daň z príjmov splatná – podľa slovenského zákona o daniach z príjmov sa splatné dane z príjmov určujú z účtovného zisku pri sadzbe </w:t>
      </w:r>
      <w:r w:rsidR="00AB534C" w:rsidRPr="00AB534C">
        <w:rPr>
          <w:rFonts w:ascii="Verdana" w:hAnsi="Verdana"/>
          <w:sz w:val="17"/>
          <w:szCs w:val="20"/>
          <w:lang w:eastAsia="en-US"/>
        </w:rPr>
        <w:t>23</w:t>
      </w:r>
      <w:r w:rsidRPr="00AB534C">
        <w:rPr>
          <w:rFonts w:ascii="Verdana" w:hAnsi="Verdana"/>
          <w:sz w:val="17"/>
          <w:szCs w:val="20"/>
          <w:lang w:eastAsia="en-US"/>
        </w:rPr>
        <w:t xml:space="preserve"> </w:t>
      </w:r>
      <w:r w:rsidRPr="00D36D54">
        <w:rPr>
          <w:rFonts w:ascii="Verdana" w:hAnsi="Verdana"/>
          <w:sz w:val="17"/>
          <w:szCs w:val="20"/>
          <w:lang w:eastAsia="en-US"/>
        </w:rPr>
        <w:t>% po úpravách o niektoré položky na daňové účely.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 xml:space="preserve">Daň z príjmov odložená – účtuje sa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použila sadzba dane z príjmov platná v nasledujúcom účtovnom období, t. j. </w:t>
      </w:r>
      <w:r w:rsidR="00AB534C" w:rsidRPr="00AB534C">
        <w:rPr>
          <w:rFonts w:ascii="Verdana" w:hAnsi="Verdana"/>
          <w:sz w:val="17"/>
          <w:szCs w:val="20"/>
          <w:lang w:eastAsia="en-US"/>
        </w:rPr>
        <w:t>23</w:t>
      </w:r>
      <w:r w:rsidRPr="00AB534C">
        <w:rPr>
          <w:rFonts w:ascii="Verdana" w:hAnsi="Verdana"/>
          <w:sz w:val="17"/>
          <w:szCs w:val="20"/>
          <w:lang w:eastAsia="en-US"/>
        </w:rPr>
        <w:t xml:space="preserve"> </w:t>
      </w:r>
      <w:r w:rsidRPr="00D36D54">
        <w:rPr>
          <w:rFonts w:ascii="Verdana" w:hAnsi="Verdana"/>
          <w:sz w:val="17"/>
          <w:szCs w:val="20"/>
          <w:lang w:eastAsia="en-US"/>
        </w:rPr>
        <w:t>%.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Dotácie poskytnuté na obstaranie dlhodobého majetku sa účtujú ako výnosy budúcich období a rozpúšťajú sa do výnosov v časovej a vecnej súvislosti so zaúčtovaním odpisov z dlhodobého hmotného majetku, na obstaranie ktorého bola dotácia poskytnutá, od doby zaradenia tohto majetku do užívania. Uvedením do užívania sa rozumie aj vydanie povolenia na predčasné užívanie stavby alebo rozhodnutia o dočasnom užívaní stavby na skúšobnú prevádzku.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524152" w:rsidRDefault="00524152" w:rsidP="00524152">
      <w:pPr>
        <w:pStyle w:val="Nadpis2"/>
        <w:tabs>
          <w:tab w:val="num" w:pos="539"/>
        </w:tabs>
        <w:ind w:left="539" w:hanging="539"/>
        <w:jc w:val="both"/>
        <w:rPr>
          <w:rFonts w:ascii="Verdana" w:hAnsi="Verdana" w:cs="Arial"/>
          <w:iCs/>
          <w:sz w:val="17"/>
          <w:szCs w:val="28"/>
          <w:lang w:eastAsia="en-US"/>
        </w:rPr>
      </w:pPr>
      <w:bookmarkStart w:id="8" w:name="_Ref150575465"/>
      <w:r w:rsidRPr="00524152">
        <w:rPr>
          <w:rFonts w:ascii="Verdana" w:hAnsi="Verdana" w:cs="Arial"/>
          <w:bCs w:val="0"/>
          <w:iCs/>
          <w:sz w:val="17"/>
          <w:szCs w:val="28"/>
          <w:lang w:eastAsia="en-US"/>
        </w:rPr>
        <w:t>10.</w:t>
      </w:r>
      <w:r w:rsidR="00D36D54" w:rsidRPr="00524152">
        <w:rPr>
          <w:rFonts w:ascii="Verdana" w:hAnsi="Verdana" w:cs="Arial"/>
          <w:iCs/>
          <w:sz w:val="17"/>
          <w:szCs w:val="28"/>
          <w:lang w:eastAsia="en-US"/>
        </w:rPr>
        <w:t>Spôsob ocenenia jednotlivých zložiek majetku a záväzkov – nasledujúce ocenenie</w:t>
      </w:r>
      <w:bookmarkEnd w:id="8"/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21"/>
        </w:numPr>
        <w:jc w:val="both"/>
        <w:rPr>
          <w:rFonts w:ascii="Verdana" w:hAnsi="Verdana"/>
          <w:sz w:val="17"/>
          <w:szCs w:val="20"/>
          <w:lang w:eastAsia="en-US"/>
        </w:rPr>
      </w:pPr>
      <w:bookmarkStart w:id="9" w:name="_Ref150575467"/>
      <w:r w:rsidRPr="00D36D54">
        <w:rPr>
          <w:rFonts w:ascii="Verdana" w:hAnsi="Verdana"/>
          <w:sz w:val="17"/>
          <w:szCs w:val="20"/>
          <w:lang w:eastAsia="en-US"/>
        </w:rPr>
        <w:t>Predpokladané riziká, straty a zníženia hodnoty, ktoré sa týkajú majetku a záväzkov, sa vyjadrujú prostredníctvom rezerv, opravných položiek a odpisov.</w:t>
      </w:r>
      <w:bookmarkEnd w:id="9"/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F37C86" w:rsidRDefault="00D36D54" w:rsidP="00F37C86">
      <w:pPr>
        <w:numPr>
          <w:ilvl w:val="0"/>
          <w:numId w:val="17"/>
        </w:numPr>
        <w:tabs>
          <w:tab w:val="num" w:pos="900"/>
        </w:tabs>
        <w:ind w:left="900" w:hanging="360"/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  <w:u w:val="single"/>
        </w:rPr>
        <w:t>Rezervy</w:t>
      </w:r>
      <w:r w:rsidRPr="00D36D54">
        <w:rPr>
          <w:rFonts w:ascii="Verdana" w:hAnsi="Verdana"/>
          <w:snapToGrid w:val="0"/>
          <w:sz w:val="17"/>
          <w:szCs w:val="20"/>
        </w:rPr>
        <w:t xml:space="preserve"> – účtujú sa v očakávanej výške záväzku. </w:t>
      </w:r>
    </w:p>
    <w:p w:rsidR="00D36D54" w:rsidRPr="00D36D54" w:rsidRDefault="00D36D54" w:rsidP="00F37C86">
      <w:pPr>
        <w:numPr>
          <w:ilvl w:val="0"/>
          <w:numId w:val="17"/>
        </w:numPr>
        <w:tabs>
          <w:tab w:val="num" w:pos="900"/>
        </w:tabs>
        <w:ind w:left="900" w:hanging="360"/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  <w:u w:val="single"/>
        </w:rPr>
        <w:t>Opravné položky</w:t>
      </w:r>
      <w:r w:rsidRPr="00D36D54">
        <w:rPr>
          <w:rFonts w:ascii="Verdana" w:hAnsi="Verdana"/>
          <w:snapToGrid w:val="0"/>
          <w:sz w:val="17"/>
          <w:szCs w:val="20"/>
        </w:rPr>
        <w:t xml:space="preserve"> – účtujú sa v sume opodstatneného predpokladu zníženia hodnoty majetku oproti jeho oceneniu v účtovníctve, a to:</w:t>
      </w:r>
    </w:p>
    <w:p w:rsidR="00D36D54" w:rsidRPr="00D36D54" w:rsidRDefault="00D36D54" w:rsidP="00D36D54">
      <w:pPr>
        <w:numPr>
          <w:ilvl w:val="1"/>
          <w:numId w:val="20"/>
        </w:numPr>
        <w:tabs>
          <w:tab w:val="num" w:pos="1260"/>
        </w:tabs>
        <w:ind w:left="1260" w:hanging="360"/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 xml:space="preserve">k zastaveným investíciám na základe zhodnotenia ich účtovnej hodnoty vo vzťahu k možnej realizovateľnej cene, </w:t>
      </w:r>
    </w:p>
    <w:p w:rsidR="00D36D54" w:rsidRPr="00D36D54" w:rsidRDefault="00D36D54" w:rsidP="00D36D54">
      <w:pPr>
        <w:numPr>
          <w:ilvl w:val="1"/>
          <w:numId w:val="20"/>
        </w:numPr>
        <w:tabs>
          <w:tab w:val="num" w:pos="1260"/>
        </w:tabs>
        <w:ind w:left="1260" w:hanging="360"/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>k podielom na základnom imaní v obchodných spoločnostiach na základe metódy vlastného imania,</w:t>
      </w:r>
    </w:p>
    <w:p w:rsidR="00D36D54" w:rsidRPr="00D36D54" w:rsidRDefault="00D36D54" w:rsidP="00D36D54">
      <w:pPr>
        <w:numPr>
          <w:ilvl w:val="1"/>
          <w:numId w:val="20"/>
        </w:numPr>
        <w:tabs>
          <w:tab w:val="num" w:pos="1260"/>
        </w:tabs>
        <w:ind w:left="1260" w:hanging="360"/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>k zásobám bez obratu nad 360 dní vo výške 80 % podľa posúdenia ich využiteľnosti v spoločnosti alebo možného odpredaja,</w:t>
      </w:r>
    </w:p>
    <w:p w:rsidR="00D36D54" w:rsidRPr="00D36D54" w:rsidRDefault="00D36D54" w:rsidP="00D36D54">
      <w:pPr>
        <w:numPr>
          <w:ilvl w:val="1"/>
          <w:numId w:val="20"/>
        </w:numPr>
        <w:tabs>
          <w:tab w:val="num" w:pos="1260"/>
        </w:tabs>
        <w:ind w:left="1260" w:hanging="360"/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>k zásobám materiálu, nedokončenej výroby a výrobkov, ktorých trhová cena klesla pod obstarávaciu cenu, resp. pod ocenenie vlastnými nákladmi podľa prepočtu podielu obstarávacej ceny alebo vlastných nákladov na možnej trhovej cene,</w:t>
      </w:r>
    </w:p>
    <w:p w:rsidR="00D36D54" w:rsidRPr="00D36D54" w:rsidRDefault="00D36D54" w:rsidP="00D36D54">
      <w:pPr>
        <w:numPr>
          <w:ilvl w:val="1"/>
          <w:numId w:val="20"/>
        </w:numPr>
        <w:tabs>
          <w:tab w:val="num" w:pos="1260"/>
        </w:tabs>
        <w:ind w:left="1260" w:hanging="360"/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>k nedokončenej výrobe predstavujúcej zákazkovú výrobu v súvislosti s vyjadrením strát zákazky,</w:t>
      </w:r>
    </w:p>
    <w:p w:rsidR="00D36D54" w:rsidRPr="00D36D54" w:rsidRDefault="00D36D54" w:rsidP="00D36D54">
      <w:pPr>
        <w:numPr>
          <w:ilvl w:val="1"/>
          <w:numId w:val="20"/>
        </w:numPr>
        <w:tabs>
          <w:tab w:val="num" w:pos="1260"/>
        </w:tabs>
        <w:ind w:left="1260" w:hanging="360"/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>k pohľadávkam po lehote splatnosti nad 360 dní 100 %, nad 180 dní 70 %, z ostatných pohľadávok po lehote splatnosti 5 %.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9"/>
        </w:numPr>
        <w:tabs>
          <w:tab w:val="num" w:pos="900"/>
        </w:tabs>
        <w:ind w:left="900" w:hanging="360"/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  <w:u w:val="single"/>
        </w:rPr>
        <w:t xml:space="preserve">Plán odpisov </w:t>
      </w:r>
    </w:p>
    <w:p w:rsidR="00D36D54" w:rsidRPr="00D36D54" w:rsidRDefault="00D36D54" w:rsidP="00D36D54">
      <w:pPr>
        <w:ind w:left="900"/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ind w:left="900"/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 xml:space="preserve">Dlhodobý hmotný a nehmotný majetok sa odpisuje podľa plánu odpisov, ktorý bol stanovený vzhľadom na odhad reálnej ekonomickej životnosti. Majetok sa odpisuje počas predpokladanej doby používania zodpovedajúcej spotrebe budúcich ekonomických úžitkov z majetku. Účtovné odpisy sú rovnomerné. Majetok sa začína odpisovať v mesiaci nasledujúcom po mesiaci zaradenia do používania. </w:t>
      </w:r>
    </w:p>
    <w:p w:rsidR="00D36D54" w:rsidRPr="00D36D54" w:rsidRDefault="00D36D54" w:rsidP="00D36D54">
      <w:pPr>
        <w:ind w:left="900"/>
        <w:jc w:val="both"/>
        <w:rPr>
          <w:rFonts w:ascii="Verdana" w:hAnsi="Verdana"/>
          <w:b/>
          <w:snapToGrid w:val="0"/>
          <w:sz w:val="17"/>
          <w:szCs w:val="20"/>
        </w:rPr>
      </w:pPr>
    </w:p>
    <w:p w:rsidR="00D36D54" w:rsidRPr="00D36D54" w:rsidRDefault="00D36D54" w:rsidP="00D36D54">
      <w:pPr>
        <w:ind w:left="900"/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Priemerné životnosti podľa plánu odpisov sú:</w:t>
      </w:r>
    </w:p>
    <w:p w:rsidR="00D36D54" w:rsidRPr="00D36D54" w:rsidRDefault="00D36D54" w:rsidP="00D36D54">
      <w:pPr>
        <w:ind w:left="539"/>
        <w:jc w:val="both"/>
        <w:rPr>
          <w:rFonts w:ascii="Verdana" w:hAnsi="Verdana"/>
          <w:b/>
          <w:snapToGrid w:val="0"/>
          <w:sz w:val="17"/>
          <w:szCs w:val="20"/>
        </w:rPr>
      </w:pPr>
    </w:p>
    <w:tbl>
      <w:tblPr>
        <w:tblpPr w:leftFromText="141" w:rightFromText="141" w:vertAnchor="text" w:tblpX="968" w:tblpY="1"/>
        <w:tblOverlap w:val="never"/>
        <w:tblW w:w="817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13"/>
        <w:gridCol w:w="2268"/>
        <w:gridCol w:w="2693"/>
      </w:tblGrid>
      <w:tr w:rsidR="00D36D54" w:rsidRPr="00D36D54" w:rsidTr="00D256E1">
        <w:trPr>
          <w:trHeight w:val="257"/>
        </w:trPr>
        <w:tc>
          <w:tcPr>
            <w:tcW w:w="32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256E1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sz w:val="15"/>
                <w:szCs w:val="15"/>
                <w:lang w:eastAsia="en-US"/>
              </w:rPr>
              <w:t>Druh majetku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256E1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sz w:val="15"/>
                <w:szCs w:val="15"/>
                <w:lang w:eastAsia="en-US"/>
              </w:rPr>
              <w:t>Životnosť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256E1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sz w:val="15"/>
                <w:szCs w:val="15"/>
                <w:lang w:eastAsia="en-US"/>
              </w:rPr>
              <w:t>Ročná sadzba odpisov</w:t>
            </w:r>
          </w:p>
        </w:tc>
      </w:tr>
      <w:tr w:rsidR="00D36D54" w:rsidRPr="00D36D54" w:rsidTr="00D256E1">
        <w:trPr>
          <w:trHeight w:val="257"/>
        </w:trPr>
        <w:tc>
          <w:tcPr>
            <w:tcW w:w="32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256E1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a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256E1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256E1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c</w:t>
            </w:r>
          </w:p>
        </w:tc>
      </w:tr>
      <w:tr w:rsidR="00D36D54" w:rsidRPr="00524152" w:rsidTr="00D256E1">
        <w:trPr>
          <w:trHeight w:val="246"/>
        </w:trPr>
        <w:tc>
          <w:tcPr>
            <w:tcW w:w="321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D36D54" w:rsidRPr="00524152" w:rsidRDefault="00D36D54" w:rsidP="00D256E1">
            <w:pPr>
              <w:jc w:val="both"/>
              <w:rPr>
                <w:rFonts w:ascii="Verdana" w:hAnsi="Verdana"/>
                <w:b/>
                <w:snapToGrid w:val="0"/>
                <w:sz w:val="15"/>
                <w:szCs w:val="15"/>
              </w:rPr>
            </w:pPr>
            <w:r w:rsidRPr="00524152">
              <w:rPr>
                <w:rFonts w:ascii="Verdana" w:hAnsi="Verdana"/>
                <w:sz w:val="15"/>
                <w:szCs w:val="15"/>
                <w:lang w:eastAsia="en-US"/>
              </w:rPr>
              <w:t>Budovy a stavby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D36D54" w:rsidRPr="00524152" w:rsidRDefault="00D36D54" w:rsidP="00D256E1">
            <w:pPr>
              <w:jc w:val="center"/>
              <w:rPr>
                <w:rFonts w:ascii="Verdana" w:hAnsi="Verdana"/>
                <w:b/>
                <w:snapToGrid w:val="0"/>
                <w:sz w:val="15"/>
                <w:szCs w:val="15"/>
              </w:rPr>
            </w:pPr>
            <w:r w:rsidRPr="00524152">
              <w:rPr>
                <w:rFonts w:ascii="Verdana" w:hAnsi="Verdana"/>
                <w:sz w:val="15"/>
                <w:szCs w:val="15"/>
                <w:lang w:eastAsia="en-US"/>
              </w:rPr>
              <w:t>20 rokov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D36D54" w:rsidRPr="00524152" w:rsidRDefault="00D36D54" w:rsidP="00D256E1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  <w:r w:rsidRPr="00524152">
              <w:rPr>
                <w:rFonts w:ascii="Verdana" w:hAnsi="Verdana"/>
                <w:sz w:val="15"/>
                <w:szCs w:val="15"/>
                <w:lang w:eastAsia="en-US"/>
              </w:rPr>
              <w:t>5,0 %</w:t>
            </w:r>
          </w:p>
        </w:tc>
      </w:tr>
      <w:tr w:rsidR="00D36D54" w:rsidRPr="00524152" w:rsidTr="00D256E1">
        <w:trPr>
          <w:trHeight w:val="261"/>
        </w:trPr>
        <w:tc>
          <w:tcPr>
            <w:tcW w:w="321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D36D54" w:rsidRPr="00524152" w:rsidRDefault="00D36D54" w:rsidP="00D256E1">
            <w:pPr>
              <w:jc w:val="both"/>
              <w:rPr>
                <w:rFonts w:ascii="Verdana" w:hAnsi="Verdana"/>
                <w:b/>
                <w:snapToGrid w:val="0"/>
                <w:sz w:val="15"/>
                <w:szCs w:val="15"/>
              </w:rPr>
            </w:pPr>
            <w:r w:rsidRPr="00524152">
              <w:rPr>
                <w:rFonts w:ascii="Verdana" w:hAnsi="Verdana"/>
                <w:sz w:val="15"/>
                <w:szCs w:val="15"/>
                <w:lang w:eastAsia="en-US"/>
              </w:rPr>
              <w:t>Stroje a zariadenia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D36D54" w:rsidRPr="00524152" w:rsidRDefault="00D36D54" w:rsidP="00D256E1">
            <w:pPr>
              <w:jc w:val="center"/>
              <w:rPr>
                <w:rFonts w:ascii="Verdana" w:hAnsi="Verdana"/>
                <w:b/>
                <w:snapToGrid w:val="0"/>
                <w:sz w:val="15"/>
                <w:szCs w:val="15"/>
              </w:rPr>
            </w:pPr>
            <w:r w:rsidRPr="00524152">
              <w:rPr>
                <w:rFonts w:ascii="Verdana" w:hAnsi="Verdana"/>
                <w:sz w:val="15"/>
                <w:szCs w:val="15"/>
                <w:lang w:eastAsia="en-US"/>
              </w:rPr>
              <w:t>6 rokov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D36D54" w:rsidRPr="00524152" w:rsidRDefault="00D36D54" w:rsidP="00D256E1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  <w:r w:rsidRPr="00524152">
              <w:rPr>
                <w:rFonts w:ascii="Verdana" w:hAnsi="Verdana"/>
                <w:sz w:val="15"/>
                <w:szCs w:val="15"/>
                <w:lang w:eastAsia="en-US"/>
              </w:rPr>
              <w:t>16,7 %</w:t>
            </w:r>
          </w:p>
        </w:tc>
      </w:tr>
      <w:tr w:rsidR="00D36D54" w:rsidRPr="00524152" w:rsidTr="00D256E1">
        <w:trPr>
          <w:trHeight w:val="279"/>
        </w:trPr>
        <w:tc>
          <w:tcPr>
            <w:tcW w:w="321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D36D54" w:rsidRPr="00524152" w:rsidRDefault="00D36D54" w:rsidP="00D256E1">
            <w:pPr>
              <w:jc w:val="both"/>
              <w:rPr>
                <w:rFonts w:ascii="Verdana" w:hAnsi="Verdana"/>
                <w:b/>
                <w:snapToGrid w:val="0"/>
                <w:sz w:val="15"/>
                <w:szCs w:val="15"/>
              </w:rPr>
            </w:pPr>
            <w:r w:rsidRPr="00524152">
              <w:rPr>
                <w:rFonts w:ascii="Verdana" w:hAnsi="Verdana"/>
                <w:sz w:val="15"/>
                <w:szCs w:val="15"/>
                <w:lang w:eastAsia="en-US"/>
              </w:rPr>
              <w:t>Dopravné prostriedky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D36D54" w:rsidRPr="00524152" w:rsidRDefault="00D36D54" w:rsidP="00D256E1">
            <w:pPr>
              <w:jc w:val="center"/>
              <w:rPr>
                <w:rFonts w:ascii="Verdana" w:hAnsi="Verdana"/>
                <w:b/>
                <w:snapToGrid w:val="0"/>
                <w:sz w:val="15"/>
                <w:szCs w:val="15"/>
              </w:rPr>
            </w:pPr>
            <w:r w:rsidRPr="00524152">
              <w:rPr>
                <w:rFonts w:ascii="Verdana" w:hAnsi="Verdana"/>
                <w:sz w:val="15"/>
                <w:szCs w:val="15"/>
                <w:lang w:eastAsia="en-US"/>
              </w:rPr>
              <w:t>4 roky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D36D54" w:rsidRPr="00524152" w:rsidRDefault="00D36D54" w:rsidP="00D256E1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  <w:r w:rsidRPr="00524152">
              <w:rPr>
                <w:rFonts w:ascii="Verdana" w:hAnsi="Verdana"/>
                <w:sz w:val="15"/>
                <w:szCs w:val="15"/>
                <w:lang w:eastAsia="en-US"/>
              </w:rPr>
              <w:t>25,0 %</w:t>
            </w:r>
          </w:p>
        </w:tc>
      </w:tr>
      <w:tr w:rsidR="00D36D54" w:rsidRPr="00524152" w:rsidTr="00D256E1">
        <w:trPr>
          <w:trHeight w:val="255"/>
        </w:trPr>
        <w:tc>
          <w:tcPr>
            <w:tcW w:w="321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D36D54" w:rsidRPr="00524152" w:rsidRDefault="00D36D54" w:rsidP="00D256E1">
            <w:pPr>
              <w:jc w:val="both"/>
              <w:rPr>
                <w:rFonts w:ascii="Verdana" w:hAnsi="Verdana"/>
                <w:b/>
                <w:snapToGrid w:val="0"/>
                <w:sz w:val="15"/>
                <w:szCs w:val="15"/>
              </w:rPr>
            </w:pPr>
            <w:r w:rsidRPr="00524152">
              <w:rPr>
                <w:rFonts w:ascii="Verdana" w:hAnsi="Verdana"/>
                <w:sz w:val="15"/>
                <w:szCs w:val="15"/>
                <w:lang w:eastAsia="en-US"/>
              </w:rPr>
              <w:t>Inventár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D36D54" w:rsidRPr="00524152" w:rsidRDefault="00D36D54" w:rsidP="00D256E1">
            <w:pPr>
              <w:jc w:val="center"/>
              <w:rPr>
                <w:rFonts w:ascii="Verdana" w:hAnsi="Verdana"/>
                <w:b/>
                <w:snapToGrid w:val="0"/>
                <w:sz w:val="15"/>
                <w:szCs w:val="15"/>
              </w:rPr>
            </w:pPr>
            <w:r w:rsidRPr="00524152">
              <w:rPr>
                <w:rFonts w:ascii="Verdana" w:hAnsi="Verdana"/>
                <w:sz w:val="15"/>
                <w:szCs w:val="15"/>
                <w:lang w:eastAsia="en-US"/>
              </w:rPr>
              <w:t>6 rokov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D36D54" w:rsidRPr="00524152" w:rsidRDefault="00D36D54" w:rsidP="00D256E1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  <w:r w:rsidRPr="00524152">
              <w:rPr>
                <w:rFonts w:ascii="Verdana" w:hAnsi="Verdana"/>
                <w:sz w:val="15"/>
                <w:szCs w:val="15"/>
                <w:lang w:eastAsia="en-US"/>
              </w:rPr>
              <w:t>16,7 %</w:t>
            </w:r>
          </w:p>
        </w:tc>
      </w:tr>
      <w:tr w:rsidR="00D36D54" w:rsidRPr="00524152" w:rsidTr="00D256E1">
        <w:trPr>
          <w:trHeight w:val="259"/>
        </w:trPr>
        <w:tc>
          <w:tcPr>
            <w:tcW w:w="321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36D54" w:rsidRPr="00524152" w:rsidRDefault="00D36D54" w:rsidP="00D256E1">
            <w:pPr>
              <w:jc w:val="both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524152">
              <w:rPr>
                <w:rFonts w:ascii="Verdana" w:hAnsi="Verdana"/>
                <w:sz w:val="15"/>
                <w:szCs w:val="15"/>
                <w:lang w:eastAsia="en-US"/>
              </w:rPr>
              <w:t>Softvér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D36D54" w:rsidRPr="00524152" w:rsidRDefault="00D36D54" w:rsidP="00D256E1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524152">
              <w:rPr>
                <w:rFonts w:ascii="Verdana" w:hAnsi="Verdana"/>
                <w:sz w:val="15"/>
                <w:szCs w:val="15"/>
                <w:lang w:eastAsia="en-US"/>
              </w:rPr>
              <w:t>4 roky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D36D54" w:rsidRPr="00524152" w:rsidRDefault="00D36D54" w:rsidP="00D256E1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524152">
              <w:rPr>
                <w:rFonts w:ascii="Verdana" w:hAnsi="Verdana"/>
                <w:sz w:val="15"/>
                <w:szCs w:val="15"/>
                <w:lang w:eastAsia="en-US"/>
              </w:rPr>
              <w:t>25,0 %</w:t>
            </w:r>
          </w:p>
        </w:tc>
      </w:tr>
    </w:tbl>
    <w:p w:rsidR="00D36D54" w:rsidRPr="00524152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524152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ind w:left="900"/>
        <w:jc w:val="both"/>
        <w:rPr>
          <w:rFonts w:ascii="Verdana" w:hAnsi="Verdana"/>
          <w:snapToGrid w:val="0"/>
          <w:sz w:val="17"/>
          <w:szCs w:val="20"/>
        </w:rPr>
      </w:pPr>
      <w:proofErr w:type="spellStart"/>
      <w:r w:rsidRPr="00524152">
        <w:rPr>
          <w:rFonts w:ascii="Verdana" w:hAnsi="Verdana"/>
          <w:snapToGrid w:val="0"/>
          <w:sz w:val="17"/>
          <w:szCs w:val="20"/>
        </w:rPr>
        <w:t>Spoloč</w:t>
      </w:r>
      <w:proofErr w:type="spellEnd"/>
      <w:r w:rsidRPr="00524152">
        <w:rPr>
          <w:rFonts w:ascii="Verdana" w:hAnsi="Verdana"/>
          <w:snapToGrid w:val="0"/>
          <w:sz w:val="17"/>
          <w:szCs w:val="20"/>
        </w:rPr>
        <w:t xml:space="preserve"> S</w:t>
      </w:r>
      <w:r w:rsidRPr="00D36D54">
        <w:rPr>
          <w:rFonts w:ascii="Verdana" w:hAnsi="Verdana"/>
          <w:snapToGrid w:val="0"/>
          <w:sz w:val="17"/>
          <w:szCs w:val="20"/>
        </w:rPr>
        <w:t xml:space="preserve">poločnosť uplatňuje v niektorých prípadoch </w:t>
      </w:r>
      <w:proofErr w:type="spellStart"/>
      <w:r w:rsidRPr="00D36D54">
        <w:rPr>
          <w:rFonts w:ascii="Verdana" w:hAnsi="Verdana"/>
          <w:snapToGrid w:val="0"/>
          <w:sz w:val="17"/>
          <w:szCs w:val="20"/>
        </w:rPr>
        <w:t>komponentný</w:t>
      </w:r>
      <w:proofErr w:type="spellEnd"/>
      <w:r w:rsidRPr="00D36D54">
        <w:rPr>
          <w:rFonts w:ascii="Verdana" w:hAnsi="Verdana"/>
          <w:snapToGrid w:val="0"/>
          <w:sz w:val="17"/>
          <w:szCs w:val="20"/>
        </w:rPr>
        <w:t xml:space="preserve"> spôsob odpisovania, t.j. pri tvorbe odpisového plánu sa zohľadnila rôzna doba použiteľnosti a rôzny priebeh opotrebenia jednotlivých oddeliteľných súčastí dlhodobého majetku. </w:t>
      </w:r>
    </w:p>
    <w:p w:rsidR="00D36D54" w:rsidRPr="00D36D54" w:rsidRDefault="00D36D54" w:rsidP="00D36D54">
      <w:pPr>
        <w:ind w:left="900"/>
        <w:jc w:val="both"/>
        <w:rPr>
          <w:rFonts w:ascii="Verdana" w:hAnsi="Verdana"/>
          <w:snapToGrid w:val="0"/>
          <w:color w:val="FF0000"/>
          <w:sz w:val="17"/>
          <w:szCs w:val="20"/>
        </w:rPr>
      </w:pPr>
    </w:p>
    <w:p w:rsidR="00D36D54" w:rsidRPr="00D36D54" w:rsidRDefault="00D36D54" w:rsidP="00D36D54">
      <w:pPr>
        <w:ind w:left="900"/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napToGrid w:val="0"/>
          <w:sz w:val="17"/>
          <w:szCs w:val="20"/>
          <w:lang w:eastAsia="en-US"/>
        </w:rPr>
        <w:t>Daňové odpisy sa uplatňujú podľa sadzieb uvedených v zákone o daniach z príjmov platných pre zrýchlené</w:t>
      </w:r>
      <w:r w:rsidRPr="00D36D54">
        <w:rPr>
          <w:rFonts w:ascii="Verdana" w:hAnsi="Verdana"/>
          <w:sz w:val="17"/>
          <w:szCs w:val="20"/>
          <w:lang w:eastAsia="en-US"/>
        </w:rPr>
        <w:t xml:space="preserve"> odpisovanie.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21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Podiely na základnom imaní v obchodných spoločnostiach sa ponechávajú v pôvodnom ocenení. Metóda vlastného imania sa použila iba pre potrebu výpočtu opravnej položky.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ind w:left="540"/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Pri cenných papieroch držaných do splatnosti sa ich ocenenie odo dňa vyrovnania nákupu do dňa splatnosti postupne zvyšuje o úrokové výnosy (amortizované náklady).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21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Cenné papiere určené na obchodovanie a realizovateľné cenné papiere sa oceňujú trhovou cenou.</w:t>
      </w:r>
    </w:p>
    <w:p w:rsidR="00D36D54" w:rsidRPr="00D36D54" w:rsidRDefault="00D36D54" w:rsidP="00D36D54">
      <w:pPr>
        <w:jc w:val="both"/>
        <w:rPr>
          <w:rFonts w:ascii="Verdana" w:hAnsi="Verdana"/>
          <w:sz w:val="20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21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Deriváty sa oceňujú trhovou cenou.</w:t>
      </w:r>
    </w:p>
    <w:p w:rsidR="00D36D54" w:rsidRPr="00D36D54" w:rsidRDefault="00D36D54" w:rsidP="00D36D54">
      <w:pPr>
        <w:jc w:val="both"/>
        <w:rPr>
          <w:rFonts w:ascii="Verdana" w:hAnsi="Verdana"/>
          <w:sz w:val="20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21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Majetok a záväzky zabezpečené derivátmi sa oceňujú trhovou cenou.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21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Emisné kvóty, s ktorými sa obchoduje na verejnom trhu a ktoré spoločnosť nadobudla za účelom ich ďalšieho predaja na verejnom trhu sa účtujú v ocenení reálnou hodnotou. Zmena reálnej hodnoty emisných kvót sa účtuje do výkazu ziskov a strát.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Prepočet údajov v cudzích menách na slovenskú menu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 xml:space="preserve">Majetok a záväzky vyjadrené v cudzej mene sa prepočítavajú na eurá referenčným výmenným kurzom určeným a vyhláseným Európskou centrálnou bankou (ECB) alebo Národnou bankou Slovenska (NBS) v deň predchádzajúci dňu uskutočnenia účtovného prípadu a v deň, ku ktorému sa zostavuje účtovná závierka. Prijaté a poskytnuté preddavky v cudzej mene sa ku dňu, ku ktorému sa zostavuje účtovná závierka neprepočítavajú. Pri kúpe a predaji cudzej meny za menu euro a pri  prevode peňažných prostriedkov z účtu zriadeného v cudzej mene na účet zriadený v eurách a z účtu zriadeného v eurách na účet zriadený v cudzej mene sa použil kurz, za ktorý boli tieto hodnoty nakúpené alebo predané. Ak sa predaj alebo kúpa cudzej meny uskutoční za iný kurz ako ponúka komerčná banka v kurzovom lístku, použije sa kurz, ktorý komerčná banka v deň </w:t>
      </w:r>
      <w:proofErr w:type="spellStart"/>
      <w:r w:rsidRPr="00D36D54">
        <w:rPr>
          <w:rFonts w:ascii="Verdana" w:hAnsi="Verdana"/>
          <w:sz w:val="17"/>
          <w:szCs w:val="20"/>
          <w:lang w:eastAsia="en-US"/>
        </w:rPr>
        <w:t>vysporiadania</w:t>
      </w:r>
      <w:proofErr w:type="spellEnd"/>
      <w:r w:rsidRPr="00D36D54">
        <w:rPr>
          <w:rFonts w:ascii="Verdana" w:hAnsi="Verdana"/>
          <w:sz w:val="17"/>
          <w:szCs w:val="20"/>
          <w:lang w:eastAsia="en-US"/>
        </w:rPr>
        <w:t xml:space="preserve"> obchodu ponúka v kurzovom lístku. Ak sa kúpa alebo predaj neuskutočňuje s komerčnou bankou, použije sa referenčný výmenný určený a vyhlásený ECB alebo NBS v deň predchádzajúci dňu </w:t>
      </w:r>
      <w:proofErr w:type="spellStart"/>
      <w:r w:rsidRPr="00D36D54">
        <w:rPr>
          <w:rFonts w:ascii="Verdana" w:hAnsi="Verdana"/>
          <w:sz w:val="17"/>
          <w:szCs w:val="20"/>
          <w:lang w:eastAsia="en-US"/>
        </w:rPr>
        <w:t>vysporiadania</w:t>
      </w:r>
      <w:proofErr w:type="spellEnd"/>
      <w:r w:rsidRPr="00D36D54">
        <w:rPr>
          <w:rFonts w:ascii="Verdana" w:hAnsi="Verdana"/>
          <w:sz w:val="17"/>
          <w:szCs w:val="20"/>
          <w:lang w:eastAsia="en-US"/>
        </w:rPr>
        <w:t xml:space="preserve"> obchodu.</w:t>
      </w:r>
    </w:p>
    <w:p w:rsidR="00D36D54" w:rsidRPr="00D36D54" w:rsidRDefault="00D36D54" w:rsidP="00D36D54">
      <w:pPr>
        <w:ind w:left="567"/>
        <w:jc w:val="both"/>
        <w:rPr>
          <w:rFonts w:ascii="Verdana" w:hAnsi="Verdana"/>
          <w:b/>
          <w:snapToGrid w:val="0"/>
          <w:sz w:val="17"/>
          <w:szCs w:val="20"/>
        </w:rPr>
      </w:pPr>
    </w:p>
    <w:p w:rsidR="00D36D54" w:rsidRPr="00D36D54" w:rsidRDefault="00D36D54" w:rsidP="00D36D54">
      <w:pPr>
        <w:ind w:left="567"/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 xml:space="preserve">Zmeny účtovných zásad a účtovných metód </w:t>
      </w:r>
    </w:p>
    <w:p w:rsidR="008721D3" w:rsidRDefault="008721D3" w:rsidP="008721D3">
      <w:pPr>
        <w:keepNext/>
        <w:jc w:val="both"/>
        <w:outlineLvl w:val="0"/>
        <w:rPr>
          <w:rFonts w:ascii="Verdana" w:hAnsi="Verdana"/>
          <w:sz w:val="17"/>
          <w:szCs w:val="20"/>
          <w:lang w:eastAsia="en-US"/>
        </w:rPr>
      </w:pPr>
    </w:p>
    <w:p w:rsidR="00D36D54" w:rsidRPr="008721D3" w:rsidRDefault="008721D3" w:rsidP="008721D3">
      <w:pPr>
        <w:pStyle w:val="Odsekzoznamu"/>
        <w:keepNext/>
        <w:numPr>
          <w:ilvl w:val="2"/>
          <w:numId w:val="20"/>
        </w:numPr>
        <w:jc w:val="both"/>
        <w:outlineLvl w:val="0"/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</w:pPr>
      <w:r w:rsidRPr="008721D3">
        <w:rPr>
          <w:rFonts w:ascii="Verdana" w:hAnsi="Verdana"/>
          <w:sz w:val="17"/>
          <w:szCs w:val="20"/>
          <w:lang w:eastAsia="en-US"/>
        </w:rPr>
        <w:t>neboli</w:t>
      </w:r>
      <w:r w:rsidR="00D36D54" w:rsidRPr="008721D3"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  <w:br w:type="page"/>
        <w:t>ÚDAJE VYKÁZANÉ NA STRANE AKTÍV SÚVAHY</w:t>
      </w:r>
    </w:p>
    <w:p w:rsidR="00D36D54" w:rsidRPr="00D36D54" w:rsidRDefault="00D36D54" w:rsidP="00D36D54">
      <w:pPr>
        <w:jc w:val="both"/>
        <w:rPr>
          <w:rFonts w:ascii="Verdana" w:hAnsi="Verdana"/>
          <w:b/>
          <w:snapToGrid w:val="0"/>
          <w:sz w:val="17"/>
          <w:szCs w:val="20"/>
          <w:u w:val="single"/>
        </w:rPr>
      </w:pPr>
    </w:p>
    <w:p w:rsidR="00D36D54" w:rsidRPr="00D36D54" w:rsidRDefault="00D36D54" w:rsidP="00520556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Dlhodobý nehmotný a hmotný majetok (r. 003 a 011 súvahy)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  <w:bookmarkStart w:id="10" w:name="_MON_1388991626"/>
      <w:bookmarkStart w:id="11" w:name="_MON_1388991714"/>
      <w:bookmarkStart w:id="12" w:name="_MON_1388992433"/>
      <w:bookmarkStart w:id="13" w:name="_MON_1389009009"/>
      <w:bookmarkStart w:id="14" w:name="_MON_1389009428"/>
      <w:bookmarkStart w:id="15" w:name="_MON_1389009812"/>
      <w:bookmarkStart w:id="16" w:name="_MON_1389009834"/>
      <w:bookmarkStart w:id="17" w:name="_MON_1389010165"/>
      <w:bookmarkStart w:id="18" w:name="_MON_1389010389"/>
      <w:bookmarkStart w:id="19" w:name="_MON_1389077451"/>
      <w:bookmarkStart w:id="20" w:name="_MON_1389767891"/>
      <w:bookmarkStart w:id="21" w:name="_MON_1388990504"/>
      <w:bookmarkStart w:id="22" w:name="_MON_1388990529"/>
      <w:bookmarkStart w:id="23" w:name="_MON_1388990594"/>
      <w:bookmarkStart w:id="24" w:name="_MON_1388990908"/>
      <w:bookmarkStart w:id="25" w:name="_MON_1388991089"/>
      <w:bookmarkStart w:id="26" w:name="_MON_1388991299"/>
      <w:bookmarkStart w:id="27" w:name="_MON_1389767938"/>
      <w:bookmarkStart w:id="28" w:name="_MON_1389010810"/>
      <w:bookmarkStart w:id="29" w:name="_MON_1389077618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AB534C" w:rsidRPr="00D36D54" w:rsidRDefault="00AB534C" w:rsidP="00AB534C">
      <w:pPr>
        <w:keepNext/>
        <w:numPr>
          <w:ilvl w:val="2"/>
          <w:numId w:val="0"/>
        </w:numPr>
        <w:tabs>
          <w:tab w:val="num" w:pos="539"/>
        </w:tabs>
        <w:ind w:left="539" w:hanging="539"/>
        <w:jc w:val="both"/>
        <w:outlineLvl w:val="2"/>
        <w:rPr>
          <w:rFonts w:ascii="Verdana" w:hAnsi="Verdana" w:cs="Arial"/>
          <w:bCs/>
          <w:sz w:val="17"/>
          <w:szCs w:val="26"/>
          <w:u w:val="single"/>
          <w:lang w:eastAsia="en-US"/>
        </w:rPr>
      </w:pPr>
      <w:r w:rsidRPr="00D36D54">
        <w:rPr>
          <w:rFonts w:ascii="Verdana" w:hAnsi="Verdana" w:cs="Arial"/>
          <w:bCs/>
          <w:sz w:val="17"/>
          <w:szCs w:val="26"/>
          <w:u w:val="single"/>
          <w:lang w:eastAsia="en-US"/>
        </w:rPr>
        <w:t xml:space="preserve">Pohyby na účtoch dlhodobého nehmotného majetku, oprávok, opravných položiek a zostatkovej hodnoty </w:t>
      </w:r>
    </w:p>
    <w:p w:rsidR="00AB534C" w:rsidRPr="00D36D54" w:rsidRDefault="00AB534C" w:rsidP="00AB534C">
      <w:pPr>
        <w:jc w:val="both"/>
        <w:rPr>
          <w:rFonts w:ascii="Verdana" w:hAnsi="Verdana"/>
          <w:snapToGrid w:val="0"/>
          <w:sz w:val="17"/>
          <w:szCs w:val="20"/>
        </w:rPr>
      </w:pPr>
    </w:p>
    <w:p w:rsidR="00AB534C" w:rsidRPr="00D36D54" w:rsidRDefault="00AB534C" w:rsidP="00AB534C">
      <w:pPr>
        <w:jc w:val="both"/>
        <w:rPr>
          <w:rFonts w:ascii="Verdana" w:hAnsi="Verdana"/>
          <w:snapToGrid w:val="0"/>
          <w:sz w:val="17"/>
          <w:szCs w:val="20"/>
        </w:rPr>
      </w:pPr>
    </w:p>
    <w:bookmarkStart w:id="30" w:name="_MON_1388991470"/>
    <w:bookmarkEnd w:id="30"/>
    <w:p w:rsidR="00AB534C" w:rsidRPr="00D36D54" w:rsidRDefault="00D47AB2" w:rsidP="00AB534C">
      <w:p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object w:dxaOrig="10274" w:dyaOrig="7291">
          <v:shape id="_x0000_i1026" type="#_x0000_t75" style="width:450.75pt;height:364.5pt" o:ole="">
            <v:imagedata r:id="rId11" o:title=""/>
            <w10:bordertop type="single" width="4"/>
            <w10:borderleft type="single" width="4"/>
          </v:shape>
          <o:OLEObject Type="Embed" ProgID="Excel.Sheet.8" ShapeID="_x0000_i1026" DrawAspect="Content" ObjectID="_1457860073" r:id="rId12"/>
        </w:objec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  <w:sectPr w:rsidR="00D36D54" w:rsidRPr="00D36D54" w:rsidSect="00D36D54">
          <w:headerReference w:type="default" r:id="rId13"/>
          <w:footerReference w:type="default" r:id="rId14"/>
          <w:pgSz w:w="11907" w:h="16840" w:code="9"/>
          <w:pgMar w:top="1418" w:right="1418" w:bottom="992" w:left="1418" w:header="851" w:footer="680" w:gutter="0"/>
          <w:pgNumType w:start="2"/>
          <w:cols w:space="708"/>
          <w:docGrid w:linePitch="360"/>
        </w:sectPr>
      </w:pPr>
    </w:p>
    <w:p w:rsidR="00D36D54" w:rsidRPr="00D36D54" w:rsidRDefault="00D36D54" w:rsidP="00D36D54">
      <w:pPr>
        <w:keepNext/>
        <w:numPr>
          <w:ilvl w:val="2"/>
          <w:numId w:val="0"/>
        </w:numPr>
        <w:tabs>
          <w:tab w:val="num" w:pos="539"/>
        </w:tabs>
        <w:ind w:left="539" w:hanging="539"/>
        <w:jc w:val="both"/>
        <w:outlineLvl w:val="2"/>
        <w:rPr>
          <w:rFonts w:ascii="Verdana" w:hAnsi="Verdana" w:cs="Arial"/>
          <w:bCs/>
          <w:sz w:val="17"/>
          <w:szCs w:val="26"/>
          <w:u w:val="single"/>
          <w:lang w:eastAsia="en-US"/>
        </w:rPr>
      </w:pPr>
      <w:r w:rsidRPr="00D36D54">
        <w:rPr>
          <w:rFonts w:ascii="Verdana" w:hAnsi="Verdana" w:cs="Arial"/>
          <w:bCs/>
          <w:sz w:val="17"/>
          <w:szCs w:val="26"/>
          <w:u w:val="single"/>
          <w:lang w:eastAsia="en-US"/>
        </w:rPr>
        <w:t>Pohyby na účtoch dlhodobého hmotného majetku, oprávok, opravných položiek a zostatkovej hodnoty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  <w:bookmarkStart w:id="31" w:name="_MON_1388992577"/>
      <w:bookmarkStart w:id="32" w:name="_MON_1388992763"/>
      <w:bookmarkStart w:id="33" w:name="_MON_1388993494"/>
      <w:bookmarkStart w:id="34" w:name="_MON_1388993518"/>
      <w:bookmarkStart w:id="35" w:name="_MON_1389011222"/>
      <w:bookmarkStart w:id="36" w:name="_MON_1389011443"/>
      <w:bookmarkStart w:id="37" w:name="_MON_1389077686"/>
      <w:bookmarkStart w:id="38" w:name="_MON_1389767637"/>
      <w:bookmarkStart w:id="39" w:name="_MON_1389767944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  <w:sectPr w:rsidR="00D36D54" w:rsidRPr="00D36D54" w:rsidSect="00D36D54">
          <w:pgSz w:w="16840" w:h="11907" w:orient="landscape" w:code="9"/>
          <w:pgMar w:top="1418" w:right="1418" w:bottom="992" w:left="1418" w:header="851" w:footer="680" w:gutter="0"/>
          <w:cols w:space="708"/>
          <w:docGrid w:linePitch="360"/>
        </w:sect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Default="00D36D54" w:rsidP="00A43E17">
      <w:pPr>
        <w:keepNext/>
        <w:numPr>
          <w:ilvl w:val="2"/>
          <w:numId w:val="0"/>
        </w:numPr>
        <w:tabs>
          <w:tab w:val="num" w:pos="539"/>
        </w:tabs>
        <w:ind w:left="539" w:hanging="539"/>
        <w:jc w:val="both"/>
        <w:outlineLvl w:val="2"/>
        <w:rPr>
          <w:rFonts w:ascii="Verdana" w:hAnsi="Verdana" w:cs="Arial"/>
          <w:bCs/>
          <w:sz w:val="17"/>
          <w:szCs w:val="26"/>
          <w:u w:val="single"/>
          <w:lang w:eastAsia="en-US"/>
        </w:rPr>
      </w:pPr>
      <w:r w:rsidRPr="00D36D54">
        <w:rPr>
          <w:rFonts w:ascii="Verdana" w:hAnsi="Verdana" w:cs="Arial"/>
          <w:bCs/>
          <w:sz w:val="17"/>
          <w:szCs w:val="26"/>
          <w:u w:val="single"/>
          <w:lang w:eastAsia="en-US"/>
        </w:rPr>
        <w:t>Spôsob a výška poistenia dlhodobého nehmotného a hmotného majetku</w:t>
      </w:r>
    </w:p>
    <w:p w:rsidR="00A43E17" w:rsidRDefault="00A43E17" w:rsidP="00A43E17">
      <w:pPr>
        <w:keepNext/>
        <w:numPr>
          <w:ilvl w:val="2"/>
          <w:numId w:val="0"/>
        </w:numPr>
        <w:tabs>
          <w:tab w:val="num" w:pos="539"/>
        </w:tabs>
        <w:ind w:left="539" w:hanging="539"/>
        <w:jc w:val="both"/>
        <w:outlineLvl w:val="2"/>
        <w:rPr>
          <w:rFonts w:ascii="Verdana" w:hAnsi="Verdana" w:cs="Arial"/>
          <w:bCs/>
          <w:sz w:val="17"/>
          <w:szCs w:val="26"/>
          <w:u w:val="single"/>
          <w:lang w:eastAsia="en-US"/>
        </w:rPr>
      </w:pPr>
    </w:p>
    <w:p w:rsidR="00A43E17" w:rsidRPr="00A43E17" w:rsidRDefault="00A43E17" w:rsidP="00A43E17">
      <w:pPr>
        <w:keepNext/>
        <w:numPr>
          <w:ilvl w:val="2"/>
          <w:numId w:val="0"/>
        </w:numPr>
        <w:tabs>
          <w:tab w:val="num" w:pos="539"/>
        </w:tabs>
        <w:ind w:left="539" w:hanging="539"/>
        <w:jc w:val="both"/>
        <w:outlineLvl w:val="2"/>
        <w:rPr>
          <w:rFonts w:ascii="Verdana" w:hAnsi="Verdana"/>
          <w:sz w:val="17"/>
          <w:szCs w:val="20"/>
          <w:lang w:eastAsia="en-US"/>
        </w:rPr>
      </w:pPr>
      <w:r w:rsidRPr="00A43E17">
        <w:rPr>
          <w:rFonts w:ascii="Verdana" w:hAnsi="Verdana" w:cs="Arial"/>
          <w:bCs/>
          <w:sz w:val="17"/>
          <w:szCs w:val="26"/>
          <w:lang w:eastAsia="en-US"/>
        </w:rPr>
        <w:t xml:space="preserve">Nie je 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keepNext/>
        <w:numPr>
          <w:ilvl w:val="2"/>
          <w:numId w:val="0"/>
        </w:numPr>
        <w:tabs>
          <w:tab w:val="num" w:pos="539"/>
        </w:tabs>
        <w:ind w:left="539" w:hanging="539"/>
        <w:jc w:val="both"/>
        <w:outlineLvl w:val="2"/>
        <w:rPr>
          <w:rFonts w:ascii="Verdana" w:hAnsi="Verdana" w:cs="Arial"/>
          <w:bCs/>
          <w:sz w:val="17"/>
          <w:szCs w:val="26"/>
          <w:u w:val="single"/>
          <w:lang w:eastAsia="en-US"/>
        </w:rPr>
      </w:pPr>
      <w:r w:rsidRPr="00D36D54">
        <w:rPr>
          <w:rFonts w:ascii="Verdana" w:hAnsi="Verdana" w:cs="Arial"/>
          <w:bCs/>
          <w:sz w:val="17"/>
          <w:szCs w:val="26"/>
          <w:u w:val="single"/>
          <w:lang w:eastAsia="en-US"/>
        </w:rPr>
        <w:t>Záložné právo a obmedzenie disponovania s dlhodobým nehmotným a hmotným majetkom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Default="00705E0D" w:rsidP="00D36D54">
      <w:pPr>
        <w:jc w:val="both"/>
        <w:rPr>
          <w:rFonts w:ascii="Verdana" w:hAnsi="Verdana"/>
          <w:sz w:val="17"/>
          <w:szCs w:val="20"/>
          <w:lang w:eastAsia="en-US"/>
        </w:rPr>
      </w:pPr>
      <w:r>
        <w:rPr>
          <w:rFonts w:ascii="Verdana" w:hAnsi="Verdana"/>
          <w:sz w:val="17"/>
          <w:szCs w:val="20"/>
          <w:lang w:eastAsia="en-US"/>
        </w:rPr>
        <w:t>Majetok firmy nie je nijako založený.</w:t>
      </w:r>
    </w:p>
    <w:p w:rsidR="008E6C3E" w:rsidRDefault="008E6C3E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8E6C3E" w:rsidRDefault="00B14F57" w:rsidP="00B14F57">
      <w:pPr>
        <w:tabs>
          <w:tab w:val="left" w:pos="3667"/>
        </w:tabs>
        <w:jc w:val="both"/>
        <w:rPr>
          <w:rFonts w:ascii="Verdana" w:hAnsi="Verdana"/>
          <w:sz w:val="17"/>
          <w:szCs w:val="20"/>
          <w:lang w:eastAsia="en-US"/>
        </w:rPr>
      </w:pPr>
      <w:r>
        <w:rPr>
          <w:rFonts w:ascii="Verdana" w:hAnsi="Verdana"/>
          <w:sz w:val="17"/>
          <w:szCs w:val="20"/>
          <w:lang w:eastAsia="en-US"/>
        </w:rPr>
        <w:tab/>
      </w:r>
    </w:p>
    <w:p w:rsidR="00D36D54" w:rsidRPr="00D36D54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Zásoby (r. 031 súvahy)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  <w:u w:val="single"/>
        </w:rPr>
      </w:pPr>
    </w:p>
    <w:p w:rsidR="00D36D54" w:rsidRPr="00D36D54" w:rsidRDefault="008E6C3E" w:rsidP="00D36D54">
      <w:pPr>
        <w:jc w:val="both"/>
        <w:rPr>
          <w:rFonts w:ascii="Verdana" w:hAnsi="Verdana"/>
          <w:snapToGrid w:val="0"/>
          <w:sz w:val="17"/>
          <w:szCs w:val="20"/>
          <w:u w:val="single"/>
        </w:rPr>
      </w:pPr>
      <w:r w:rsidRPr="008E6C3E">
        <w:rPr>
          <w:rFonts w:ascii="Verdana" w:hAnsi="Verdana"/>
          <w:snapToGrid w:val="0"/>
          <w:sz w:val="17"/>
          <w:szCs w:val="20"/>
        </w:rPr>
        <w:t>S</w:t>
      </w:r>
      <w:r>
        <w:rPr>
          <w:rFonts w:ascii="Verdana" w:hAnsi="Verdana"/>
          <w:snapToGrid w:val="0"/>
          <w:sz w:val="17"/>
          <w:szCs w:val="20"/>
        </w:rPr>
        <w:t xml:space="preserve">poločnosť </w:t>
      </w:r>
      <w:r w:rsidR="00705E0D">
        <w:rPr>
          <w:rFonts w:ascii="Verdana" w:hAnsi="Verdana"/>
          <w:snapToGrid w:val="0"/>
          <w:sz w:val="17"/>
          <w:szCs w:val="20"/>
        </w:rPr>
        <w:t>nemá zásoby</w:t>
      </w:r>
      <w:r>
        <w:rPr>
          <w:rFonts w:ascii="Verdana" w:hAnsi="Verdana"/>
          <w:snapToGrid w:val="0"/>
          <w:sz w:val="17"/>
          <w:szCs w:val="20"/>
        </w:rPr>
        <w:t>.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  <w:u w:val="single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Pohľadávky (r. 038 a 046 súvahy)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A43E17" w:rsidRDefault="00A43E17" w:rsidP="00D36D54">
      <w:pPr>
        <w:keepNext/>
        <w:numPr>
          <w:ilvl w:val="2"/>
          <w:numId w:val="0"/>
        </w:numPr>
        <w:tabs>
          <w:tab w:val="num" w:pos="539"/>
        </w:tabs>
        <w:ind w:left="539" w:hanging="539"/>
        <w:jc w:val="both"/>
        <w:outlineLvl w:val="2"/>
        <w:rPr>
          <w:rFonts w:ascii="Verdana" w:hAnsi="Verdana" w:cs="Arial"/>
          <w:bCs/>
          <w:sz w:val="17"/>
          <w:szCs w:val="26"/>
          <w:lang w:eastAsia="en-US"/>
        </w:rPr>
      </w:pPr>
      <w:r w:rsidRPr="00A43E17">
        <w:rPr>
          <w:rFonts w:ascii="Verdana" w:hAnsi="Verdana" w:cs="Arial"/>
          <w:bCs/>
          <w:sz w:val="17"/>
          <w:szCs w:val="26"/>
          <w:lang w:eastAsia="en-US"/>
        </w:rPr>
        <w:t>Spoločnosť neeviduje žiadne pohľadávky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  <w:bookmarkStart w:id="40" w:name="_MON_1389768268"/>
      <w:bookmarkStart w:id="41" w:name="_MON_1389000367"/>
      <w:bookmarkStart w:id="42" w:name="_MON_1389000388"/>
      <w:bookmarkEnd w:id="40"/>
      <w:bookmarkEnd w:id="41"/>
      <w:bookmarkEnd w:id="42"/>
    </w:p>
    <w:p w:rsidR="00D36D54" w:rsidRPr="00D36D54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Finančné účty (r. 055 súvahy)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keepNext/>
        <w:numPr>
          <w:ilvl w:val="2"/>
          <w:numId w:val="0"/>
        </w:numPr>
        <w:tabs>
          <w:tab w:val="num" w:pos="539"/>
        </w:tabs>
        <w:ind w:left="539" w:hanging="539"/>
        <w:jc w:val="both"/>
        <w:outlineLvl w:val="2"/>
        <w:rPr>
          <w:rFonts w:ascii="Verdana" w:hAnsi="Verdana" w:cs="Arial"/>
          <w:bCs/>
          <w:sz w:val="17"/>
          <w:szCs w:val="26"/>
          <w:u w:val="single"/>
          <w:lang w:eastAsia="en-US"/>
        </w:rPr>
      </w:pPr>
      <w:r w:rsidRPr="00D36D54">
        <w:rPr>
          <w:rFonts w:ascii="Verdana" w:hAnsi="Verdana" w:cs="Arial"/>
          <w:bCs/>
          <w:sz w:val="17"/>
          <w:szCs w:val="26"/>
          <w:u w:val="single"/>
          <w:lang w:eastAsia="en-US"/>
        </w:rPr>
        <w:t>Spoločnosť má finančný majetok v štruktúre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bookmarkStart w:id="43" w:name="_MON_1389768316"/>
    <w:bookmarkStart w:id="44" w:name="_MON_1389002136"/>
    <w:bookmarkStart w:id="45" w:name="_MON_1389002251"/>
    <w:bookmarkEnd w:id="43"/>
    <w:bookmarkEnd w:id="44"/>
    <w:bookmarkEnd w:id="45"/>
    <w:bookmarkStart w:id="46" w:name="_MON_1389002272"/>
    <w:bookmarkEnd w:id="46"/>
    <w:p w:rsidR="00D36D54" w:rsidRPr="00D36D54" w:rsidRDefault="00682205" w:rsidP="0016690A">
      <w:pPr>
        <w:jc w:val="both"/>
        <w:rPr>
          <w:rFonts w:ascii="Verdana" w:hAnsi="Verdana"/>
          <w:snapToGrid w:val="0"/>
          <w:sz w:val="18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object w:dxaOrig="9126" w:dyaOrig="2124">
          <v:shape id="_x0000_i1027" type="#_x0000_t75" style="width:451.5pt;height:106.5pt" o:ole="">
            <v:imagedata r:id="rId15" o:title=""/>
            <w10:bordertop type="single" width="4"/>
            <w10:borderleft type="single" width="4"/>
          </v:shape>
          <o:OLEObject Type="Embed" ProgID="Excel.Sheet.8" ShapeID="_x0000_i1027" DrawAspect="Content" ObjectID="_1457860074" r:id="rId16"/>
        </w:objec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8"/>
          <w:szCs w:val="20"/>
        </w:rPr>
      </w:pPr>
    </w:p>
    <w:p w:rsidR="00D36D54" w:rsidRPr="00D36D54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Časové rozlíšenie (r. 061 súvahy)</w:t>
      </w:r>
    </w:p>
    <w:p w:rsidR="00D36D54" w:rsidRDefault="00682205" w:rsidP="00D36D54">
      <w:pPr>
        <w:jc w:val="both"/>
        <w:rPr>
          <w:rFonts w:ascii="Verdana" w:hAnsi="Verdana"/>
          <w:snapToGrid w:val="0"/>
          <w:sz w:val="18"/>
          <w:szCs w:val="20"/>
        </w:rPr>
      </w:pPr>
      <w:r>
        <w:rPr>
          <w:rFonts w:ascii="Verdana" w:hAnsi="Verdana"/>
          <w:snapToGrid w:val="0"/>
          <w:sz w:val="18"/>
          <w:szCs w:val="20"/>
        </w:rPr>
        <w:t xml:space="preserve"> </w:t>
      </w:r>
    </w:p>
    <w:p w:rsidR="00682205" w:rsidRDefault="00682205" w:rsidP="00D36D54">
      <w:pPr>
        <w:jc w:val="both"/>
        <w:rPr>
          <w:rFonts w:ascii="Verdana" w:hAnsi="Verdana"/>
          <w:snapToGrid w:val="0"/>
          <w:sz w:val="18"/>
          <w:szCs w:val="20"/>
        </w:rPr>
      </w:pPr>
      <w:r>
        <w:rPr>
          <w:rFonts w:ascii="Verdana" w:hAnsi="Verdana"/>
          <w:snapToGrid w:val="0"/>
          <w:sz w:val="18"/>
          <w:szCs w:val="20"/>
        </w:rPr>
        <w:t>Spoločnosť nemá.</w:t>
      </w:r>
    </w:p>
    <w:p w:rsidR="00FE22AE" w:rsidRPr="00D36D54" w:rsidRDefault="00FE22AE" w:rsidP="00D36D54">
      <w:pPr>
        <w:jc w:val="both"/>
        <w:rPr>
          <w:rFonts w:ascii="Verdana" w:hAnsi="Verdana"/>
          <w:snapToGrid w:val="0"/>
          <w:sz w:val="18"/>
          <w:szCs w:val="20"/>
        </w:rPr>
      </w:pPr>
    </w:p>
    <w:p w:rsidR="00D36D54" w:rsidRPr="00D36D54" w:rsidRDefault="00D36D54" w:rsidP="00D36D54">
      <w:pPr>
        <w:keepNext/>
        <w:numPr>
          <w:ilvl w:val="0"/>
          <w:numId w:val="6"/>
        </w:numPr>
        <w:jc w:val="both"/>
        <w:outlineLvl w:val="0"/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</w:pPr>
      <w:r w:rsidRPr="00D36D54"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  <w:t>ÚDAJE VYKÁZANÉ NA STRANE PASÍV SÚVAHY</w:t>
      </w:r>
    </w:p>
    <w:p w:rsidR="00D36D54" w:rsidRPr="00D36D54" w:rsidRDefault="00D36D54" w:rsidP="00D36D54">
      <w:pPr>
        <w:jc w:val="both"/>
        <w:rPr>
          <w:rFonts w:ascii="Verdana" w:hAnsi="Verdana"/>
          <w:b/>
          <w:snapToGrid w:val="0"/>
          <w:sz w:val="17"/>
          <w:szCs w:val="20"/>
        </w:rPr>
      </w:pPr>
    </w:p>
    <w:p w:rsidR="00D36D54" w:rsidRPr="00D36D54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 xml:space="preserve">Vlastné imanie (r. 067 súvahy) 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keepNext/>
        <w:numPr>
          <w:ilvl w:val="2"/>
          <w:numId w:val="0"/>
        </w:numPr>
        <w:tabs>
          <w:tab w:val="num" w:pos="539"/>
        </w:tabs>
        <w:ind w:left="539" w:hanging="539"/>
        <w:jc w:val="both"/>
        <w:outlineLvl w:val="2"/>
        <w:rPr>
          <w:rFonts w:ascii="Verdana" w:hAnsi="Verdana" w:cs="Arial"/>
          <w:bCs/>
          <w:sz w:val="17"/>
          <w:szCs w:val="26"/>
          <w:u w:val="single"/>
          <w:lang w:eastAsia="en-US"/>
        </w:rPr>
      </w:pPr>
      <w:r w:rsidRPr="00D36D54">
        <w:rPr>
          <w:rFonts w:ascii="Verdana" w:hAnsi="Verdana" w:cs="Arial"/>
          <w:bCs/>
          <w:sz w:val="17"/>
          <w:szCs w:val="26"/>
          <w:u w:val="single"/>
          <w:lang w:eastAsia="en-US"/>
        </w:rPr>
        <w:t>Informácie o vlastnom imaní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Základné imanie bolo celé upísané a splatené.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  <w:lang w:eastAsia="en-US"/>
        </w:rPr>
      </w:pPr>
    </w:p>
    <w:p w:rsidR="00D36D54" w:rsidRPr="00D36D54" w:rsidRDefault="00D36D54" w:rsidP="00D36D54">
      <w:pPr>
        <w:keepNext/>
        <w:numPr>
          <w:ilvl w:val="2"/>
          <w:numId w:val="0"/>
        </w:numPr>
        <w:tabs>
          <w:tab w:val="num" w:pos="539"/>
        </w:tabs>
        <w:ind w:left="539" w:hanging="539"/>
        <w:jc w:val="both"/>
        <w:outlineLvl w:val="2"/>
        <w:rPr>
          <w:rFonts w:ascii="Verdana" w:hAnsi="Verdana" w:cs="Arial"/>
          <w:bCs/>
          <w:sz w:val="17"/>
          <w:szCs w:val="26"/>
          <w:u w:val="single"/>
          <w:lang w:eastAsia="en-US"/>
        </w:rPr>
      </w:pPr>
      <w:r w:rsidRPr="000C3C1A">
        <w:rPr>
          <w:rFonts w:ascii="Verdana" w:hAnsi="Verdana" w:cs="Arial"/>
          <w:bCs/>
          <w:sz w:val="17"/>
          <w:szCs w:val="26"/>
          <w:u w:val="single"/>
          <w:lang w:eastAsia="en-US"/>
        </w:rPr>
        <w:t>Rozdelenie účtovného zisku alebo vyrovnanie straty za rok 201</w:t>
      </w:r>
      <w:r w:rsidR="0016690A" w:rsidRPr="000C3C1A">
        <w:rPr>
          <w:rFonts w:ascii="Verdana" w:hAnsi="Verdana" w:cs="Arial"/>
          <w:bCs/>
          <w:sz w:val="17"/>
          <w:szCs w:val="26"/>
          <w:u w:val="single"/>
          <w:lang w:eastAsia="en-US"/>
        </w:rPr>
        <w:t>2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bookmarkStart w:id="47" w:name="_MON_1389768393"/>
    <w:bookmarkStart w:id="48" w:name="_MON_1389004638"/>
    <w:bookmarkEnd w:id="47"/>
    <w:bookmarkEnd w:id="48"/>
    <w:bookmarkStart w:id="49" w:name="_MON_1389004781"/>
    <w:bookmarkEnd w:id="49"/>
    <w:p w:rsidR="00D36D54" w:rsidRPr="00D36D54" w:rsidRDefault="00641BC7" w:rsidP="00D36D54">
      <w:p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object w:dxaOrig="9269" w:dyaOrig="3550">
          <v:shape id="_x0000_i1028" type="#_x0000_t75" style="width:451.5pt;height:177.75pt" o:ole="">
            <v:imagedata r:id="rId17" o:title=""/>
            <w10:bordertop type="single" width="4"/>
            <w10:borderleft type="single" width="4"/>
          </v:shape>
          <o:OLEObject Type="Embed" ProgID="Excel.Sheet.8" ShapeID="_x0000_i1028" DrawAspect="Content" ObjectID="_1457860075" r:id="rId18"/>
        </w:objec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bookmarkStart w:id="50" w:name="_MON_1389768405"/>
    <w:bookmarkStart w:id="51" w:name="_MON_1389004838"/>
    <w:bookmarkStart w:id="52" w:name="_MON_1389004849"/>
    <w:bookmarkEnd w:id="50"/>
    <w:bookmarkEnd w:id="51"/>
    <w:bookmarkEnd w:id="52"/>
    <w:bookmarkStart w:id="53" w:name="_MON_1389005038"/>
    <w:bookmarkEnd w:id="53"/>
    <w:p w:rsidR="00D36D54" w:rsidRPr="00D36D54" w:rsidRDefault="00641BC7" w:rsidP="00D36D54">
      <w:p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object w:dxaOrig="9739" w:dyaOrig="3041">
          <v:shape id="_x0000_i1029" type="#_x0000_t75" style="width:450.75pt;height:152.25pt" o:ole="">
            <v:imagedata r:id="rId19" o:title=""/>
            <w10:bordertop type="single" width="4"/>
            <w10:borderleft type="single" width="4"/>
          </v:shape>
          <o:OLEObject Type="Embed" ProgID="Excel.Sheet.8" ShapeID="_x0000_i1029" DrawAspect="Content" ObjectID="_1457860076" r:id="rId20"/>
        </w:object>
      </w:r>
    </w:p>
    <w:p w:rsidR="0016690A" w:rsidRDefault="0016690A">
      <w:pPr>
        <w:rPr>
          <w:rFonts w:ascii="Verdana" w:hAnsi="Verdana" w:cs="Arial"/>
          <w:b/>
          <w:bCs/>
          <w:iCs/>
          <w:sz w:val="17"/>
          <w:szCs w:val="28"/>
          <w:lang w:eastAsia="en-US"/>
        </w:rPr>
        <w:sectPr w:rsidR="0016690A" w:rsidSect="00D30075">
          <w:footerReference w:type="default" r:id="rId21"/>
          <w:headerReference w:type="first" r:id="rId22"/>
          <w:pgSz w:w="11907" w:h="16840" w:code="9"/>
          <w:pgMar w:top="1418" w:right="1418" w:bottom="1418" w:left="1418" w:header="567" w:footer="567" w:gutter="0"/>
          <w:cols w:space="708"/>
          <w:docGrid w:linePitch="326"/>
        </w:sectPr>
      </w:pPr>
    </w:p>
    <w:p w:rsidR="00D36D54" w:rsidRPr="00D36D54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Rezervy (r. 089 súvahy)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BD4645" w:rsidRDefault="00BD4645" w:rsidP="00BD4645">
      <w:pPr>
        <w:pStyle w:val="Odsekzoznamu"/>
        <w:keepNext/>
        <w:numPr>
          <w:ilvl w:val="2"/>
          <w:numId w:val="20"/>
        </w:numPr>
        <w:jc w:val="both"/>
        <w:outlineLvl w:val="1"/>
        <w:rPr>
          <w:rFonts w:ascii="Verdana" w:hAnsi="Verdana"/>
          <w:snapToGrid w:val="0"/>
          <w:sz w:val="17"/>
          <w:szCs w:val="20"/>
        </w:rPr>
      </w:pPr>
      <w:bookmarkStart w:id="54" w:name="_MON_1389005097"/>
      <w:bookmarkEnd w:id="54"/>
      <w:r w:rsidRPr="00BD4645">
        <w:rPr>
          <w:rFonts w:ascii="Verdana" w:hAnsi="Verdana"/>
          <w:snapToGrid w:val="0"/>
          <w:sz w:val="17"/>
          <w:szCs w:val="20"/>
        </w:rPr>
        <w:t>Neboli</w:t>
      </w:r>
      <w:bookmarkStart w:id="55" w:name="_MON_1389768493"/>
      <w:bookmarkStart w:id="56" w:name="_MON_1389768499"/>
      <w:bookmarkStart w:id="57" w:name="_MON_1389016115"/>
      <w:bookmarkEnd w:id="55"/>
      <w:bookmarkEnd w:id="56"/>
      <w:bookmarkEnd w:id="57"/>
    </w:p>
    <w:p w:rsidR="00BD4645" w:rsidRDefault="00BD4645" w:rsidP="00D36D54">
      <w:pPr>
        <w:pStyle w:val="Odsekzoznamu"/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/>
          <w:snapToGrid w:val="0"/>
          <w:sz w:val="17"/>
          <w:szCs w:val="20"/>
        </w:rPr>
      </w:pPr>
    </w:p>
    <w:p w:rsidR="00D36D54" w:rsidRPr="00BD4645" w:rsidRDefault="00D36D54" w:rsidP="00D36D54">
      <w:pPr>
        <w:pStyle w:val="Odsekzoznamu"/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 w:rsidRPr="00BD4645">
        <w:rPr>
          <w:rFonts w:ascii="Verdana" w:hAnsi="Verdana" w:cs="Arial"/>
          <w:b/>
          <w:bCs/>
          <w:iCs/>
          <w:sz w:val="17"/>
          <w:szCs w:val="28"/>
          <w:lang w:eastAsia="en-US"/>
        </w:rPr>
        <w:t>Záväzky (r. 094 a 106 súvahy)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641BC7" w:rsidRDefault="00641BC7" w:rsidP="00D36D54">
      <w:pPr>
        <w:jc w:val="both"/>
        <w:rPr>
          <w:rFonts w:ascii="Verdana" w:hAnsi="Verdana"/>
          <w:snapToGrid w:val="0"/>
          <w:sz w:val="17"/>
          <w:szCs w:val="20"/>
        </w:rPr>
      </w:pPr>
      <w:r w:rsidRPr="00641BC7">
        <w:rPr>
          <w:rFonts w:ascii="Verdana" w:hAnsi="Verdana" w:cs="Arial"/>
          <w:bCs/>
          <w:sz w:val="17"/>
          <w:szCs w:val="26"/>
          <w:lang w:eastAsia="en-US"/>
        </w:rPr>
        <w:t>Spoločnosť neeviduje žiadne záväzky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  <w:u w:val="single"/>
        </w:rPr>
      </w:pPr>
      <w:bookmarkStart w:id="58" w:name="_MON_1389006123"/>
      <w:bookmarkStart w:id="59" w:name="_MON_1389016163"/>
      <w:bookmarkStart w:id="60" w:name="_MON_1389174470"/>
      <w:bookmarkStart w:id="61" w:name="_MON_1389768457"/>
      <w:bookmarkStart w:id="62" w:name="_MON_1389768487"/>
      <w:bookmarkStart w:id="63" w:name="_MON_1389005635"/>
      <w:bookmarkStart w:id="64" w:name="_MON_1389005908"/>
      <w:bookmarkEnd w:id="58"/>
      <w:bookmarkEnd w:id="59"/>
      <w:bookmarkEnd w:id="60"/>
      <w:bookmarkEnd w:id="61"/>
      <w:bookmarkEnd w:id="62"/>
      <w:bookmarkEnd w:id="63"/>
      <w:bookmarkEnd w:id="64"/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  <w:u w:val="single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 xml:space="preserve">Bežná lehota splatnosti záväzkov je </w:t>
      </w:r>
      <w:r w:rsidR="0017369E">
        <w:rPr>
          <w:rFonts w:ascii="Verdana" w:hAnsi="Verdana"/>
          <w:snapToGrid w:val="0"/>
          <w:sz w:val="17"/>
          <w:szCs w:val="20"/>
        </w:rPr>
        <w:t>14</w:t>
      </w:r>
      <w:r w:rsidRPr="00D36D54">
        <w:rPr>
          <w:rFonts w:ascii="Verdana" w:hAnsi="Verdana"/>
          <w:snapToGrid w:val="0"/>
          <w:sz w:val="17"/>
          <w:szCs w:val="20"/>
        </w:rPr>
        <w:t xml:space="preserve"> dní. 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  <w:u w:val="single"/>
        </w:rPr>
        <w:br w:type="page"/>
      </w:r>
      <w:bookmarkStart w:id="65" w:name="_MON_1389768474"/>
      <w:bookmarkStart w:id="66" w:name="_MON_1389006230"/>
      <w:bookmarkStart w:id="67" w:name="_MON_1389006285"/>
      <w:bookmarkStart w:id="68" w:name="_MON_1389006413"/>
      <w:bookmarkStart w:id="69" w:name="_MON_1389016276"/>
      <w:bookmarkEnd w:id="65"/>
      <w:bookmarkEnd w:id="66"/>
      <w:bookmarkEnd w:id="67"/>
      <w:bookmarkEnd w:id="68"/>
      <w:bookmarkEnd w:id="69"/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  <w:u w:val="single"/>
          <w:lang w:eastAsia="en-US"/>
        </w:rPr>
      </w:pPr>
    </w:p>
    <w:p w:rsidR="00D36D54" w:rsidRPr="00D36D54" w:rsidRDefault="00D36D54" w:rsidP="00D36D54">
      <w:pPr>
        <w:keepNext/>
        <w:numPr>
          <w:ilvl w:val="2"/>
          <w:numId w:val="0"/>
        </w:numPr>
        <w:tabs>
          <w:tab w:val="num" w:pos="539"/>
        </w:tabs>
        <w:ind w:left="539" w:hanging="539"/>
        <w:jc w:val="both"/>
        <w:outlineLvl w:val="2"/>
        <w:rPr>
          <w:rFonts w:ascii="Verdana" w:hAnsi="Verdana" w:cs="Arial"/>
          <w:bCs/>
          <w:sz w:val="17"/>
          <w:szCs w:val="26"/>
          <w:u w:val="single"/>
          <w:lang w:eastAsia="en-US"/>
        </w:rPr>
      </w:pPr>
      <w:r w:rsidRPr="00D36D54">
        <w:rPr>
          <w:rFonts w:ascii="Verdana" w:hAnsi="Verdana" w:cs="Arial"/>
          <w:bCs/>
          <w:sz w:val="17"/>
          <w:szCs w:val="26"/>
          <w:u w:val="single"/>
          <w:lang w:eastAsia="en-US"/>
        </w:rPr>
        <w:t>Záväzky zo sociálneho fondu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2C2EC6" w:rsidP="00D36D54">
      <w:pPr>
        <w:jc w:val="both"/>
        <w:rPr>
          <w:rFonts w:ascii="Verdana" w:hAnsi="Verdana"/>
          <w:sz w:val="17"/>
          <w:szCs w:val="20"/>
          <w:lang w:eastAsia="en-US"/>
        </w:rPr>
      </w:pPr>
      <w:bookmarkStart w:id="70" w:name="_MON_1389006904"/>
      <w:bookmarkStart w:id="71" w:name="_MON_1389016405"/>
      <w:bookmarkStart w:id="72" w:name="_MON_1389016462"/>
      <w:bookmarkStart w:id="73" w:name="_MON_1389016498"/>
      <w:bookmarkStart w:id="74" w:name="_MON_1389768509"/>
      <w:bookmarkStart w:id="75" w:name="_MON_1389006672"/>
      <w:bookmarkStart w:id="76" w:name="_MON_1389006838"/>
      <w:bookmarkEnd w:id="70"/>
      <w:bookmarkEnd w:id="71"/>
      <w:bookmarkEnd w:id="72"/>
      <w:bookmarkEnd w:id="73"/>
      <w:bookmarkEnd w:id="74"/>
      <w:bookmarkEnd w:id="75"/>
      <w:bookmarkEnd w:id="76"/>
      <w:r>
        <w:rPr>
          <w:rFonts w:ascii="Verdana" w:hAnsi="Verdana"/>
          <w:sz w:val="17"/>
          <w:szCs w:val="20"/>
          <w:lang w:eastAsia="en-US"/>
        </w:rPr>
        <w:t>Spoločnosť nemá.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keepNext/>
        <w:jc w:val="both"/>
        <w:outlineLvl w:val="2"/>
        <w:rPr>
          <w:rFonts w:ascii="Verdana" w:hAnsi="Verdana" w:cs="Arial"/>
          <w:bCs/>
          <w:sz w:val="17"/>
          <w:szCs w:val="26"/>
          <w:u w:val="single"/>
          <w:lang w:eastAsia="en-US"/>
        </w:rPr>
      </w:pPr>
    </w:p>
    <w:p w:rsidR="002C2EC6" w:rsidRDefault="00D36D54" w:rsidP="002C2EC6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Časové rozlíšenie (r. 121 súvahy)</w:t>
      </w:r>
    </w:p>
    <w:p w:rsidR="002C2EC6" w:rsidRDefault="002C2EC6" w:rsidP="002C2EC6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</w:p>
    <w:p w:rsidR="002C2EC6" w:rsidRDefault="002C2EC6" w:rsidP="002C2EC6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Cs/>
          <w:iCs/>
          <w:sz w:val="17"/>
          <w:szCs w:val="28"/>
          <w:lang w:eastAsia="en-US"/>
        </w:rPr>
      </w:pPr>
      <w:r w:rsidRPr="002C2EC6">
        <w:rPr>
          <w:rFonts w:ascii="Verdana" w:hAnsi="Verdana" w:cs="Arial"/>
          <w:bCs/>
          <w:iCs/>
          <w:sz w:val="17"/>
          <w:szCs w:val="28"/>
          <w:lang w:eastAsia="en-US"/>
        </w:rPr>
        <w:t>Spoločnosť nemá.</w:t>
      </w:r>
    </w:p>
    <w:p w:rsidR="002C2EC6" w:rsidRDefault="002C2EC6" w:rsidP="002C2EC6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Cs/>
          <w:iCs/>
          <w:sz w:val="17"/>
          <w:szCs w:val="28"/>
          <w:lang w:eastAsia="en-US"/>
        </w:rPr>
      </w:pPr>
    </w:p>
    <w:p w:rsidR="00D36D54" w:rsidRPr="002C2EC6" w:rsidRDefault="002C2EC6" w:rsidP="002C2EC6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/>
          <w:snapToGrid w:val="0"/>
          <w:sz w:val="17"/>
          <w:szCs w:val="20"/>
        </w:rPr>
      </w:pPr>
      <w:r w:rsidRPr="002C2EC6">
        <w:rPr>
          <w:rFonts w:ascii="Verdana" w:hAnsi="Verdana"/>
          <w:snapToGrid w:val="0"/>
          <w:sz w:val="17"/>
          <w:szCs w:val="20"/>
        </w:rPr>
        <w:t xml:space="preserve"> </w:t>
      </w:r>
    </w:p>
    <w:p w:rsidR="00D36D54" w:rsidRPr="00D36D54" w:rsidRDefault="00D36D54" w:rsidP="009008CC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</w:pPr>
      <w:r w:rsidRPr="00724BB3"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  <w:t>Výnosy</w:t>
      </w:r>
    </w:p>
    <w:p w:rsidR="00D36D54" w:rsidRPr="00D36D54" w:rsidRDefault="00D36D54" w:rsidP="00D36D54">
      <w:pPr>
        <w:jc w:val="both"/>
        <w:rPr>
          <w:rFonts w:ascii="Verdana" w:hAnsi="Verdana"/>
          <w:sz w:val="14"/>
          <w:szCs w:val="20"/>
          <w:lang w:eastAsia="en-US"/>
        </w:rPr>
      </w:pPr>
    </w:p>
    <w:p w:rsidR="00D36D54" w:rsidRPr="00D36D54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Výnosy z hospodárskej činnosti</w:t>
      </w:r>
    </w:p>
    <w:p w:rsidR="00D36D54" w:rsidRPr="00D36D54" w:rsidRDefault="00D36D54" w:rsidP="00D36D54">
      <w:pPr>
        <w:jc w:val="both"/>
        <w:rPr>
          <w:rFonts w:ascii="Verdana" w:hAnsi="Verdana"/>
          <w:b/>
          <w:snapToGrid w:val="0"/>
          <w:sz w:val="14"/>
          <w:szCs w:val="20"/>
        </w:rPr>
      </w:pPr>
    </w:p>
    <w:p w:rsidR="00D36D54" w:rsidRPr="00D36D54" w:rsidRDefault="00D36D54" w:rsidP="00D36D54">
      <w:pPr>
        <w:keepNext/>
        <w:numPr>
          <w:ilvl w:val="2"/>
          <w:numId w:val="0"/>
        </w:numPr>
        <w:tabs>
          <w:tab w:val="num" w:pos="539"/>
        </w:tabs>
        <w:ind w:left="539" w:hanging="539"/>
        <w:jc w:val="both"/>
        <w:outlineLvl w:val="2"/>
        <w:rPr>
          <w:rFonts w:ascii="Verdana" w:hAnsi="Verdana" w:cs="Arial"/>
          <w:bCs/>
          <w:sz w:val="17"/>
          <w:szCs w:val="26"/>
          <w:u w:val="single"/>
          <w:lang w:eastAsia="en-US"/>
        </w:rPr>
      </w:pPr>
      <w:r w:rsidRPr="00D36D54">
        <w:rPr>
          <w:rFonts w:ascii="Verdana" w:hAnsi="Verdana" w:cs="Arial"/>
          <w:bCs/>
          <w:sz w:val="17"/>
          <w:szCs w:val="26"/>
          <w:u w:val="single"/>
          <w:lang w:eastAsia="en-US"/>
        </w:rPr>
        <w:t>Tržby z predaja tovaru, vlastných výrobkov a služieb (r. 01 a 05 výkazu ziskov a strát)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17"/>
        </w:rPr>
      </w:pPr>
    </w:p>
    <w:bookmarkStart w:id="77" w:name="_MON_1389008160"/>
    <w:bookmarkStart w:id="78" w:name="_MON_1389008176"/>
    <w:bookmarkStart w:id="79" w:name="_MON_1389768574"/>
    <w:bookmarkStart w:id="80" w:name="_MON_1389768599"/>
    <w:bookmarkEnd w:id="77"/>
    <w:bookmarkEnd w:id="78"/>
    <w:bookmarkEnd w:id="79"/>
    <w:bookmarkEnd w:id="80"/>
    <w:bookmarkStart w:id="81" w:name="_MON_1389007952"/>
    <w:bookmarkEnd w:id="81"/>
    <w:p w:rsidR="00D36D54" w:rsidRPr="00D36D54" w:rsidRDefault="002C2EC6" w:rsidP="00D36D54">
      <w:pPr>
        <w:jc w:val="both"/>
        <w:rPr>
          <w:rFonts w:ascii="Verdana" w:hAnsi="Verdana"/>
          <w:snapToGrid w:val="0"/>
          <w:sz w:val="17"/>
          <w:szCs w:val="17"/>
        </w:rPr>
      </w:pPr>
      <w:r w:rsidRPr="00D36D54">
        <w:rPr>
          <w:rFonts w:ascii="Verdana" w:hAnsi="Verdana"/>
          <w:snapToGrid w:val="0"/>
          <w:sz w:val="17"/>
          <w:szCs w:val="17"/>
        </w:rPr>
        <w:object w:dxaOrig="9520" w:dyaOrig="3027">
          <v:shape id="_x0000_i1030" type="#_x0000_t75" style="width:451.5pt;height:151.5pt" o:ole="">
            <v:imagedata r:id="rId23" o:title=""/>
            <w10:bordertop type="single" width="4"/>
            <w10:borderleft type="single" width="4"/>
          </v:shape>
          <o:OLEObject Type="Embed" ProgID="Excel.Sheet.8" ShapeID="_x0000_i1030" DrawAspect="Content" ObjectID="_1457860077" r:id="rId24"/>
        </w:objec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17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17"/>
        </w:rPr>
      </w:pPr>
    </w:p>
    <w:p w:rsidR="00D36D54" w:rsidRDefault="00D36D54" w:rsidP="002C2EC6">
      <w:pPr>
        <w:keepNext/>
        <w:numPr>
          <w:ilvl w:val="1"/>
          <w:numId w:val="0"/>
        </w:numPr>
        <w:tabs>
          <w:tab w:val="num" w:pos="539"/>
        </w:tabs>
        <w:ind w:left="539" w:hanging="539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 w:rsidRPr="00990770">
        <w:rPr>
          <w:rFonts w:ascii="Verdana" w:hAnsi="Verdana" w:cs="Arial"/>
          <w:b/>
          <w:bCs/>
          <w:iCs/>
          <w:sz w:val="17"/>
          <w:szCs w:val="28"/>
          <w:lang w:eastAsia="en-US"/>
        </w:rPr>
        <w:t>Výnosy pri aktivácií nákladov, ostatné výnosy z hospodárskej činnosti, výnosy z finančnej a mimoriadnej činnosti</w:t>
      </w:r>
    </w:p>
    <w:p w:rsidR="002C2EC6" w:rsidRDefault="002C2EC6" w:rsidP="002C2EC6">
      <w:pPr>
        <w:keepNext/>
        <w:numPr>
          <w:ilvl w:val="1"/>
          <w:numId w:val="0"/>
        </w:numPr>
        <w:tabs>
          <w:tab w:val="num" w:pos="539"/>
        </w:tabs>
        <w:ind w:left="539" w:hanging="539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</w:p>
    <w:p w:rsidR="002C2EC6" w:rsidRPr="002C2EC6" w:rsidRDefault="002C2EC6" w:rsidP="002C2EC6">
      <w:pPr>
        <w:keepNext/>
        <w:numPr>
          <w:ilvl w:val="1"/>
          <w:numId w:val="0"/>
        </w:numPr>
        <w:tabs>
          <w:tab w:val="num" w:pos="539"/>
        </w:tabs>
        <w:ind w:left="539" w:hanging="539"/>
        <w:outlineLvl w:val="1"/>
        <w:rPr>
          <w:rFonts w:ascii="Verdana" w:hAnsi="Verdana"/>
          <w:snapToGrid w:val="0"/>
          <w:sz w:val="17"/>
          <w:szCs w:val="20"/>
        </w:rPr>
      </w:pPr>
      <w:r w:rsidRPr="002C2EC6">
        <w:rPr>
          <w:rFonts w:ascii="Verdana" w:hAnsi="Verdana" w:cs="Arial"/>
          <w:bCs/>
          <w:iCs/>
          <w:sz w:val="17"/>
          <w:szCs w:val="28"/>
          <w:lang w:eastAsia="en-US"/>
        </w:rPr>
        <w:t>Spoločnosť nemá.</w:t>
      </w:r>
    </w:p>
    <w:p w:rsidR="00D36D54" w:rsidRPr="002C2EC6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2C2EC6" w:rsidRDefault="002C2EC6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napToGrid w:val="0"/>
          <w:sz w:val="17"/>
          <w:szCs w:val="28"/>
        </w:rPr>
      </w:pPr>
    </w:p>
    <w:p w:rsidR="00D36D54" w:rsidRPr="00D36D54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napToGrid w:val="0"/>
          <w:sz w:val="17"/>
          <w:szCs w:val="28"/>
        </w:rPr>
      </w:pPr>
      <w:r w:rsidRPr="00D36D54">
        <w:rPr>
          <w:rFonts w:ascii="Verdana" w:hAnsi="Verdana" w:cs="Arial"/>
          <w:b/>
          <w:bCs/>
          <w:iCs/>
          <w:snapToGrid w:val="0"/>
          <w:sz w:val="17"/>
          <w:szCs w:val="28"/>
        </w:rPr>
        <w:t>Čistý obrat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</w:rPr>
      </w:pPr>
    </w:p>
    <w:bookmarkStart w:id="82" w:name="_MON_1389768644"/>
    <w:bookmarkStart w:id="83" w:name="_MON_1389008348"/>
    <w:bookmarkStart w:id="84" w:name="_MON_1389768630"/>
    <w:bookmarkEnd w:id="82"/>
    <w:bookmarkEnd w:id="83"/>
    <w:bookmarkEnd w:id="84"/>
    <w:bookmarkStart w:id="85" w:name="_MON_1389768639"/>
    <w:bookmarkEnd w:id="85"/>
    <w:p w:rsidR="00D36D54" w:rsidRPr="00D36D54" w:rsidRDefault="002C2EC6" w:rsidP="00D36D54">
      <w:pPr>
        <w:jc w:val="both"/>
        <w:rPr>
          <w:rFonts w:ascii="Verdana" w:hAnsi="Verdana"/>
          <w:sz w:val="17"/>
          <w:szCs w:val="20"/>
        </w:rPr>
      </w:pPr>
      <w:r w:rsidRPr="00D36D54">
        <w:rPr>
          <w:rFonts w:ascii="Verdana" w:hAnsi="Verdana"/>
          <w:sz w:val="17"/>
          <w:szCs w:val="20"/>
        </w:rPr>
        <w:object w:dxaOrig="9146" w:dyaOrig="2794">
          <v:shape id="_x0000_i1031" type="#_x0000_t75" style="width:451.5pt;height:139.5pt" o:ole="">
            <v:imagedata r:id="rId25" o:title=""/>
            <w10:bordertop type="single" width="4"/>
            <w10:borderleft type="single" width="4"/>
          </v:shape>
          <o:OLEObject Type="Embed" ProgID="Excel.Sheet.8" ShapeID="_x0000_i1031" DrawAspect="Content" ObjectID="_1457860078" r:id="rId26"/>
        </w:objec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keepNext/>
        <w:numPr>
          <w:ilvl w:val="0"/>
          <w:numId w:val="6"/>
        </w:numPr>
        <w:jc w:val="both"/>
        <w:outlineLvl w:val="0"/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</w:pPr>
      <w:r w:rsidRPr="00D36D54"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  <w:br w:type="page"/>
        <w:t>NÁKLADY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tbl>
      <w:tblPr>
        <w:tblW w:w="4897" w:type="pct"/>
        <w:tblInd w:w="108" w:type="dxa"/>
        <w:tblLayout w:type="fixed"/>
        <w:tblLook w:val="04A0" w:firstRow="1" w:lastRow="0" w:firstColumn="1" w:lastColumn="0" w:noHBand="0" w:noVBand="1"/>
      </w:tblPr>
      <w:tblGrid>
        <w:gridCol w:w="5704"/>
        <w:gridCol w:w="1777"/>
        <w:gridCol w:w="1615"/>
      </w:tblGrid>
      <w:tr w:rsidR="00D36D54" w:rsidRPr="00D36D54" w:rsidTr="00D36D54">
        <w:trPr>
          <w:trHeight w:val="1005"/>
        </w:trPr>
        <w:tc>
          <w:tcPr>
            <w:tcW w:w="31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Názov položky</w:t>
            </w:r>
          </w:p>
        </w:tc>
        <w:tc>
          <w:tcPr>
            <w:tcW w:w="97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Bežné účtovné obdobie</w:t>
            </w:r>
          </w:p>
        </w:tc>
        <w:tc>
          <w:tcPr>
            <w:tcW w:w="88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Bezprostredne predchádzajúce účtovné obdobie</w:t>
            </w:r>
          </w:p>
        </w:tc>
      </w:tr>
      <w:tr w:rsidR="00D36D54" w:rsidRPr="00D36D54" w:rsidTr="00D36D54">
        <w:trPr>
          <w:trHeight w:val="377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Náklady za poskytnuté služby, z toho: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1897" w:rsidRPr="00D36D54" w:rsidRDefault="00E676EB" w:rsidP="00C12E15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 xml:space="preserve">12 </w:t>
            </w:r>
            <w:r w:rsidR="00C12E15">
              <w:rPr>
                <w:rFonts w:ascii="Verdana" w:hAnsi="Verdana"/>
                <w:sz w:val="15"/>
                <w:szCs w:val="15"/>
                <w:lang w:eastAsia="en-US"/>
              </w:rPr>
              <w:t>345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E676EB" w:rsidP="00C12E15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 xml:space="preserve">18 </w:t>
            </w:r>
            <w:r w:rsidR="00C12E15">
              <w:rPr>
                <w:rFonts w:ascii="Verdana" w:hAnsi="Verdana"/>
                <w:sz w:val="15"/>
                <w:szCs w:val="15"/>
                <w:lang w:eastAsia="en-US"/>
              </w:rPr>
              <w:t>393</w:t>
            </w:r>
          </w:p>
        </w:tc>
      </w:tr>
      <w:tr w:rsidR="00D36D54" w:rsidRPr="00D36D54" w:rsidTr="00D36D54">
        <w:trPr>
          <w:trHeight w:val="377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i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i/>
                <w:sz w:val="15"/>
                <w:szCs w:val="15"/>
                <w:lang w:eastAsia="en-US"/>
              </w:rPr>
              <w:t>Náklady voči audítorovi, audítorskej spoločnosti, z toho: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i/>
                <w:sz w:val="15"/>
                <w:szCs w:val="15"/>
                <w:lang w:eastAsia="en-US"/>
              </w:rPr>
            </w:pP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i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náklady za overenie individuálnej účtovnej závierky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 xml:space="preserve">iné </w:t>
            </w:r>
            <w:proofErr w:type="spellStart"/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uisťovacie</w:t>
            </w:r>
            <w:proofErr w:type="spellEnd"/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 xml:space="preserve"> audítorské služby</w:t>
            </w: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súvisiace audítorské služby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daňové poradenstvo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ostatné neaudítorské služby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i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i/>
                <w:sz w:val="15"/>
                <w:szCs w:val="15"/>
                <w:lang w:eastAsia="en-US"/>
              </w:rPr>
              <w:t>Ostatné významné položky nákladov za poskytnuté služby, z toho:</w:t>
            </w: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218" w:rsidRPr="00D36D54" w:rsidRDefault="005B0218" w:rsidP="005B0218">
            <w:pPr>
              <w:jc w:val="right"/>
              <w:rPr>
                <w:rFonts w:ascii="Verdana" w:hAnsi="Verdana"/>
                <w:i/>
                <w:sz w:val="15"/>
                <w:szCs w:val="15"/>
                <w:lang w:eastAsia="en-US"/>
              </w:rPr>
            </w:pP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i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766C6B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Opravy a udržiavanie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766C6B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Cestovné</w:t>
            </w: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766C6B" w:rsidRPr="00D36D54" w:rsidTr="00D36D54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6C6B" w:rsidRPr="00D36D54" w:rsidRDefault="00766C6B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Náklady na reprezentáciu</w:t>
            </w: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6C6B" w:rsidRPr="00D36D54" w:rsidRDefault="00766C6B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6C6B" w:rsidRPr="00D36D54" w:rsidRDefault="00766C6B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766C6B" w:rsidRPr="00D36D54" w:rsidTr="00D36D54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6C6B" w:rsidRPr="00D36D54" w:rsidRDefault="00766C6B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Provízie</w:t>
            </w: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6C6B" w:rsidRPr="00D36D54" w:rsidRDefault="00766C6B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6C6B" w:rsidRPr="00D36D54" w:rsidRDefault="00766C6B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766C6B" w:rsidRPr="00D36D54" w:rsidTr="00D36D54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6C6B" w:rsidRPr="00D36D54" w:rsidRDefault="00766C6B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Prenájom</w:t>
            </w: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6C6B" w:rsidRPr="00D36D54" w:rsidRDefault="00766C6B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6C6B" w:rsidRPr="00D36D54" w:rsidRDefault="00766C6B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766C6B" w:rsidRPr="00D36D54" w:rsidTr="00D36D54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6C6B" w:rsidRPr="00D36D54" w:rsidRDefault="00766C6B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Skladné a manipulácia s tovarom</w:t>
            </w: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6C6B" w:rsidRPr="00D36D54" w:rsidRDefault="00766C6B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6C6B" w:rsidRPr="00D36D54" w:rsidRDefault="00766C6B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766C6B" w:rsidRPr="00D36D54" w:rsidTr="00D36D54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6C6B" w:rsidRPr="00D36D54" w:rsidRDefault="00C1502E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Internetové pripojenie, server</w:t>
            </w: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6C6B" w:rsidRPr="00D36D54" w:rsidRDefault="00766C6B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6C6B" w:rsidRPr="00D36D54" w:rsidRDefault="00766C6B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C1502E" w:rsidRPr="00D36D54" w:rsidTr="00D36D54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502E" w:rsidRPr="00D36D54" w:rsidRDefault="00C1502E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Právne a účtovné služby</w:t>
            </w: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502E" w:rsidRPr="00D36D54" w:rsidRDefault="00C1502E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502E" w:rsidRPr="00D36D54" w:rsidRDefault="00C1502E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C1502E" w:rsidRPr="00D36D54" w:rsidTr="00D36D54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502E" w:rsidRPr="00D36D54" w:rsidRDefault="00C1502E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Náklady na telefón</w:t>
            </w: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502E" w:rsidRPr="00D36D54" w:rsidRDefault="00E676EB" w:rsidP="00E676EB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12 345</w:t>
            </w: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502E" w:rsidRPr="00D36D54" w:rsidRDefault="00C12E15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18 393</w:t>
            </w:r>
          </w:p>
        </w:tc>
      </w:tr>
      <w:tr w:rsidR="00D36D54" w:rsidRPr="00D36D54" w:rsidTr="00D36D54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C1502E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Ostatné</w:t>
            </w: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C1502E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Ostatné významné položky nákladov z hospodárskej činnosti</w:t>
            </w:r>
            <w:r w:rsidRPr="00D36D54">
              <w:rPr>
                <w:rFonts w:ascii="Verdana" w:hAnsi="Verdana"/>
                <w:b/>
                <w:sz w:val="15"/>
                <w:szCs w:val="15"/>
                <w:lang w:eastAsia="en-US"/>
              </w:rPr>
              <w:t>, z toho: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2C2EC6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18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0B5001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Zostatková cena predaného dlhodobého majetku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36D54" w:rsidRPr="00D36D54" w:rsidRDefault="000B5001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Penále</w:t>
            </w: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2C2EC6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18</w:t>
            </w: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6D54" w:rsidRPr="00D36D54" w:rsidRDefault="000B5001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Ostatné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Finančné náklady, z toho: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C12E15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79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C12E15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69</w:t>
            </w:r>
          </w:p>
        </w:tc>
      </w:tr>
      <w:tr w:rsidR="00D36D54" w:rsidRPr="00D36D54" w:rsidTr="00D36D54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i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i/>
                <w:sz w:val="15"/>
                <w:szCs w:val="15"/>
                <w:lang w:eastAsia="en-US"/>
              </w:rPr>
              <w:t>Kurzové straty, z toho: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i/>
                <w:sz w:val="15"/>
                <w:szCs w:val="15"/>
                <w:lang w:eastAsia="en-US"/>
              </w:rPr>
            </w:pP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i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29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kurzové straty ku dňu, ku ktorému sa zostavuje účtovná závierka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i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i/>
                <w:sz w:val="15"/>
                <w:szCs w:val="15"/>
                <w:lang w:eastAsia="en-US"/>
              </w:rPr>
              <w:t>Ostatné významné položky finančných nákladov, z toho:</w:t>
            </w: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i/>
                <w:sz w:val="15"/>
                <w:szCs w:val="15"/>
                <w:lang w:eastAsia="en-US"/>
              </w:rPr>
            </w:pP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i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36D54" w:rsidRPr="00D36D54" w:rsidRDefault="00C1502E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Nákladové úroky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83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36D54" w:rsidRPr="00D36D54" w:rsidRDefault="00C1502E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Bankové poplatky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E676EB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79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C12E15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69</w:t>
            </w:r>
          </w:p>
        </w:tc>
      </w:tr>
      <w:tr w:rsidR="00D36D54" w:rsidRPr="00D36D54" w:rsidTr="00D36D54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Mimoriadne náklady, z toho: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6D54" w:rsidRPr="00D36D54" w:rsidRDefault="00C12E15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169</w:t>
            </w:r>
          </w:p>
        </w:tc>
      </w:tr>
      <w:tr w:rsidR="00D36D54" w:rsidRPr="00D36D54" w:rsidTr="00D36D54">
        <w:trPr>
          <w:trHeight w:val="345"/>
        </w:trPr>
        <w:tc>
          <w:tcPr>
            <w:tcW w:w="313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</w:p>
        </w:tc>
        <w:tc>
          <w:tcPr>
            <w:tcW w:w="97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8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45"/>
        </w:trPr>
        <w:tc>
          <w:tcPr>
            <w:tcW w:w="313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</w:p>
        </w:tc>
        <w:tc>
          <w:tcPr>
            <w:tcW w:w="97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8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</w:tbl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keepNext/>
        <w:numPr>
          <w:ilvl w:val="0"/>
          <w:numId w:val="6"/>
        </w:numPr>
        <w:jc w:val="both"/>
        <w:outlineLvl w:val="0"/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</w:pPr>
      <w:r w:rsidRPr="00D36D54"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  <w:t>DAŇ Z PRÍJMOV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8"/>
          <w:szCs w:val="20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>Sadzba dane z príjmov pre rok 201</w:t>
      </w:r>
      <w:r w:rsidR="00AB1BCE">
        <w:rPr>
          <w:rFonts w:ascii="Verdana" w:hAnsi="Verdana"/>
          <w:snapToGrid w:val="0"/>
          <w:sz w:val="17"/>
          <w:szCs w:val="20"/>
        </w:rPr>
        <w:t>3</w:t>
      </w:r>
      <w:r w:rsidRPr="00D36D54">
        <w:rPr>
          <w:rFonts w:ascii="Verdana" w:hAnsi="Verdana"/>
          <w:snapToGrid w:val="0"/>
          <w:sz w:val="17"/>
          <w:szCs w:val="20"/>
        </w:rPr>
        <w:t xml:space="preserve"> je </w:t>
      </w:r>
      <w:r w:rsidR="00AB1BCE">
        <w:rPr>
          <w:rFonts w:ascii="Verdana" w:hAnsi="Verdana"/>
          <w:snapToGrid w:val="0"/>
          <w:sz w:val="17"/>
          <w:szCs w:val="20"/>
        </w:rPr>
        <w:t>23</w:t>
      </w:r>
      <w:r w:rsidRPr="00D36D54">
        <w:rPr>
          <w:rFonts w:ascii="Verdana" w:hAnsi="Verdana"/>
          <w:snapToGrid w:val="0"/>
          <w:sz w:val="17"/>
          <w:szCs w:val="20"/>
        </w:rPr>
        <w:t xml:space="preserve"> %. Spoločnosť nemala žiadne úľavy z daní. Štruktúra výpočtu splatnej dane z príjmov za rok 2011 je uvedená v prílohe v tabuľke č. 2. </w:t>
      </w:r>
    </w:p>
    <w:p w:rsidR="00D36D54" w:rsidRPr="00D36D54" w:rsidRDefault="00D36D54" w:rsidP="00AB1BCE">
      <w:pPr>
        <w:jc w:val="right"/>
        <w:rPr>
          <w:rFonts w:ascii="Verdana" w:hAnsi="Verdana"/>
          <w:snapToGrid w:val="0"/>
          <w:sz w:val="18"/>
          <w:szCs w:val="20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  <w:u w:val="single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  <w:u w:val="single"/>
        </w:rPr>
      </w:pPr>
      <w:r w:rsidRPr="0084288F">
        <w:rPr>
          <w:rFonts w:ascii="Verdana" w:hAnsi="Verdana"/>
          <w:snapToGrid w:val="0"/>
          <w:sz w:val="17"/>
          <w:szCs w:val="20"/>
          <w:u w:val="single"/>
        </w:rPr>
        <w:t>Odsúhlasenie dane z príjmov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  <w:u w:val="single"/>
        </w:rPr>
      </w:pPr>
    </w:p>
    <w:tbl>
      <w:tblPr>
        <w:tblW w:w="4961" w:type="pct"/>
        <w:tblInd w:w="108" w:type="dxa"/>
        <w:tblLayout w:type="fixed"/>
        <w:tblLook w:val="04A0" w:firstRow="1" w:lastRow="0" w:firstColumn="1" w:lastColumn="0" w:noHBand="0" w:noVBand="1"/>
      </w:tblPr>
      <w:tblGrid>
        <w:gridCol w:w="2412"/>
        <w:gridCol w:w="1516"/>
        <w:gridCol w:w="1145"/>
        <w:gridCol w:w="712"/>
        <w:gridCol w:w="1548"/>
        <w:gridCol w:w="1047"/>
        <w:gridCol w:w="835"/>
      </w:tblGrid>
      <w:tr w:rsidR="00D36D54" w:rsidRPr="00D36D54" w:rsidTr="00AB1BCE">
        <w:trPr>
          <w:trHeight w:val="642"/>
        </w:trPr>
        <w:tc>
          <w:tcPr>
            <w:tcW w:w="24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Názov položky</w:t>
            </w:r>
          </w:p>
        </w:tc>
        <w:tc>
          <w:tcPr>
            <w:tcW w:w="337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Bežné účtovné obdobie</w:t>
            </w:r>
          </w:p>
        </w:tc>
        <w:tc>
          <w:tcPr>
            <w:tcW w:w="343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Bezprostredne predchádzajúce účtovné obdobie</w:t>
            </w:r>
          </w:p>
        </w:tc>
      </w:tr>
      <w:tr w:rsidR="00D36D54" w:rsidRPr="00D36D54" w:rsidTr="00AB1BCE">
        <w:trPr>
          <w:trHeight w:val="345"/>
        </w:trPr>
        <w:tc>
          <w:tcPr>
            <w:tcW w:w="2411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</w:p>
        </w:tc>
        <w:tc>
          <w:tcPr>
            <w:tcW w:w="15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Základ dane</w:t>
            </w:r>
          </w:p>
        </w:tc>
        <w:tc>
          <w:tcPr>
            <w:tcW w:w="11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Daň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Daň v %</w:t>
            </w:r>
          </w:p>
        </w:tc>
        <w:tc>
          <w:tcPr>
            <w:tcW w:w="15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Základ dane</w:t>
            </w:r>
          </w:p>
        </w:tc>
        <w:tc>
          <w:tcPr>
            <w:tcW w:w="10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Daň</w:t>
            </w:r>
          </w:p>
        </w:tc>
        <w:tc>
          <w:tcPr>
            <w:tcW w:w="8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Daň v %</w:t>
            </w:r>
          </w:p>
        </w:tc>
      </w:tr>
      <w:tr w:rsidR="00D36D54" w:rsidRPr="00D36D54" w:rsidTr="00AB1BCE">
        <w:trPr>
          <w:trHeight w:val="330"/>
        </w:trPr>
        <w:tc>
          <w:tcPr>
            <w:tcW w:w="241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a</w:t>
            </w:r>
          </w:p>
        </w:tc>
        <w:tc>
          <w:tcPr>
            <w:tcW w:w="151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b</w:t>
            </w:r>
          </w:p>
        </w:tc>
        <w:tc>
          <w:tcPr>
            <w:tcW w:w="11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c</w:t>
            </w:r>
          </w:p>
        </w:tc>
        <w:tc>
          <w:tcPr>
            <w:tcW w:w="71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d</w:t>
            </w:r>
          </w:p>
        </w:tc>
        <w:tc>
          <w:tcPr>
            <w:tcW w:w="15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e</w:t>
            </w:r>
          </w:p>
        </w:tc>
        <w:tc>
          <w:tcPr>
            <w:tcW w:w="10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f</w:t>
            </w:r>
          </w:p>
        </w:tc>
        <w:tc>
          <w:tcPr>
            <w:tcW w:w="8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g</w:t>
            </w:r>
          </w:p>
        </w:tc>
      </w:tr>
      <w:tr w:rsidR="00D36D54" w:rsidRPr="00D36D54" w:rsidTr="00AB1BCE">
        <w:trPr>
          <w:trHeight w:val="330"/>
        </w:trPr>
        <w:tc>
          <w:tcPr>
            <w:tcW w:w="24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Výsledok hospodárenia pred  zdanením, z toho:</w:t>
            </w:r>
          </w:p>
        </w:tc>
        <w:tc>
          <w:tcPr>
            <w:tcW w:w="15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31078F" w:rsidP="00423379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-</w:t>
            </w:r>
            <w:r w:rsidR="00423379">
              <w:rPr>
                <w:rFonts w:ascii="Verdana" w:hAnsi="Verdana"/>
                <w:sz w:val="15"/>
                <w:szCs w:val="15"/>
                <w:lang w:eastAsia="en-US"/>
              </w:rPr>
              <w:t>4 442</w:t>
            </w:r>
          </w:p>
        </w:tc>
        <w:tc>
          <w:tcPr>
            <w:tcW w:w="114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x</w:t>
            </w:r>
          </w:p>
        </w:tc>
        <w:tc>
          <w:tcPr>
            <w:tcW w:w="71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x</w:t>
            </w:r>
          </w:p>
        </w:tc>
        <w:tc>
          <w:tcPr>
            <w:tcW w:w="15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423379" w:rsidP="00B82587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888</w:t>
            </w:r>
          </w:p>
        </w:tc>
        <w:tc>
          <w:tcPr>
            <w:tcW w:w="104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x</w:t>
            </w:r>
          </w:p>
        </w:tc>
        <w:tc>
          <w:tcPr>
            <w:tcW w:w="83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x</w:t>
            </w:r>
          </w:p>
        </w:tc>
      </w:tr>
      <w:tr w:rsidR="00D36D54" w:rsidRPr="00D36D54" w:rsidTr="00AB1BCE">
        <w:trPr>
          <w:trHeight w:val="330"/>
        </w:trPr>
        <w:tc>
          <w:tcPr>
            <w:tcW w:w="241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 xml:space="preserve">teoretická daň 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x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AB1BCE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23</w:t>
            </w: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x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AB1BCE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19</w:t>
            </w:r>
          </w:p>
        </w:tc>
      </w:tr>
      <w:tr w:rsidR="00D36D54" w:rsidRPr="00D36D54" w:rsidTr="00AB1BCE">
        <w:trPr>
          <w:trHeight w:val="330"/>
        </w:trPr>
        <w:tc>
          <w:tcPr>
            <w:tcW w:w="24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3FB2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3FB2">
              <w:rPr>
                <w:rFonts w:ascii="Verdana" w:hAnsi="Verdana"/>
                <w:sz w:val="15"/>
                <w:szCs w:val="15"/>
                <w:lang w:eastAsia="en-US"/>
              </w:rPr>
              <w:t>Daňovo neuznané náklady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423379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18</w:t>
            </w:r>
          </w:p>
        </w:tc>
        <w:tc>
          <w:tcPr>
            <w:tcW w:w="114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7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5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AB1BCE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04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AB1BCE">
        <w:trPr>
          <w:trHeight w:val="330"/>
        </w:trPr>
        <w:tc>
          <w:tcPr>
            <w:tcW w:w="24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3FB2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3FB2">
              <w:rPr>
                <w:rFonts w:ascii="Verdana" w:hAnsi="Verdana"/>
                <w:sz w:val="15"/>
                <w:szCs w:val="15"/>
                <w:lang w:eastAsia="en-US"/>
              </w:rPr>
              <w:t>Výnosy nepodliehajúce dani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14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7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5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04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AB1BCE">
        <w:trPr>
          <w:trHeight w:val="330"/>
        </w:trPr>
        <w:tc>
          <w:tcPr>
            <w:tcW w:w="24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3FB2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3FB2">
              <w:rPr>
                <w:rFonts w:ascii="Verdana" w:hAnsi="Verdana"/>
                <w:sz w:val="15"/>
                <w:szCs w:val="15"/>
                <w:lang w:eastAsia="en-US"/>
              </w:rPr>
              <w:t>Umorenie daňovej straty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CC07B3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  <w:r w:rsidR="00AB1BCE">
              <w:rPr>
                <w:rFonts w:ascii="Verdana" w:hAnsi="Verdana"/>
                <w:sz w:val="15"/>
                <w:szCs w:val="15"/>
                <w:lang w:eastAsia="en-US"/>
              </w:rPr>
              <w:t>-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AB1BCE">
        <w:trPr>
          <w:trHeight w:val="330"/>
        </w:trPr>
        <w:tc>
          <w:tcPr>
            <w:tcW w:w="24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3FB2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3FB2">
              <w:rPr>
                <w:rFonts w:ascii="Verdana" w:hAnsi="Verdana"/>
                <w:sz w:val="15"/>
                <w:szCs w:val="15"/>
                <w:lang w:eastAsia="en-US"/>
              </w:rPr>
              <w:t>Spolu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2D0945" w:rsidP="00423379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-</w:t>
            </w:r>
            <w:r w:rsidR="00423379">
              <w:rPr>
                <w:rFonts w:ascii="Verdana" w:hAnsi="Verdana"/>
                <w:sz w:val="15"/>
                <w:szCs w:val="15"/>
                <w:lang w:eastAsia="en-US"/>
              </w:rPr>
              <w:t>4 424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423379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169</w:t>
            </w:r>
            <w:r w:rsidR="00D36D54"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AB1BCE">
        <w:trPr>
          <w:trHeight w:val="330"/>
        </w:trPr>
        <w:tc>
          <w:tcPr>
            <w:tcW w:w="24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3FB2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3FB2">
              <w:rPr>
                <w:rFonts w:ascii="Verdana" w:hAnsi="Verdana"/>
                <w:sz w:val="15"/>
                <w:szCs w:val="15"/>
                <w:lang w:eastAsia="en-US"/>
              </w:rPr>
              <w:t>Splatná daň z príjmov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x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x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AB1BCE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0</w:t>
            </w:r>
            <w:r w:rsidR="00D36D54"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AB1BCE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0</w:t>
            </w:r>
          </w:p>
        </w:tc>
      </w:tr>
      <w:tr w:rsidR="00D36D54" w:rsidRPr="00D36D54" w:rsidTr="00AB1BCE">
        <w:trPr>
          <w:trHeight w:val="330"/>
        </w:trPr>
        <w:tc>
          <w:tcPr>
            <w:tcW w:w="24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3FB2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3FB2">
              <w:rPr>
                <w:rFonts w:ascii="Verdana" w:hAnsi="Verdana"/>
                <w:sz w:val="15"/>
                <w:szCs w:val="15"/>
                <w:lang w:eastAsia="en-US"/>
              </w:rPr>
              <w:t>Odložená daň z príjmov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x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x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AB1BCE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0</w:t>
            </w:r>
            <w:r w:rsidR="00D36D54"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AB1BCE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0</w:t>
            </w:r>
          </w:p>
        </w:tc>
      </w:tr>
      <w:tr w:rsidR="00D36D54" w:rsidRPr="00D36D54" w:rsidTr="00AB1BCE">
        <w:trPr>
          <w:trHeight w:val="345"/>
        </w:trPr>
        <w:tc>
          <w:tcPr>
            <w:tcW w:w="24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3FB2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3FB2">
              <w:rPr>
                <w:rFonts w:ascii="Verdana" w:hAnsi="Verdana"/>
                <w:sz w:val="15"/>
                <w:szCs w:val="15"/>
                <w:lang w:eastAsia="en-US"/>
              </w:rPr>
              <w:t xml:space="preserve">Celková daň z príjmov 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x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x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AB1BCE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0</w:t>
            </w:r>
            <w:r w:rsidR="00D36D54"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AB1BCE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0</w:t>
            </w:r>
          </w:p>
        </w:tc>
      </w:tr>
    </w:tbl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  <w:u w:val="single"/>
        </w:rPr>
      </w:pPr>
    </w:p>
    <w:p w:rsidR="00D36D54" w:rsidRPr="00D36D54" w:rsidRDefault="00D36D54" w:rsidP="00D36D54">
      <w:pPr>
        <w:jc w:val="both"/>
        <w:rPr>
          <w:rFonts w:ascii="Verdana" w:hAnsi="Verdana"/>
          <w:b/>
          <w:bCs/>
          <w:snapToGrid w:val="0"/>
          <w:sz w:val="17"/>
          <w:szCs w:val="20"/>
        </w:rPr>
      </w:pPr>
    </w:p>
    <w:p w:rsidR="00D36D54" w:rsidRPr="00D36D54" w:rsidRDefault="00D36D54" w:rsidP="00D36D54">
      <w:pPr>
        <w:jc w:val="both"/>
        <w:rPr>
          <w:rFonts w:ascii="Verdana" w:hAnsi="Verdana"/>
          <w:b/>
          <w:bCs/>
          <w:snapToGrid w:val="0"/>
          <w:sz w:val="17"/>
          <w:szCs w:val="20"/>
        </w:rPr>
      </w:pPr>
    </w:p>
    <w:p w:rsidR="00D36D54" w:rsidRPr="00D36D54" w:rsidRDefault="00D36D54" w:rsidP="00D36D54">
      <w:pPr>
        <w:keepNext/>
        <w:numPr>
          <w:ilvl w:val="0"/>
          <w:numId w:val="6"/>
        </w:numPr>
        <w:jc w:val="both"/>
        <w:outlineLvl w:val="0"/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</w:pPr>
      <w:r w:rsidRPr="00D36D54"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  <w:br w:type="page"/>
        <w:t>PODSÚVAHOVÉ ÚČTY</w:t>
      </w:r>
    </w:p>
    <w:p w:rsidR="00D36D54" w:rsidRDefault="00D36D54" w:rsidP="00D36D54">
      <w:pPr>
        <w:jc w:val="both"/>
        <w:rPr>
          <w:rFonts w:ascii="Verdana" w:hAnsi="Verdana"/>
          <w:sz w:val="14"/>
          <w:szCs w:val="20"/>
          <w:lang w:eastAsia="en-US"/>
        </w:rPr>
      </w:pPr>
    </w:p>
    <w:p w:rsidR="00AB1BCE" w:rsidRPr="00D36D54" w:rsidRDefault="00AB1BCE" w:rsidP="00D36D54">
      <w:pPr>
        <w:jc w:val="both"/>
        <w:rPr>
          <w:rFonts w:ascii="Verdana" w:hAnsi="Verdana"/>
          <w:sz w:val="14"/>
          <w:szCs w:val="20"/>
          <w:lang w:eastAsia="en-US"/>
        </w:rPr>
      </w:pPr>
      <w:r>
        <w:rPr>
          <w:rFonts w:ascii="Verdana" w:hAnsi="Verdana"/>
          <w:sz w:val="14"/>
          <w:szCs w:val="20"/>
          <w:lang w:eastAsia="en-US"/>
        </w:rPr>
        <w:t>Spoločnosť nemá.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keepNext/>
        <w:numPr>
          <w:ilvl w:val="0"/>
          <w:numId w:val="6"/>
        </w:numPr>
        <w:jc w:val="both"/>
        <w:outlineLvl w:val="0"/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</w:pPr>
      <w:r w:rsidRPr="00D36D54"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  <w:t>INÉ AKTÍVA A INÉ PASÍVA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Podmienené záväzky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7C13AA" w:rsidP="00D36D54">
      <w:pPr>
        <w:jc w:val="both"/>
        <w:rPr>
          <w:rFonts w:ascii="Verdana" w:hAnsi="Verdana"/>
          <w:snapToGrid w:val="0"/>
          <w:sz w:val="17"/>
          <w:szCs w:val="20"/>
          <w:lang w:eastAsia="en-US"/>
        </w:rPr>
      </w:pPr>
      <w:r>
        <w:rPr>
          <w:rFonts w:ascii="Verdana" w:hAnsi="Verdana"/>
          <w:snapToGrid w:val="0"/>
          <w:sz w:val="17"/>
          <w:szCs w:val="20"/>
          <w:lang w:eastAsia="en-US"/>
        </w:rPr>
        <w:t>Spoločnosť nemá.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Emisné kvóty</w:t>
      </w:r>
    </w:p>
    <w:p w:rsidR="00AB1BCE" w:rsidRDefault="00AB1BCE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</w:p>
    <w:p w:rsidR="00AB1BCE" w:rsidRPr="00AB1BCE" w:rsidRDefault="00AB1BCE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Cs/>
          <w:iCs/>
          <w:sz w:val="17"/>
          <w:szCs w:val="28"/>
          <w:lang w:eastAsia="en-US"/>
        </w:rPr>
      </w:pPr>
      <w:r w:rsidRPr="00AB1BCE">
        <w:rPr>
          <w:rFonts w:ascii="Verdana" w:hAnsi="Verdana" w:cs="Arial"/>
          <w:bCs/>
          <w:iCs/>
          <w:sz w:val="17"/>
          <w:szCs w:val="28"/>
          <w:lang w:eastAsia="en-US"/>
        </w:rPr>
        <w:t xml:space="preserve">Spoločnosť nemá. </w:t>
      </w:r>
    </w:p>
    <w:p w:rsidR="00AB1BCE" w:rsidRDefault="00AB1BCE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</w:p>
    <w:p w:rsidR="00D36D54" w:rsidRPr="00D36D54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Budúce práva a</w:t>
      </w:r>
      <w:r w:rsidRPr="00D36D54">
        <w:rPr>
          <w:rFonts w:ascii="Verdana" w:hAnsi="Verdana" w:cs="Arial" w:hint="eastAsia"/>
          <w:b/>
          <w:bCs/>
          <w:iCs/>
          <w:sz w:val="17"/>
          <w:szCs w:val="28"/>
          <w:lang w:eastAsia="en-US"/>
        </w:rPr>
        <w:t> </w:t>
      </w: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povinnosti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AB1BCE" w:rsidRDefault="00AB1BCE" w:rsidP="00D36D54">
      <w:pPr>
        <w:jc w:val="both"/>
        <w:rPr>
          <w:rFonts w:ascii="Verdana" w:hAnsi="Verdana" w:cs="Arial"/>
          <w:color w:val="000000" w:themeColor="text1"/>
          <w:sz w:val="17"/>
          <w:szCs w:val="20"/>
          <w:lang w:eastAsia="en-US"/>
        </w:rPr>
      </w:pPr>
      <w:r w:rsidRPr="00AB1BCE">
        <w:rPr>
          <w:rFonts w:ascii="Verdana" w:hAnsi="Verdana" w:cs="Arial"/>
          <w:i/>
          <w:color w:val="000000" w:themeColor="text1"/>
          <w:sz w:val="17"/>
          <w:szCs w:val="20"/>
          <w:lang w:eastAsia="en-US"/>
        </w:rPr>
        <w:t>Netýka sa spoločnosti.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Podmienený majetok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AB1BCE" w:rsidRPr="00AB1BCE" w:rsidRDefault="00AB1BCE" w:rsidP="00AB1BCE">
      <w:pPr>
        <w:jc w:val="both"/>
        <w:rPr>
          <w:rFonts w:ascii="Verdana" w:hAnsi="Verdana" w:cs="Arial"/>
          <w:color w:val="000000" w:themeColor="text1"/>
          <w:sz w:val="17"/>
          <w:szCs w:val="20"/>
          <w:lang w:eastAsia="en-US"/>
        </w:rPr>
      </w:pPr>
      <w:r w:rsidRPr="00AB1BCE">
        <w:rPr>
          <w:rFonts w:ascii="Verdana" w:hAnsi="Verdana" w:cs="Arial"/>
          <w:i/>
          <w:color w:val="000000" w:themeColor="text1"/>
          <w:sz w:val="17"/>
          <w:szCs w:val="20"/>
          <w:lang w:eastAsia="en-US"/>
        </w:rPr>
        <w:t>Netýka sa spoločnosti.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keepNext/>
        <w:numPr>
          <w:ilvl w:val="0"/>
          <w:numId w:val="6"/>
        </w:numPr>
        <w:jc w:val="both"/>
        <w:outlineLvl w:val="0"/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</w:pPr>
      <w:r w:rsidRPr="00D36D54"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  <w:t>PRÍJMY A VÝHODY ČLENOV ŠTATUTÁRNYCH, DOZORNÝCH A INÝCH ORGÁNOV SPOLOČNOSTI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AB1BCE" w:rsidRPr="00AB1BCE" w:rsidRDefault="00AB1BCE" w:rsidP="00AB1BCE">
      <w:pPr>
        <w:jc w:val="both"/>
        <w:rPr>
          <w:rFonts w:ascii="Verdana" w:hAnsi="Verdana" w:cs="Arial"/>
          <w:color w:val="000000" w:themeColor="text1"/>
          <w:sz w:val="17"/>
          <w:szCs w:val="20"/>
          <w:lang w:eastAsia="en-US"/>
        </w:rPr>
      </w:pPr>
      <w:r w:rsidRPr="00AB1BCE">
        <w:rPr>
          <w:rFonts w:ascii="Verdana" w:hAnsi="Verdana" w:cs="Arial"/>
          <w:i/>
          <w:color w:val="000000" w:themeColor="text1"/>
          <w:sz w:val="17"/>
          <w:szCs w:val="20"/>
          <w:lang w:eastAsia="en-US"/>
        </w:rPr>
        <w:t>Netýka sa spoločnosti.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color w:val="000000"/>
          <w:sz w:val="17"/>
          <w:szCs w:val="20"/>
        </w:rPr>
      </w:pPr>
    </w:p>
    <w:p w:rsidR="00D36D54" w:rsidRPr="00990770" w:rsidRDefault="00D36D54" w:rsidP="00D36D54">
      <w:pPr>
        <w:keepNext/>
        <w:numPr>
          <w:ilvl w:val="0"/>
          <w:numId w:val="6"/>
        </w:numPr>
        <w:jc w:val="both"/>
        <w:outlineLvl w:val="0"/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</w:pPr>
      <w:r w:rsidRPr="00990770"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  <w:t>SPRIAZNENÉ OSOBY</w:t>
      </w:r>
    </w:p>
    <w:p w:rsidR="00D36D54" w:rsidRPr="00D36D54" w:rsidRDefault="00D36D54" w:rsidP="00D36D54">
      <w:pPr>
        <w:jc w:val="both"/>
        <w:rPr>
          <w:rFonts w:ascii="Verdana" w:hAnsi="Verdana"/>
          <w:b/>
          <w:snapToGrid w:val="0"/>
          <w:color w:val="000000"/>
          <w:sz w:val="17"/>
          <w:szCs w:val="20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color w:val="000000"/>
          <w:sz w:val="17"/>
          <w:szCs w:val="20"/>
        </w:rPr>
      </w:pPr>
      <w:r w:rsidRPr="00D36D54">
        <w:rPr>
          <w:rFonts w:ascii="Verdana" w:hAnsi="Verdana"/>
          <w:snapToGrid w:val="0"/>
          <w:color w:val="000000"/>
          <w:sz w:val="17"/>
          <w:szCs w:val="20"/>
        </w:rPr>
        <w:t>Medzi spriaznené osoby patria akcionári, členovia predstavenstva, sesterské spoločnosti a spoločnosti, v ktorých podiel na základnom imaní presahuje 20 % (dcérske a pridružené spoločnosti a spoločné podniky).</w:t>
      </w:r>
    </w:p>
    <w:p w:rsidR="00D36D54" w:rsidRPr="00D36D54" w:rsidRDefault="00D36D54" w:rsidP="00D36D54">
      <w:pPr>
        <w:jc w:val="both"/>
        <w:rPr>
          <w:rFonts w:ascii="Verdana" w:hAnsi="Verdana"/>
          <w:b/>
          <w:snapToGrid w:val="0"/>
          <w:color w:val="000000"/>
          <w:sz w:val="17"/>
          <w:szCs w:val="20"/>
        </w:rPr>
      </w:pPr>
    </w:p>
    <w:p w:rsidR="00BC4CF8" w:rsidRPr="00AD0933" w:rsidRDefault="00AD0933" w:rsidP="00AD0933">
      <w:pPr>
        <w:pStyle w:val="Odsekzoznamu"/>
        <w:numPr>
          <w:ilvl w:val="2"/>
          <w:numId w:val="20"/>
        </w:numPr>
        <w:jc w:val="both"/>
        <w:rPr>
          <w:sz w:val="18"/>
          <w:szCs w:val="20"/>
          <w:lang w:eastAsia="en-US"/>
        </w:rPr>
      </w:pPr>
      <w:r>
        <w:rPr>
          <w:sz w:val="18"/>
          <w:szCs w:val="20"/>
          <w:lang w:eastAsia="en-US"/>
        </w:rPr>
        <w:t>Nie sú</w:t>
      </w:r>
    </w:p>
    <w:p w:rsidR="00BC4CF8" w:rsidRPr="00BC4CF8" w:rsidRDefault="00BC4CF8" w:rsidP="00BC4CF8">
      <w:pPr>
        <w:ind w:left="426"/>
        <w:jc w:val="both"/>
        <w:rPr>
          <w:sz w:val="18"/>
          <w:szCs w:val="20"/>
          <w:lang w:eastAsia="en-US"/>
        </w:rPr>
      </w:pPr>
    </w:p>
    <w:p w:rsidR="00BC4CF8" w:rsidRPr="00BC4CF8" w:rsidRDefault="00BC4CF8" w:rsidP="00BC4CF8">
      <w:pPr>
        <w:ind w:left="426"/>
        <w:jc w:val="both"/>
        <w:rPr>
          <w:sz w:val="18"/>
          <w:szCs w:val="20"/>
          <w:lang w:eastAsia="en-US"/>
        </w:rPr>
      </w:pPr>
    </w:p>
    <w:p w:rsidR="00D36D54" w:rsidRPr="00D36D54" w:rsidRDefault="00D36D54" w:rsidP="00D36D54">
      <w:pPr>
        <w:keepNext/>
        <w:numPr>
          <w:ilvl w:val="0"/>
          <w:numId w:val="6"/>
        </w:numPr>
        <w:jc w:val="both"/>
        <w:outlineLvl w:val="0"/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</w:pPr>
      <w:r w:rsidRPr="00D36D54"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  <w:t>SKUTOČNOSTI, KTORÉ NASTALI PO DNI, KU KTORÉMU SA ZOSTAVUJE ÚČTOVNÁ ZÁVIERKA, A DO DŇA ZOSTAVENIA ÚČTOVNEJ ZÁVIERKY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u w:val="single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>Po 31. decembri 201</w:t>
      </w:r>
      <w:r w:rsidR="00AB1BCE">
        <w:rPr>
          <w:rFonts w:ascii="Verdana" w:hAnsi="Verdana"/>
          <w:snapToGrid w:val="0"/>
          <w:sz w:val="17"/>
          <w:szCs w:val="20"/>
        </w:rPr>
        <w:t>3</w:t>
      </w:r>
      <w:r w:rsidRPr="00D36D54">
        <w:rPr>
          <w:rFonts w:ascii="Verdana" w:hAnsi="Verdana"/>
          <w:snapToGrid w:val="0"/>
          <w:sz w:val="17"/>
          <w:szCs w:val="20"/>
        </w:rPr>
        <w:t xml:space="preserve"> a do dňa zostavenia účtovnej závierky nenastali žiadne také udalosti, ktoré by významným spôsobom ovplyvnili aktíva a pasíva spoločnosti, okrem tých, ktoré sú uvedené vyššie a ktoré sú výsledkom bežnej činnosti.</w:t>
      </w:r>
    </w:p>
    <w:p w:rsid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AB4FD7" w:rsidRPr="00AB4FD7" w:rsidRDefault="00AB4FD7" w:rsidP="00AB4FD7">
      <w:pPr>
        <w:pStyle w:val="Odsekzoznamu"/>
        <w:numPr>
          <w:ilvl w:val="2"/>
          <w:numId w:val="20"/>
        </w:numPr>
        <w:jc w:val="both"/>
        <w:rPr>
          <w:rFonts w:ascii="Verdana" w:hAnsi="Verdana"/>
          <w:snapToGrid w:val="0"/>
          <w:sz w:val="17"/>
          <w:szCs w:val="20"/>
        </w:rPr>
      </w:pPr>
      <w:r>
        <w:rPr>
          <w:rFonts w:ascii="Verdana" w:hAnsi="Verdana"/>
          <w:snapToGrid w:val="0"/>
          <w:sz w:val="17"/>
          <w:szCs w:val="20"/>
        </w:rPr>
        <w:t>nenastali</w:t>
      </w:r>
    </w:p>
    <w:p w:rsidR="00AB1BCE" w:rsidRDefault="00AB1BCE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347B57" w:rsidRDefault="00347B57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347B57" w:rsidRDefault="00347B57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347B57" w:rsidRDefault="00347B57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347B57" w:rsidRDefault="00347B57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347B57" w:rsidRDefault="00347B57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347B57" w:rsidRDefault="00347B57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347B57" w:rsidRDefault="00347B57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347B57" w:rsidRDefault="00347B57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347B57" w:rsidRDefault="00347B57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347B57" w:rsidRDefault="00347B57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347B57" w:rsidRDefault="00347B57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347B57" w:rsidRDefault="00347B57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347B57" w:rsidRDefault="00347B57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347B57" w:rsidRDefault="00347B57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7C13AA" w:rsidRDefault="007C13AA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7C13AA" w:rsidRDefault="007C13AA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7C13AA" w:rsidRDefault="007C13AA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7C13AA" w:rsidRDefault="007C13AA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7C13AA" w:rsidRDefault="007C13AA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7C13AA" w:rsidRDefault="007C13AA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7C13AA" w:rsidRDefault="007C13AA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347B57" w:rsidRDefault="00347B57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347B57" w:rsidRDefault="00347B57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3FB2" w:rsidRDefault="00D36D54" w:rsidP="00D36D54">
      <w:pPr>
        <w:keepNext/>
        <w:numPr>
          <w:ilvl w:val="0"/>
          <w:numId w:val="6"/>
        </w:numPr>
        <w:jc w:val="both"/>
        <w:outlineLvl w:val="0"/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</w:pPr>
      <w:r w:rsidRPr="00D33FB2"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  <w:t>PREHĽAD ZMIEN VLASTNÉHO IMANIA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bookmarkStart w:id="86" w:name="_MON_1389609379"/>
    <w:bookmarkStart w:id="87" w:name="_MON_1389608253"/>
    <w:bookmarkStart w:id="88" w:name="_MON_1389608483"/>
    <w:bookmarkStart w:id="89" w:name="_MON_1389608588"/>
    <w:bookmarkStart w:id="90" w:name="_MON_1389609220"/>
    <w:bookmarkEnd w:id="86"/>
    <w:bookmarkEnd w:id="87"/>
    <w:bookmarkEnd w:id="88"/>
    <w:bookmarkEnd w:id="89"/>
    <w:bookmarkEnd w:id="90"/>
    <w:bookmarkStart w:id="91" w:name="_MON_1389609372"/>
    <w:bookmarkEnd w:id="91"/>
    <w:p w:rsidR="00D36D54" w:rsidRPr="00D36D54" w:rsidRDefault="00DA295D" w:rsidP="00D36D54">
      <w:pPr>
        <w:jc w:val="both"/>
        <w:rPr>
          <w:rFonts w:ascii="Verdana" w:hAnsi="Verdana"/>
          <w:snapToGrid w:val="0"/>
          <w:color w:val="000000"/>
          <w:sz w:val="17"/>
          <w:szCs w:val="20"/>
        </w:rPr>
      </w:pPr>
      <w:r w:rsidRPr="00D36D54">
        <w:rPr>
          <w:rFonts w:ascii="Verdana" w:hAnsi="Verdana"/>
          <w:snapToGrid w:val="0"/>
          <w:color w:val="000000"/>
          <w:sz w:val="17"/>
          <w:szCs w:val="20"/>
        </w:rPr>
        <w:object w:dxaOrig="9632" w:dyaOrig="7731">
          <v:shape id="_x0000_i1032" type="#_x0000_t75" style="width:451.5pt;height:386.25pt" o:ole="">
            <v:imagedata r:id="rId27" o:title=""/>
            <w10:bordertop type="single" width="4"/>
            <w10:borderleft type="single" width="4"/>
          </v:shape>
          <o:OLEObject Type="Embed" ProgID="Excel.Sheet.8" ShapeID="_x0000_i1032" DrawAspect="Content" ObjectID="_1457860079" r:id="rId28"/>
        </w:object>
      </w:r>
    </w:p>
    <w:bookmarkStart w:id="92" w:name="_MON_1389609428"/>
    <w:bookmarkStart w:id="93" w:name="_MON_1389608632"/>
    <w:bookmarkEnd w:id="92"/>
    <w:bookmarkEnd w:id="93"/>
    <w:bookmarkStart w:id="94" w:name="_MON_1389609402"/>
    <w:bookmarkEnd w:id="94"/>
    <w:p w:rsidR="00D36D54" w:rsidRPr="00D36D54" w:rsidRDefault="00DA295D" w:rsidP="00D36D54">
      <w:pPr>
        <w:jc w:val="both"/>
        <w:rPr>
          <w:rFonts w:ascii="Verdana" w:hAnsi="Verdana"/>
          <w:snapToGrid w:val="0"/>
          <w:color w:val="000000"/>
          <w:sz w:val="17"/>
          <w:szCs w:val="20"/>
          <w:u w:val="single"/>
        </w:rPr>
      </w:pPr>
      <w:r w:rsidRPr="00D36D54">
        <w:rPr>
          <w:rFonts w:ascii="Verdana" w:hAnsi="Verdana"/>
          <w:snapToGrid w:val="0"/>
          <w:color w:val="000000"/>
          <w:sz w:val="17"/>
          <w:szCs w:val="20"/>
        </w:rPr>
        <w:object w:dxaOrig="9632" w:dyaOrig="7731">
          <v:shape id="_x0000_i1033" type="#_x0000_t75" style="width:451.5pt;height:386.25pt" o:ole="">
            <v:imagedata r:id="rId29" o:title=""/>
            <w10:bordertop type="single" width="4"/>
            <w10:borderleft type="single" width="4"/>
          </v:shape>
          <o:OLEObject Type="Embed" ProgID="Excel.Sheet.8" ShapeID="_x0000_i1033" DrawAspect="Content" ObjectID="_1457860080" r:id="rId30"/>
        </w:objec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color w:val="000000"/>
          <w:sz w:val="17"/>
          <w:szCs w:val="20"/>
          <w:u w:val="single"/>
        </w:rPr>
      </w:pPr>
    </w:p>
    <w:p w:rsidR="00D36D54" w:rsidRPr="00D36D54" w:rsidRDefault="00D36D54" w:rsidP="00D36D54">
      <w:pPr>
        <w:keepNext/>
        <w:numPr>
          <w:ilvl w:val="0"/>
          <w:numId w:val="6"/>
        </w:numPr>
        <w:jc w:val="both"/>
        <w:outlineLvl w:val="0"/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</w:pPr>
      <w:r w:rsidRPr="00D36D54"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  <w:t>PREHĽAD PEŇAŽNÝCH TOKOV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color w:val="000000"/>
          <w:sz w:val="17"/>
          <w:szCs w:val="20"/>
          <w:u w:val="single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color w:val="000000"/>
          <w:sz w:val="17"/>
          <w:szCs w:val="20"/>
        </w:rPr>
      </w:pPr>
      <w:r w:rsidRPr="00D36D54">
        <w:rPr>
          <w:rFonts w:ascii="Verdana" w:hAnsi="Verdana"/>
          <w:snapToGrid w:val="0"/>
          <w:color w:val="000000"/>
          <w:sz w:val="17"/>
          <w:szCs w:val="20"/>
        </w:rPr>
        <w:t>Prehľad peňažných tokov je uvedený v prílohe, tabuľka č. 1.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>Peňažné prostriedky sú peňažné hotovosti, ekvivalenty peňažných hotovostí, peňažné prostriedky na bežných účtoch v bankách, kontokorentný účet a časť zostatku účtu „Peniaze na ceste“.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Peňažné ekvivalenty sú krátkodobý finančný majetok, ktorý je zameniteľný za vopred známu sumu peňažných prostriedkov, pri ktorom nehrozí riziko výraznej zmeny jeho hodnoty v najbližších troch mesiacoch ku dňu, ku ktorému sa zostavuje účtovná závierka.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  <w:lang w:eastAsia="en-US"/>
        </w:rPr>
      </w:pPr>
      <w:r w:rsidRPr="00D36D54">
        <w:rPr>
          <w:rFonts w:ascii="Verdana" w:hAnsi="Verdana"/>
          <w:snapToGrid w:val="0"/>
          <w:sz w:val="17"/>
          <w:szCs w:val="20"/>
          <w:lang w:eastAsia="en-US"/>
        </w:rPr>
        <w:t>Štruktúra peňažných prostriedkov a peňažných ekvivalentov: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  <w:lang w:eastAsia="en-US"/>
        </w:rPr>
      </w:pPr>
    </w:p>
    <w:tbl>
      <w:tblPr>
        <w:tblW w:w="9284" w:type="dxa"/>
        <w:tblInd w:w="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465"/>
        <w:gridCol w:w="992"/>
        <w:gridCol w:w="1843"/>
        <w:gridCol w:w="1984"/>
      </w:tblGrid>
      <w:tr w:rsidR="00D36D54" w:rsidRPr="00D36D54" w:rsidTr="0049510B">
        <w:trPr>
          <w:trHeight w:val="305"/>
        </w:trPr>
        <w:tc>
          <w:tcPr>
            <w:tcW w:w="44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sz w:val="15"/>
                <w:szCs w:val="15"/>
                <w:lang w:eastAsia="en-US"/>
              </w:rPr>
              <w:t>Položka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sz w:val="15"/>
                <w:szCs w:val="15"/>
                <w:lang w:eastAsia="en-US"/>
              </w:rPr>
              <w:t>Účet</w:t>
            </w:r>
          </w:p>
        </w:tc>
        <w:tc>
          <w:tcPr>
            <w:tcW w:w="1843" w:type="dxa"/>
            <w:tcBorders>
              <w:top w:val="single" w:sz="12" w:space="0" w:color="auto"/>
              <w:bottom w:val="nil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sz w:val="15"/>
                <w:szCs w:val="20"/>
                <w:lang w:val="en-GB" w:eastAsia="en-US"/>
              </w:rPr>
            </w:pPr>
            <w:r w:rsidRPr="00D36D54">
              <w:rPr>
                <w:rFonts w:ascii="Verdana" w:hAnsi="Verdana"/>
                <w:b/>
                <w:sz w:val="15"/>
                <w:szCs w:val="15"/>
                <w:lang w:eastAsia="en-US"/>
              </w:rPr>
              <w:t>Bežné účtovné obdobie</w:t>
            </w:r>
          </w:p>
        </w:tc>
        <w:tc>
          <w:tcPr>
            <w:tcW w:w="1984" w:type="dxa"/>
            <w:tcBorders>
              <w:top w:val="single" w:sz="12" w:space="0" w:color="auto"/>
              <w:bottom w:val="nil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sz w:val="15"/>
                <w:szCs w:val="20"/>
                <w:lang w:val="en-GB" w:eastAsia="en-US"/>
              </w:rPr>
            </w:pPr>
            <w:r w:rsidRPr="00D36D54">
              <w:rPr>
                <w:rFonts w:ascii="Verdana" w:hAnsi="Verdana"/>
                <w:b/>
                <w:sz w:val="15"/>
                <w:szCs w:val="15"/>
                <w:lang w:eastAsia="en-US"/>
              </w:rPr>
              <w:t>Bezprostredne predchádzajúce účtovné obdobie</w:t>
            </w:r>
          </w:p>
        </w:tc>
      </w:tr>
      <w:tr w:rsidR="00D36D54" w:rsidRPr="00D36D54" w:rsidTr="0049510B">
        <w:trPr>
          <w:trHeight w:val="305"/>
        </w:trPr>
        <w:tc>
          <w:tcPr>
            <w:tcW w:w="446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sz w:val="15"/>
                <w:szCs w:val="15"/>
                <w:lang w:eastAsia="en-US"/>
              </w:rPr>
              <w:t>a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sz w:val="15"/>
                <w:szCs w:val="15"/>
                <w:lang w:eastAsia="en-US"/>
              </w:rPr>
              <w:t>b</w:t>
            </w:r>
          </w:p>
        </w:tc>
        <w:tc>
          <w:tcPr>
            <w:tcW w:w="1843" w:type="dxa"/>
            <w:tcBorders>
              <w:top w:val="nil"/>
              <w:bottom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sz w:val="15"/>
                <w:szCs w:val="15"/>
                <w:lang w:val="en-GB" w:eastAsia="en-US"/>
              </w:rPr>
            </w:pPr>
            <w:r w:rsidRPr="00D36D54">
              <w:rPr>
                <w:rFonts w:ascii="Verdana" w:hAnsi="Verdana"/>
                <w:b/>
                <w:sz w:val="15"/>
                <w:szCs w:val="15"/>
                <w:lang w:val="en-GB" w:eastAsia="en-US"/>
              </w:rPr>
              <w:t>c</w:t>
            </w:r>
          </w:p>
        </w:tc>
        <w:tc>
          <w:tcPr>
            <w:tcW w:w="1984" w:type="dxa"/>
            <w:tcBorders>
              <w:top w:val="nil"/>
              <w:bottom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sz w:val="15"/>
                <w:szCs w:val="15"/>
                <w:lang w:val="en-GB" w:eastAsia="en-US"/>
              </w:rPr>
            </w:pPr>
            <w:r w:rsidRPr="00D36D54">
              <w:rPr>
                <w:rFonts w:ascii="Verdana" w:hAnsi="Verdana"/>
                <w:b/>
                <w:sz w:val="15"/>
                <w:szCs w:val="15"/>
                <w:lang w:val="en-GB" w:eastAsia="en-US"/>
              </w:rPr>
              <w:t>d</w:t>
            </w:r>
          </w:p>
        </w:tc>
      </w:tr>
      <w:tr w:rsidR="00D36D54" w:rsidRPr="00D36D54" w:rsidTr="0049510B">
        <w:trPr>
          <w:trHeight w:val="263"/>
        </w:trPr>
        <w:tc>
          <w:tcPr>
            <w:tcW w:w="44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  <w:r w:rsidRPr="00D36D54"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  <w:t>Peniaze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  <w:r w:rsidRPr="00D36D54"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  <w:t>211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D36D54" w:rsidRPr="00D36D54" w:rsidRDefault="00DA295D" w:rsidP="00D36D54">
            <w:pPr>
              <w:jc w:val="right"/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  <w:r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  <w:t>55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D36D54" w:rsidRPr="00D36D54" w:rsidRDefault="00DA295D" w:rsidP="00D36D54">
            <w:pPr>
              <w:jc w:val="right"/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  <w:r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  <w:t>202 276</w:t>
            </w:r>
          </w:p>
        </w:tc>
      </w:tr>
      <w:tr w:rsidR="00D36D54" w:rsidRPr="00D36D54" w:rsidTr="0049510B">
        <w:trPr>
          <w:trHeight w:val="253"/>
        </w:trPr>
        <w:tc>
          <w:tcPr>
            <w:tcW w:w="4465" w:type="dxa"/>
            <w:tcBorders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  <w:r w:rsidRPr="00D36D54"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  <w:t>Ceniny</w:t>
            </w:r>
          </w:p>
        </w:tc>
        <w:tc>
          <w:tcPr>
            <w:tcW w:w="992" w:type="dxa"/>
            <w:tcBorders>
              <w:lef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  <w:r w:rsidRPr="00D36D54"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  <w:t>213</w:t>
            </w:r>
          </w:p>
        </w:tc>
        <w:tc>
          <w:tcPr>
            <w:tcW w:w="1843" w:type="dxa"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</w:p>
        </w:tc>
        <w:tc>
          <w:tcPr>
            <w:tcW w:w="1984" w:type="dxa"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</w:p>
        </w:tc>
      </w:tr>
      <w:tr w:rsidR="00D36D54" w:rsidRPr="00D36D54" w:rsidTr="0049510B">
        <w:trPr>
          <w:trHeight w:val="270"/>
        </w:trPr>
        <w:tc>
          <w:tcPr>
            <w:tcW w:w="4465" w:type="dxa"/>
            <w:tcBorders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  <w:r w:rsidRPr="00D36D54"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  <w:t>Účty v bankách</w:t>
            </w:r>
          </w:p>
        </w:tc>
        <w:tc>
          <w:tcPr>
            <w:tcW w:w="992" w:type="dxa"/>
            <w:tcBorders>
              <w:lef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  <w:r w:rsidRPr="00D36D54"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  <w:t>221</w:t>
            </w:r>
          </w:p>
        </w:tc>
        <w:tc>
          <w:tcPr>
            <w:tcW w:w="1843" w:type="dxa"/>
            <w:vAlign w:val="center"/>
          </w:tcPr>
          <w:p w:rsidR="00D36D54" w:rsidRPr="00D36D54" w:rsidRDefault="00DA295D" w:rsidP="00D36D54">
            <w:pPr>
              <w:jc w:val="right"/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  <w:r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  <w:t>9</w:t>
            </w:r>
          </w:p>
        </w:tc>
        <w:tc>
          <w:tcPr>
            <w:tcW w:w="1984" w:type="dxa"/>
            <w:vAlign w:val="center"/>
          </w:tcPr>
          <w:p w:rsidR="006F0F0D" w:rsidRPr="00D36D54" w:rsidRDefault="00DA295D" w:rsidP="006F0F0D">
            <w:pPr>
              <w:jc w:val="right"/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  <w:r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  <w:t>294</w:t>
            </w:r>
          </w:p>
        </w:tc>
      </w:tr>
      <w:tr w:rsidR="00D36D54" w:rsidRPr="00D36D54" w:rsidTr="0049510B">
        <w:trPr>
          <w:trHeight w:val="275"/>
        </w:trPr>
        <w:tc>
          <w:tcPr>
            <w:tcW w:w="4465" w:type="dxa"/>
            <w:tcBorders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  <w:r w:rsidRPr="00D36D54"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  <w:t>Kontokorentný účet</w:t>
            </w:r>
          </w:p>
        </w:tc>
        <w:tc>
          <w:tcPr>
            <w:tcW w:w="992" w:type="dxa"/>
            <w:tcBorders>
              <w:left w:val="single" w:sz="12" w:space="0" w:color="auto"/>
            </w:tcBorders>
            <w:vAlign w:val="center"/>
          </w:tcPr>
          <w:p w:rsidR="00D36D54" w:rsidRPr="00D36D54" w:rsidRDefault="00D36D54" w:rsidP="00FE22AE">
            <w:pPr>
              <w:jc w:val="center"/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  <w:r w:rsidRPr="00D36D54"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  <w:t>221</w:t>
            </w:r>
          </w:p>
        </w:tc>
        <w:tc>
          <w:tcPr>
            <w:tcW w:w="1843" w:type="dxa"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</w:p>
        </w:tc>
        <w:tc>
          <w:tcPr>
            <w:tcW w:w="1984" w:type="dxa"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</w:p>
        </w:tc>
      </w:tr>
      <w:tr w:rsidR="00D36D54" w:rsidRPr="00D36D54" w:rsidTr="0049510B">
        <w:trPr>
          <w:trHeight w:val="251"/>
        </w:trPr>
        <w:tc>
          <w:tcPr>
            <w:tcW w:w="4465" w:type="dxa"/>
            <w:tcBorders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  <w:r w:rsidRPr="00D36D54"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  <w:t>Krátkodobý finančný majetok – akcie</w:t>
            </w:r>
          </w:p>
        </w:tc>
        <w:tc>
          <w:tcPr>
            <w:tcW w:w="992" w:type="dxa"/>
            <w:tcBorders>
              <w:left w:val="single" w:sz="12" w:space="0" w:color="auto"/>
            </w:tcBorders>
            <w:vAlign w:val="center"/>
          </w:tcPr>
          <w:p w:rsidR="00D36D54" w:rsidRPr="00D36D54" w:rsidRDefault="00D36D54" w:rsidP="00FE22AE">
            <w:pPr>
              <w:jc w:val="center"/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  <w:r w:rsidRPr="00D36D54"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  <w:t>251</w:t>
            </w:r>
          </w:p>
        </w:tc>
        <w:tc>
          <w:tcPr>
            <w:tcW w:w="1843" w:type="dxa"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</w:p>
        </w:tc>
        <w:tc>
          <w:tcPr>
            <w:tcW w:w="1984" w:type="dxa"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</w:p>
        </w:tc>
      </w:tr>
      <w:tr w:rsidR="00D36D54" w:rsidRPr="00D36D54" w:rsidTr="0049510B">
        <w:trPr>
          <w:trHeight w:val="269"/>
        </w:trPr>
        <w:tc>
          <w:tcPr>
            <w:tcW w:w="446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  <w:r w:rsidRPr="00D36D54"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  <w:t>Krátkodobý finančný majetok – dlhopisy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36D54" w:rsidRPr="00D36D54" w:rsidRDefault="00D36D54" w:rsidP="00FE22AE">
            <w:pPr>
              <w:jc w:val="center"/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  <w:r w:rsidRPr="00D36D54"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  <w:t>252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</w:p>
        </w:tc>
        <w:tc>
          <w:tcPr>
            <w:tcW w:w="1984" w:type="dxa"/>
            <w:tcBorders>
              <w:bottom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</w:p>
        </w:tc>
      </w:tr>
      <w:tr w:rsidR="00D36D54" w:rsidRPr="00D36D54" w:rsidTr="0049510B">
        <w:trPr>
          <w:trHeight w:val="258"/>
        </w:trPr>
        <w:tc>
          <w:tcPr>
            <w:tcW w:w="446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b/>
                <w:bCs/>
                <w:snapToGrid w:val="0"/>
                <w:sz w:val="15"/>
                <w:szCs w:val="20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napToGrid w:val="0"/>
                <w:sz w:val="15"/>
                <w:szCs w:val="20"/>
                <w:lang w:eastAsia="en-US"/>
              </w:rPr>
              <w:t>Spolu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napToGrid w:val="0"/>
                <w:sz w:val="15"/>
                <w:szCs w:val="20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napToGrid w:val="0"/>
                <w:sz w:val="15"/>
                <w:szCs w:val="20"/>
                <w:lang w:eastAsia="en-US"/>
              </w:rPr>
              <w:t>x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36D54" w:rsidRPr="00D36D54" w:rsidRDefault="00DA295D" w:rsidP="00D36D54">
            <w:pPr>
              <w:jc w:val="right"/>
              <w:rPr>
                <w:rFonts w:ascii="Verdana" w:hAnsi="Verdana"/>
                <w:b/>
                <w:bCs/>
                <w:snapToGrid w:val="0"/>
                <w:sz w:val="15"/>
                <w:szCs w:val="20"/>
                <w:lang w:eastAsia="en-US"/>
              </w:rPr>
            </w:pPr>
            <w:r>
              <w:rPr>
                <w:rFonts w:ascii="Verdana" w:hAnsi="Verdana"/>
                <w:b/>
                <w:bCs/>
                <w:snapToGrid w:val="0"/>
                <w:sz w:val="15"/>
                <w:szCs w:val="20"/>
                <w:lang w:eastAsia="en-US"/>
              </w:rPr>
              <w:t>64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36D54" w:rsidRPr="00D36D54" w:rsidRDefault="00DA295D" w:rsidP="00D36D54">
            <w:pPr>
              <w:jc w:val="right"/>
              <w:rPr>
                <w:rFonts w:ascii="Verdana" w:hAnsi="Verdana"/>
                <w:b/>
                <w:bCs/>
                <w:snapToGrid w:val="0"/>
                <w:sz w:val="15"/>
                <w:szCs w:val="20"/>
                <w:lang w:eastAsia="en-US"/>
              </w:rPr>
            </w:pPr>
            <w:r>
              <w:rPr>
                <w:rFonts w:ascii="Verdana" w:hAnsi="Verdana"/>
                <w:b/>
                <w:bCs/>
                <w:snapToGrid w:val="0"/>
                <w:sz w:val="15"/>
                <w:szCs w:val="20"/>
                <w:lang w:eastAsia="en-US"/>
              </w:rPr>
              <w:t>202 570</w:t>
            </w:r>
          </w:p>
        </w:tc>
      </w:tr>
    </w:tbl>
    <w:p w:rsidR="0049510B" w:rsidRDefault="0049510B" w:rsidP="003872E4">
      <w:pPr>
        <w:spacing w:after="120"/>
        <w:rPr>
          <w:rFonts w:ascii="Arial" w:hAnsi="Arial" w:cs="Arial"/>
          <w:sz w:val="22"/>
          <w:szCs w:val="22"/>
        </w:rPr>
      </w:pPr>
    </w:p>
    <w:sectPr w:rsidR="0049510B" w:rsidSect="00D30075"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F3FA1" w:rsidRDefault="004F3FA1">
      <w:r>
        <w:separator/>
      </w:r>
    </w:p>
  </w:endnote>
  <w:endnote w:type="continuationSeparator" w:id="0">
    <w:p w:rsidR="004F3FA1" w:rsidRDefault="004F3F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7AB2" w:rsidRDefault="00D47AB2" w:rsidP="00D36D5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A27EE">
      <w:rPr>
        <w:rStyle w:val="slostrany"/>
        <w:noProof/>
      </w:rPr>
      <w:t>9</w:t>
    </w:r>
    <w:r>
      <w:rPr>
        <w:rStyle w:val="slostrany"/>
      </w:rPr>
      <w:fldChar w:fldCharType="end"/>
    </w:r>
  </w:p>
  <w:p w:rsidR="00D47AB2" w:rsidRDefault="00D47AB2" w:rsidP="00D36D54">
    <w:pPr>
      <w:pStyle w:val="Pta"/>
      <w:pBdr>
        <w:top w:val="single" w:sz="4" w:space="1" w:color="auto"/>
      </w:pBd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7AB2" w:rsidRDefault="00D47AB2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EA27EE">
      <w:rPr>
        <w:noProof/>
      </w:rPr>
      <w:t>18</w:t>
    </w:r>
    <w:r>
      <w:rPr>
        <w:noProof/>
      </w:rPr>
      <w:fldChar w:fldCharType="end"/>
    </w:r>
  </w:p>
  <w:p w:rsidR="00D47AB2" w:rsidRDefault="00D47AB2">
    <w:pPr>
      <w:pStyle w:val="Pta"/>
    </w:pPr>
  </w:p>
  <w:p w:rsidR="00D47AB2" w:rsidRDefault="00D47AB2"/>
  <w:p w:rsidR="00D47AB2" w:rsidRDefault="00D47AB2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F3FA1" w:rsidRDefault="004F3FA1">
      <w:r>
        <w:separator/>
      </w:r>
    </w:p>
  </w:footnote>
  <w:footnote w:type="continuationSeparator" w:id="0">
    <w:p w:rsidR="004F3FA1" w:rsidRDefault="004F3FA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47AB2" w:rsidRPr="0093379F" w:rsidTr="00D36D54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47AB2" w:rsidRPr="0093379F" w:rsidRDefault="00D47AB2" w:rsidP="00D36D54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47AB2" w:rsidRPr="0093379F" w:rsidRDefault="00D47AB2" w:rsidP="00D36D54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47AB2" w:rsidRPr="0093379F" w:rsidRDefault="00D47AB2" w:rsidP="00D36D54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7AB2" w:rsidRPr="0093379F" w:rsidRDefault="00D47AB2" w:rsidP="0014074B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 xml:space="preserve">2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7AB2" w:rsidRPr="0093379F" w:rsidRDefault="00D47AB2" w:rsidP="00D36D54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7AB2" w:rsidRPr="0093379F" w:rsidRDefault="00D47AB2" w:rsidP="00D36D54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7AB2" w:rsidRPr="0093379F" w:rsidRDefault="00D47AB2" w:rsidP="00D36D54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7AB2" w:rsidRPr="0093379F" w:rsidRDefault="00D47AB2" w:rsidP="00D36D54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7AB2" w:rsidRPr="0093379F" w:rsidRDefault="00D47AB2" w:rsidP="00D36D54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7AB2" w:rsidRPr="0093379F" w:rsidRDefault="00D47AB2" w:rsidP="00D36D54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7AB2" w:rsidRPr="0093379F" w:rsidRDefault="00D47AB2" w:rsidP="00D36D54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7AB2" w:rsidRPr="0093379F" w:rsidRDefault="00D47AB2" w:rsidP="00D36D54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7AB2" w:rsidRPr="0093379F" w:rsidRDefault="00D47AB2" w:rsidP="00D36D54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</w:tr>
  </w:tbl>
  <w:p w:rsidR="00D47AB2" w:rsidRPr="00D36D54" w:rsidRDefault="00D47AB2" w:rsidP="00D36D54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D47AB2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47AB2" w:rsidRPr="003F477D" w:rsidRDefault="00D47AB2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47AB2" w:rsidRPr="003F477D" w:rsidRDefault="00D47AB2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47AB2" w:rsidRPr="003F477D" w:rsidRDefault="00D47AB2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7AB2" w:rsidRPr="003F477D" w:rsidRDefault="00D47AB2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7AB2" w:rsidRPr="003F477D" w:rsidRDefault="00D47AB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7AB2" w:rsidRPr="003F477D" w:rsidRDefault="00D47AB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7AB2" w:rsidRPr="003F477D" w:rsidRDefault="00D47AB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7AB2" w:rsidRPr="003F477D" w:rsidRDefault="00D47AB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7AB2" w:rsidRPr="003F477D" w:rsidRDefault="00D47AB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7AB2" w:rsidRPr="003F477D" w:rsidRDefault="00D47AB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7AB2" w:rsidRPr="003F477D" w:rsidRDefault="00D47AB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7AB2" w:rsidRPr="003F477D" w:rsidRDefault="00D47AB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7AB2" w:rsidRPr="003F477D" w:rsidRDefault="00D47AB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D47AB2" w:rsidRDefault="00D47AB2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6F50910"/>
    <w:multiLevelType w:val="hybridMultilevel"/>
    <w:tmpl w:val="CF0A5BDA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>
    <w:nsid w:val="0D0A5FF6"/>
    <w:multiLevelType w:val="multilevel"/>
    <w:tmpl w:val="DB0CF014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DB33A5A"/>
    <w:multiLevelType w:val="hybridMultilevel"/>
    <w:tmpl w:val="93CA40E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8A8226B"/>
    <w:multiLevelType w:val="hybridMultilevel"/>
    <w:tmpl w:val="40A8FE7E"/>
    <w:lvl w:ilvl="0" w:tplc="E36C37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298F5EC">
      <w:start w:val="168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F1A47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C8250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44212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C1479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DF48A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81AFC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6FEF8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2">
    <w:nsid w:val="1D2D0586"/>
    <w:multiLevelType w:val="hybridMultilevel"/>
    <w:tmpl w:val="398AC574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1D7C5210"/>
    <w:multiLevelType w:val="hybridMultilevel"/>
    <w:tmpl w:val="0EECB74A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1DEA4A56"/>
    <w:multiLevelType w:val="hybridMultilevel"/>
    <w:tmpl w:val="1E54ECBA"/>
    <w:lvl w:ilvl="0" w:tplc="41E42E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06D78C">
      <w:start w:val="16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B8A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80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C524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783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C02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F6F7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5C63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5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AF2201D"/>
    <w:multiLevelType w:val="hybridMultilevel"/>
    <w:tmpl w:val="77E2B1A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3DB0581E"/>
    <w:multiLevelType w:val="hybridMultilevel"/>
    <w:tmpl w:val="68DC2832"/>
    <w:lvl w:ilvl="0" w:tplc="6D1C5D7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8B45F54"/>
    <w:multiLevelType w:val="hybridMultilevel"/>
    <w:tmpl w:val="E38E70F0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4D2421AF"/>
    <w:multiLevelType w:val="multilevel"/>
    <w:tmpl w:val="CF0A5BD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7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57CA34EA"/>
    <w:multiLevelType w:val="hybridMultilevel"/>
    <w:tmpl w:val="FF24B516"/>
    <w:lvl w:ilvl="0" w:tplc="840EADDA">
      <w:start w:val="2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30B66A9"/>
    <w:multiLevelType w:val="hybridMultilevel"/>
    <w:tmpl w:val="B06A6DE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4B839F4"/>
    <w:multiLevelType w:val="hybridMultilevel"/>
    <w:tmpl w:val="F0603FA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97573FB"/>
    <w:multiLevelType w:val="hybridMultilevel"/>
    <w:tmpl w:val="66ECEE68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4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73F71E5F"/>
    <w:multiLevelType w:val="hybridMultilevel"/>
    <w:tmpl w:val="09E638D0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FE0CB2D4">
      <w:numFmt w:val="bullet"/>
      <w:lvlText w:val="-"/>
      <w:lvlJc w:val="left"/>
      <w:pPr>
        <w:ind w:left="2160" w:hanging="360"/>
      </w:pPr>
      <w:rPr>
        <w:rFonts w:ascii="Verdana" w:eastAsia="Times New Roman" w:hAnsi="Verdana" w:cs="Times New Roman" w:hint="default"/>
        <w:b w:val="0"/>
        <w:sz w:val="17"/>
        <w:u w:val="none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>
    <w:nsid w:val="79686D7C"/>
    <w:multiLevelType w:val="multilevel"/>
    <w:tmpl w:val="67C8E190"/>
    <w:lvl w:ilvl="0">
      <w:start w:val="1"/>
      <w:numFmt w:val="upperRoman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1"/>
  </w:num>
  <w:num w:numId="3">
    <w:abstractNumId w:val="17"/>
  </w:num>
  <w:num w:numId="4">
    <w:abstractNumId w:val="37"/>
  </w:num>
  <w:num w:numId="5">
    <w:abstractNumId w:val="19"/>
  </w:num>
  <w:num w:numId="6">
    <w:abstractNumId w:val="36"/>
  </w:num>
  <w:num w:numId="7">
    <w:abstractNumId w:val="15"/>
  </w:num>
  <w:num w:numId="8">
    <w:abstractNumId w:val="22"/>
  </w:num>
  <w:num w:numId="9">
    <w:abstractNumId w:val="36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6"/>
  </w:num>
  <w:num w:numId="11">
    <w:abstractNumId w:val="7"/>
  </w:num>
  <w:num w:numId="12">
    <w:abstractNumId w:val="20"/>
  </w:num>
  <w:num w:numId="13">
    <w:abstractNumId w:val="10"/>
  </w:num>
  <w:num w:numId="14">
    <w:abstractNumId w:val="9"/>
  </w:num>
  <w:num w:numId="15">
    <w:abstractNumId w:val="24"/>
  </w:num>
  <w:num w:numId="16">
    <w:abstractNumId w:val="18"/>
  </w:num>
  <w:num w:numId="17">
    <w:abstractNumId w:val="34"/>
  </w:num>
  <w:num w:numId="18">
    <w:abstractNumId w:val="0"/>
  </w:num>
  <w:num w:numId="19">
    <w:abstractNumId w:val="16"/>
  </w:num>
  <w:num w:numId="20">
    <w:abstractNumId w:val="35"/>
  </w:num>
  <w:num w:numId="21">
    <w:abstractNumId w:val="8"/>
  </w:num>
  <w:num w:numId="22">
    <w:abstractNumId w:val="5"/>
  </w:num>
  <w:num w:numId="23">
    <w:abstractNumId w:val="21"/>
  </w:num>
  <w:num w:numId="24">
    <w:abstractNumId w:val="28"/>
  </w:num>
  <w:num w:numId="25">
    <w:abstractNumId w:val="4"/>
  </w:num>
  <w:num w:numId="26">
    <w:abstractNumId w:val="25"/>
  </w:num>
  <w:num w:numId="27">
    <w:abstractNumId w:val="13"/>
  </w:num>
  <w:num w:numId="28">
    <w:abstractNumId w:val="27"/>
  </w:num>
  <w:num w:numId="29">
    <w:abstractNumId w:val="31"/>
  </w:num>
  <w:num w:numId="30">
    <w:abstractNumId w:val="23"/>
  </w:num>
  <w:num w:numId="31">
    <w:abstractNumId w:val="3"/>
  </w:num>
  <w:num w:numId="32">
    <w:abstractNumId w:val="12"/>
  </w:num>
  <w:num w:numId="33">
    <w:abstractNumId w:val="14"/>
  </w:num>
  <w:num w:numId="34">
    <w:abstractNumId w:val="11"/>
  </w:num>
  <w:num w:numId="35">
    <w:abstractNumId w:val="2"/>
  </w:num>
  <w:num w:numId="36">
    <w:abstractNumId w:val="26"/>
  </w:num>
  <w:num w:numId="37">
    <w:abstractNumId w:val="33"/>
  </w:num>
  <w:num w:numId="38">
    <w:abstractNumId w:val="30"/>
  </w:num>
  <w:num w:numId="39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016B4"/>
    <w:rsid w:val="000104C1"/>
    <w:rsid w:val="00024CC8"/>
    <w:rsid w:val="0002705A"/>
    <w:rsid w:val="000433E0"/>
    <w:rsid w:val="00043B3D"/>
    <w:rsid w:val="00044E9F"/>
    <w:rsid w:val="00045B2B"/>
    <w:rsid w:val="00051B40"/>
    <w:rsid w:val="000538A8"/>
    <w:rsid w:val="00053F45"/>
    <w:rsid w:val="0005650F"/>
    <w:rsid w:val="0005664C"/>
    <w:rsid w:val="00057E69"/>
    <w:rsid w:val="00066BE0"/>
    <w:rsid w:val="00067156"/>
    <w:rsid w:val="00070129"/>
    <w:rsid w:val="00070DC9"/>
    <w:rsid w:val="00080329"/>
    <w:rsid w:val="000A46AB"/>
    <w:rsid w:val="000B1BA1"/>
    <w:rsid w:val="000B252C"/>
    <w:rsid w:val="000B2961"/>
    <w:rsid w:val="000B5001"/>
    <w:rsid w:val="000C3C1A"/>
    <w:rsid w:val="000E0FA5"/>
    <w:rsid w:val="000E4475"/>
    <w:rsid w:val="000E57B5"/>
    <w:rsid w:val="000E7875"/>
    <w:rsid w:val="000F1D23"/>
    <w:rsid w:val="000F226D"/>
    <w:rsid w:val="00105490"/>
    <w:rsid w:val="001126C4"/>
    <w:rsid w:val="001148AB"/>
    <w:rsid w:val="00117BEB"/>
    <w:rsid w:val="00124A2A"/>
    <w:rsid w:val="0014074B"/>
    <w:rsid w:val="001550FB"/>
    <w:rsid w:val="0016690A"/>
    <w:rsid w:val="00170535"/>
    <w:rsid w:val="00171D3D"/>
    <w:rsid w:val="0017369E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45CD"/>
    <w:rsid w:val="0021761B"/>
    <w:rsid w:val="00223544"/>
    <w:rsid w:val="00223758"/>
    <w:rsid w:val="00235630"/>
    <w:rsid w:val="00246C6C"/>
    <w:rsid w:val="002474D2"/>
    <w:rsid w:val="00253BFC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C2EC6"/>
    <w:rsid w:val="002D0945"/>
    <w:rsid w:val="002D0D47"/>
    <w:rsid w:val="002E1542"/>
    <w:rsid w:val="002E490E"/>
    <w:rsid w:val="002E6607"/>
    <w:rsid w:val="002F23B0"/>
    <w:rsid w:val="00302371"/>
    <w:rsid w:val="003023F7"/>
    <w:rsid w:val="00306960"/>
    <w:rsid w:val="0031078F"/>
    <w:rsid w:val="00312CE9"/>
    <w:rsid w:val="00326DFA"/>
    <w:rsid w:val="00331575"/>
    <w:rsid w:val="00331EB6"/>
    <w:rsid w:val="0033465E"/>
    <w:rsid w:val="00345798"/>
    <w:rsid w:val="00346F61"/>
    <w:rsid w:val="00347B57"/>
    <w:rsid w:val="00355441"/>
    <w:rsid w:val="00362212"/>
    <w:rsid w:val="0036452C"/>
    <w:rsid w:val="003872E4"/>
    <w:rsid w:val="00391A1E"/>
    <w:rsid w:val="003961BC"/>
    <w:rsid w:val="003974CA"/>
    <w:rsid w:val="003B22E0"/>
    <w:rsid w:val="003B28F4"/>
    <w:rsid w:val="003C13BE"/>
    <w:rsid w:val="003C20BE"/>
    <w:rsid w:val="003C4F72"/>
    <w:rsid w:val="003D1B77"/>
    <w:rsid w:val="003D3AF5"/>
    <w:rsid w:val="003D4C8A"/>
    <w:rsid w:val="003E330A"/>
    <w:rsid w:val="003E3C41"/>
    <w:rsid w:val="00400AA4"/>
    <w:rsid w:val="00406D81"/>
    <w:rsid w:val="0041493D"/>
    <w:rsid w:val="00423379"/>
    <w:rsid w:val="004233E2"/>
    <w:rsid w:val="004264CD"/>
    <w:rsid w:val="00434A9A"/>
    <w:rsid w:val="00453111"/>
    <w:rsid w:val="00454951"/>
    <w:rsid w:val="00454AEB"/>
    <w:rsid w:val="00454F2D"/>
    <w:rsid w:val="0045642D"/>
    <w:rsid w:val="00460CC6"/>
    <w:rsid w:val="0046493A"/>
    <w:rsid w:val="00472E0C"/>
    <w:rsid w:val="00482574"/>
    <w:rsid w:val="00484634"/>
    <w:rsid w:val="00487167"/>
    <w:rsid w:val="00487CB2"/>
    <w:rsid w:val="0049510B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4A85"/>
    <w:rsid w:val="004E4FCE"/>
    <w:rsid w:val="004F3FA1"/>
    <w:rsid w:val="005031B8"/>
    <w:rsid w:val="00512000"/>
    <w:rsid w:val="00520556"/>
    <w:rsid w:val="00524152"/>
    <w:rsid w:val="00526FB9"/>
    <w:rsid w:val="00527E38"/>
    <w:rsid w:val="00541897"/>
    <w:rsid w:val="00550F87"/>
    <w:rsid w:val="00556600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B0218"/>
    <w:rsid w:val="005C08D0"/>
    <w:rsid w:val="005C3B7A"/>
    <w:rsid w:val="005C7EEB"/>
    <w:rsid w:val="005D7097"/>
    <w:rsid w:val="005E12D2"/>
    <w:rsid w:val="005E4F88"/>
    <w:rsid w:val="005E6F68"/>
    <w:rsid w:val="005F18BA"/>
    <w:rsid w:val="005F504F"/>
    <w:rsid w:val="00614845"/>
    <w:rsid w:val="00615C55"/>
    <w:rsid w:val="00636459"/>
    <w:rsid w:val="00640019"/>
    <w:rsid w:val="00641BC7"/>
    <w:rsid w:val="00642FD8"/>
    <w:rsid w:val="00661CE7"/>
    <w:rsid w:val="00671EEA"/>
    <w:rsid w:val="006761B2"/>
    <w:rsid w:val="006767A9"/>
    <w:rsid w:val="00682205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0F0D"/>
    <w:rsid w:val="006F5596"/>
    <w:rsid w:val="006F5A49"/>
    <w:rsid w:val="00701C3B"/>
    <w:rsid w:val="00704DF2"/>
    <w:rsid w:val="00705E0D"/>
    <w:rsid w:val="0070649A"/>
    <w:rsid w:val="00711C27"/>
    <w:rsid w:val="007139BF"/>
    <w:rsid w:val="00723420"/>
    <w:rsid w:val="00724BB3"/>
    <w:rsid w:val="00733A07"/>
    <w:rsid w:val="00741A9D"/>
    <w:rsid w:val="007475DC"/>
    <w:rsid w:val="0075132C"/>
    <w:rsid w:val="0075484E"/>
    <w:rsid w:val="00755E77"/>
    <w:rsid w:val="007561E8"/>
    <w:rsid w:val="00760326"/>
    <w:rsid w:val="0076593D"/>
    <w:rsid w:val="00766C6B"/>
    <w:rsid w:val="00771D0D"/>
    <w:rsid w:val="007728FB"/>
    <w:rsid w:val="007753B9"/>
    <w:rsid w:val="00780227"/>
    <w:rsid w:val="007A17D1"/>
    <w:rsid w:val="007A6BEE"/>
    <w:rsid w:val="007B6B6C"/>
    <w:rsid w:val="007C13AA"/>
    <w:rsid w:val="007C40F2"/>
    <w:rsid w:val="007D50DA"/>
    <w:rsid w:val="007E4948"/>
    <w:rsid w:val="007E7210"/>
    <w:rsid w:val="007F26F7"/>
    <w:rsid w:val="007F523F"/>
    <w:rsid w:val="0080258D"/>
    <w:rsid w:val="008044E0"/>
    <w:rsid w:val="008119BF"/>
    <w:rsid w:val="0081496D"/>
    <w:rsid w:val="00815AE4"/>
    <w:rsid w:val="00825633"/>
    <w:rsid w:val="00832FF0"/>
    <w:rsid w:val="0084070B"/>
    <w:rsid w:val="0084288F"/>
    <w:rsid w:val="00861401"/>
    <w:rsid w:val="00861803"/>
    <w:rsid w:val="00867392"/>
    <w:rsid w:val="008721D3"/>
    <w:rsid w:val="00884A8C"/>
    <w:rsid w:val="00890711"/>
    <w:rsid w:val="008A1671"/>
    <w:rsid w:val="008A2E88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E6C3E"/>
    <w:rsid w:val="008F19DA"/>
    <w:rsid w:val="008F7BD4"/>
    <w:rsid w:val="009008CC"/>
    <w:rsid w:val="009053E4"/>
    <w:rsid w:val="00924716"/>
    <w:rsid w:val="00925C6F"/>
    <w:rsid w:val="0093379F"/>
    <w:rsid w:val="00936967"/>
    <w:rsid w:val="00940C7E"/>
    <w:rsid w:val="00945CB3"/>
    <w:rsid w:val="0095092B"/>
    <w:rsid w:val="0095296D"/>
    <w:rsid w:val="00952C06"/>
    <w:rsid w:val="0095638F"/>
    <w:rsid w:val="009663C2"/>
    <w:rsid w:val="00967EF0"/>
    <w:rsid w:val="00990770"/>
    <w:rsid w:val="00990840"/>
    <w:rsid w:val="009965DA"/>
    <w:rsid w:val="009A06CA"/>
    <w:rsid w:val="009A2535"/>
    <w:rsid w:val="009B124D"/>
    <w:rsid w:val="009B17D1"/>
    <w:rsid w:val="009B310E"/>
    <w:rsid w:val="009C2162"/>
    <w:rsid w:val="009C49BF"/>
    <w:rsid w:val="009C58C9"/>
    <w:rsid w:val="009D0C18"/>
    <w:rsid w:val="009F04E7"/>
    <w:rsid w:val="009F28AA"/>
    <w:rsid w:val="009F5D0D"/>
    <w:rsid w:val="009F65FA"/>
    <w:rsid w:val="009F6DA7"/>
    <w:rsid w:val="00A028DD"/>
    <w:rsid w:val="00A068D1"/>
    <w:rsid w:val="00A06EA9"/>
    <w:rsid w:val="00A10E26"/>
    <w:rsid w:val="00A16C95"/>
    <w:rsid w:val="00A26876"/>
    <w:rsid w:val="00A3246D"/>
    <w:rsid w:val="00A35F64"/>
    <w:rsid w:val="00A40E0B"/>
    <w:rsid w:val="00A43E17"/>
    <w:rsid w:val="00A53820"/>
    <w:rsid w:val="00A56256"/>
    <w:rsid w:val="00A6044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1BCE"/>
    <w:rsid w:val="00AB4FD7"/>
    <w:rsid w:val="00AB534C"/>
    <w:rsid w:val="00AC5487"/>
    <w:rsid w:val="00AD0933"/>
    <w:rsid w:val="00AD1402"/>
    <w:rsid w:val="00AD5E55"/>
    <w:rsid w:val="00AE28DD"/>
    <w:rsid w:val="00AE433D"/>
    <w:rsid w:val="00AE5DA8"/>
    <w:rsid w:val="00AF0C89"/>
    <w:rsid w:val="00B1126C"/>
    <w:rsid w:val="00B13D40"/>
    <w:rsid w:val="00B13E94"/>
    <w:rsid w:val="00B14F57"/>
    <w:rsid w:val="00B23F82"/>
    <w:rsid w:val="00B46883"/>
    <w:rsid w:val="00B46A21"/>
    <w:rsid w:val="00B47D3C"/>
    <w:rsid w:val="00B50B0E"/>
    <w:rsid w:val="00B53B34"/>
    <w:rsid w:val="00B5432A"/>
    <w:rsid w:val="00B66313"/>
    <w:rsid w:val="00B811C0"/>
    <w:rsid w:val="00B82176"/>
    <w:rsid w:val="00B82587"/>
    <w:rsid w:val="00B87E21"/>
    <w:rsid w:val="00B95904"/>
    <w:rsid w:val="00BC3432"/>
    <w:rsid w:val="00BC3D4A"/>
    <w:rsid w:val="00BC4CF8"/>
    <w:rsid w:val="00BD2F98"/>
    <w:rsid w:val="00BD4645"/>
    <w:rsid w:val="00BD55A8"/>
    <w:rsid w:val="00BD777F"/>
    <w:rsid w:val="00BE76C3"/>
    <w:rsid w:val="00BF1944"/>
    <w:rsid w:val="00BF51A4"/>
    <w:rsid w:val="00BF58EF"/>
    <w:rsid w:val="00C035C7"/>
    <w:rsid w:val="00C0603C"/>
    <w:rsid w:val="00C12E15"/>
    <w:rsid w:val="00C1502E"/>
    <w:rsid w:val="00C15E63"/>
    <w:rsid w:val="00C20AE6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74333"/>
    <w:rsid w:val="00C80FCD"/>
    <w:rsid w:val="00C86E91"/>
    <w:rsid w:val="00CB2808"/>
    <w:rsid w:val="00CC07B3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256E1"/>
    <w:rsid w:val="00D30075"/>
    <w:rsid w:val="00D319A0"/>
    <w:rsid w:val="00D33FB2"/>
    <w:rsid w:val="00D343DA"/>
    <w:rsid w:val="00D35100"/>
    <w:rsid w:val="00D36D54"/>
    <w:rsid w:val="00D404F7"/>
    <w:rsid w:val="00D450AC"/>
    <w:rsid w:val="00D47AB2"/>
    <w:rsid w:val="00D47EBF"/>
    <w:rsid w:val="00D65F08"/>
    <w:rsid w:val="00D82CA0"/>
    <w:rsid w:val="00D97CDB"/>
    <w:rsid w:val="00DA0016"/>
    <w:rsid w:val="00DA1265"/>
    <w:rsid w:val="00DA295D"/>
    <w:rsid w:val="00DA33E6"/>
    <w:rsid w:val="00DA41FC"/>
    <w:rsid w:val="00DA68AA"/>
    <w:rsid w:val="00DA7353"/>
    <w:rsid w:val="00DB00DC"/>
    <w:rsid w:val="00DC77A2"/>
    <w:rsid w:val="00DD30F3"/>
    <w:rsid w:val="00DD45F0"/>
    <w:rsid w:val="00DD6176"/>
    <w:rsid w:val="00DE00F7"/>
    <w:rsid w:val="00DE4D02"/>
    <w:rsid w:val="00DF0BC8"/>
    <w:rsid w:val="00DF2F7A"/>
    <w:rsid w:val="00DF3E8C"/>
    <w:rsid w:val="00DF6566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676EB"/>
    <w:rsid w:val="00E70599"/>
    <w:rsid w:val="00E7088D"/>
    <w:rsid w:val="00E72E71"/>
    <w:rsid w:val="00E7400B"/>
    <w:rsid w:val="00E81C52"/>
    <w:rsid w:val="00E90529"/>
    <w:rsid w:val="00EA27EE"/>
    <w:rsid w:val="00EB5BB2"/>
    <w:rsid w:val="00ED17D4"/>
    <w:rsid w:val="00ED7779"/>
    <w:rsid w:val="00EE2A3E"/>
    <w:rsid w:val="00EF6214"/>
    <w:rsid w:val="00F12575"/>
    <w:rsid w:val="00F1419E"/>
    <w:rsid w:val="00F15A2F"/>
    <w:rsid w:val="00F210A0"/>
    <w:rsid w:val="00F26D58"/>
    <w:rsid w:val="00F30374"/>
    <w:rsid w:val="00F30944"/>
    <w:rsid w:val="00F37C86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E22AE"/>
    <w:rsid w:val="00FF230B"/>
    <w:rsid w:val="00FF50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nhideWhenUsed/>
    <w:qFormat/>
    <w:locked/>
    <w:rsid w:val="00EE2A3E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nhideWhenUsed/>
    <w:qFormat/>
    <w:locked/>
    <w:rsid w:val="00EE2A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qFormat/>
    <w:locked/>
    <w:rsid w:val="00D36D54"/>
    <w:pPr>
      <w:tabs>
        <w:tab w:val="num" w:pos="1008"/>
      </w:tabs>
      <w:spacing w:before="240" w:after="60"/>
      <w:ind w:left="1008" w:hanging="1008"/>
      <w:jc w:val="both"/>
      <w:outlineLvl w:val="4"/>
    </w:pPr>
    <w:rPr>
      <w:rFonts w:ascii="Verdana" w:hAnsi="Verdana"/>
      <w:b/>
      <w:bCs/>
      <w:i/>
      <w:iCs/>
      <w:sz w:val="17"/>
      <w:szCs w:val="26"/>
      <w:lang w:eastAsia="en-US"/>
    </w:rPr>
  </w:style>
  <w:style w:type="paragraph" w:styleId="Nadpis6">
    <w:name w:val="heading 6"/>
    <w:basedOn w:val="Normlny"/>
    <w:next w:val="Normlny"/>
    <w:link w:val="Nadpis6Char"/>
    <w:qFormat/>
    <w:locked/>
    <w:rsid w:val="00D36D54"/>
    <w:pPr>
      <w:tabs>
        <w:tab w:val="num" w:pos="1152"/>
      </w:tabs>
      <w:spacing w:before="240" w:after="60"/>
      <w:ind w:left="1152" w:hanging="1152"/>
      <w:jc w:val="both"/>
      <w:outlineLvl w:val="5"/>
    </w:pPr>
    <w:rPr>
      <w:rFonts w:ascii="Verdana" w:hAnsi="Verdana"/>
      <w:b/>
      <w:bCs/>
      <w:sz w:val="17"/>
      <w:szCs w:val="22"/>
      <w:lang w:eastAsia="en-US"/>
    </w:rPr>
  </w:style>
  <w:style w:type="paragraph" w:styleId="Nadpis7">
    <w:name w:val="heading 7"/>
    <w:basedOn w:val="Normlny"/>
    <w:next w:val="Normlny"/>
    <w:link w:val="Nadpis7Char"/>
    <w:qFormat/>
    <w:locked/>
    <w:rsid w:val="00D36D54"/>
    <w:pPr>
      <w:tabs>
        <w:tab w:val="num" w:pos="1296"/>
      </w:tabs>
      <w:spacing w:before="240" w:after="60"/>
      <w:ind w:left="1296" w:hanging="1296"/>
      <w:jc w:val="both"/>
      <w:outlineLvl w:val="6"/>
    </w:pPr>
    <w:rPr>
      <w:rFonts w:ascii="Verdana" w:hAnsi="Verdana"/>
      <w:sz w:val="17"/>
      <w:lang w:eastAsia="en-US"/>
    </w:rPr>
  </w:style>
  <w:style w:type="paragraph" w:styleId="Nadpis8">
    <w:name w:val="heading 8"/>
    <w:basedOn w:val="Normlny"/>
    <w:next w:val="Normlny"/>
    <w:link w:val="Nadpis8Char"/>
    <w:qFormat/>
    <w:locked/>
    <w:rsid w:val="00D36D54"/>
    <w:pPr>
      <w:tabs>
        <w:tab w:val="num" w:pos="1440"/>
      </w:tabs>
      <w:spacing w:before="240" w:after="60"/>
      <w:ind w:left="1440" w:hanging="1440"/>
      <w:jc w:val="both"/>
      <w:outlineLvl w:val="7"/>
    </w:pPr>
    <w:rPr>
      <w:rFonts w:ascii="Verdana" w:hAnsi="Verdana"/>
      <w:i/>
      <w:iCs/>
      <w:sz w:val="17"/>
      <w:lang w:eastAsia="en-US"/>
    </w:rPr>
  </w:style>
  <w:style w:type="paragraph" w:styleId="Nadpis9">
    <w:name w:val="heading 9"/>
    <w:basedOn w:val="Normlny"/>
    <w:next w:val="Normlny"/>
    <w:link w:val="Nadpis9Char"/>
    <w:qFormat/>
    <w:locked/>
    <w:rsid w:val="00D36D54"/>
    <w:pPr>
      <w:tabs>
        <w:tab w:val="num" w:pos="1584"/>
      </w:tabs>
      <w:spacing w:before="240" w:after="60"/>
      <w:ind w:left="1584" w:hanging="1584"/>
      <w:jc w:val="both"/>
      <w:outlineLvl w:val="8"/>
    </w:pPr>
    <w:rPr>
      <w:rFonts w:ascii="Verdana" w:hAnsi="Verdana" w:cs="Arial"/>
      <w:sz w:val="17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E7400B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locked/>
    <w:rsid w:val="00E7400B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E7400B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locked/>
    <w:rsid w:val="00E7400B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character" w:customStyle="1" w:styleId="Nadpis3Char">
    <w:name w:val="Nadpis 3 Char"/>
    <w:basedOn w:val="Predvolenpsmoodseku"/>
    <w:link w:val="Nadpis3"/>
    <w:rsid w:val="00EE2A3E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character" w:customStyle="1" w:styleId="Nadpis4Char">
    <w:name w:val="Nadpis 4 Char"/>
    <w:basedOn w:val="Predvolenpsmoodseku"/>
    <w:link w:val="Nadpis4"/>
    <w:rsid w:val="00EE2A3E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Nadpis5Char">
    <w:name w:val="Nadpis 5 Char"/>
    <w:basedOn w:val="Predvolenpsmoodseku"/>
    <w:link w:val="Nadpis5"/>
    <w:rsid w:val="00D36D54"/>
    <w:rPr>
      <w:rFonts w:ascii="Verdana" w:hAnsi="Verdana"/>
      <w:b/>
      <w:bCs/>
      <w:i/>
      <w:iCs/>
      <w:sz w:val="17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rsid w:val="00D36D54"/>
    <w:rPr>
      <w:rFonts w:ascii="Verdana" w:hAnsi="Verdana"/>
      <w:b/>
      <w:bCs/>
      <w:sz w:val="17"/>
      <w:szCs w:val="22"/>
      <w:lang w:eastAsia="en-US"/>
    </w:rPr>
  </w:style>
  <w:style w:type="character" w:customStyle="1" w:styleId="Nadpis7Char">
    <w:name w:val="Nadpis 7 Char"/>
    <w:basedOn w:val="Predvolenpsmoodseku"/>
    <w:link w:val="Nadpis7"/>
    <w:rsid w:val="00D36D54"/>
    <w:rPr>
      <w:rFonts w:ascii="Verdana" w:hAnsi="Verdana"/>
      <w:sz w:val="17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rsid w:val="00D36D54"/>
    <w:rPr>
      <w:rFonts w:ascii="Verdana" w:hAnsi="Verdana"/>
      <w:i/>
      <w:iCs/>
      <w:sz w:val="17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rsid w:val="00D36D54"/>
    <w:rPr>
      <w:rFonts w:ascii="Verdana" w:hAnsi="Verdana" w:cs="Arial"/>
      <w:sz w:val="17"/>
      <w:szCs w:val="22"/>
      <w:lang w:eastAsia="en-US"/>
    </w:rPr>
  </w:style>
  <w:style w:type="numbering" w:customStyle="1" w:styleId="Bezzoznamu1">
    <w:name w:val="Bez zoznamu1"/>
    <w:next w:val="Bezzoznamu"/>
    <w:semiHidden/>
    <w:unhideWhenUsed/>
    <w:rsid w:val="00D36D54"/>
  </w:style>
  <w:style w:type="table" w:customStyle="1" w:styleId="Mriekatabuky1">
    <w:name w:val="Mriežka tabuľky1"/>
    <w:basedOn w:val="Normlnatabuka"/>
    <w:next w:val="Mriekatabuky"/>
    <w:rsid w:val="00D36D54"/>
    <w:pPr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0">
    <w:name w:val="Body Text"/>
    <w:basedOn w:val="Normlny"/>
    <w:link w:val="ZkladntextChar"/>
    <w:rsid w:val="00D36D54"/>
    <w:pPr>
      <w:jc w:val="both"/>
    </w:pPr>
    <w:rPr>
      <w:rFonts w:ascii="Verdana" w:hAnsi="Verdana"/>
      <w:snapToGrid w:val="0"/>
      <w:szCs w:val="20"/>
      <w:lang w:val="cs-CZ"/>
    </w:rPr>
  </w:style>
  <w:style w:type="character" w:customStyle="1" w:styleId="ZkladntextChar">
    <w:name w:val="Základný text Char"/>
    <w:basedOn w:val="Predvolenpsmoodseku"/>
    <w:link w:val="Zkladntext0"/>
    <w:rsid w:val="00D36D54"/>
    <w:rPr>
      <w:rFonts w:ascii="Verdana" w:hAnsi="Verdana"/>
      <w:snapToGrid w:val="0"/>
      <w:sz w:val="24"/>
      <w:lang w:val="cs-CZ"/>
    </w:rPr>
  </w:style>
  <w:style w:type="paragraph" w:styleId="Textbubliny">
    <w:name w:val="Balloon Text"/>
    <w:basedOn w:val="Normlny"/>
    <w:link w:val="TextbublinyChar"/>
    <w:rsid w:val="00D36D54"/>
    <w:pPr>
      <w:jc w:val="both"/>
    </w:pPr>
    <w:rPr>
      <w:rFonts w:ascii="Tahoma" w:hAnsi="Tahoma" w:cs="Tahoma"/>
      <w:sz w:val="16"/>
      <w:szCs w:val="16"/>
      <w:lang w:eastAsia="en-US"/>
    </w:rPr>
  </w:style>
  <w:style w:type="character" w:customStyle="1" w:styleId="TextbublinyChar">
    <w:name w:val="Text bubliny Char"/>
    <w:basedOn w:val="Predvolenpsmoodseku"/>
    <w:link w:val="Textbubliny"/>
    <w:rsid w:val="00D36D54"/>
    <w:rPr>
      <w:rFonts w:ascii="Tahoma" w:hAnsi="Tahoma" w:cs="Tahoma"/>
      <w:sz w:val="16"/>
      <w:szCs w:val="16"/>
      <w:lang w:eastAsia="en-US"/>
    </w:rPr>
  </w:style>
  <w:style w:type="character" w:styleId="Odkaznakomentr">
    <w:name w:val="annotation reference"/>
    <w:rsid w:val="00D36D54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D36D54"/>
    <w:pPr>
      <w:jc w:val="both"/>
    </w:pPr>
    <w:rPr>
      <w:rFonts w:ascii="Verdana" w:hAnsi="Verdana"/>
      <w:sz w:val="20"/>
      <w:szCs w:val="20"/>
      <w:lang w:eastAsia="en-US"/>
    </w:rPr>
  </w:style>
  <w:style w:type="character" w:customStyle="1" w:styleId="TextkomentraChar">
    <w:name w:val="Text komentára Char"/>
    <w:basedOn w:val="Predvolenpsmoodseku"/>
    <w:link w:val="Textkomentra"/>
    <w:rsid w:val="00D36D54"/>
    <w:rPr>
      <w:rFonts w:ascii="Verdana" w:hAnsi="Verdana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rsid w:val="00D36D54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D36D54"/>
    <w:rPr>
      <w:rFonts w:ascii="Verdana" w:hAnsi="Verdana"/>
      <w:b/>
      <w:bCs/>
      <w:lang w:eastAsia="en-US"/>
    </w:rPr>
  </w:style>
  <w:style w:type="paragraph" w:customStyle="1" w:styleId="tableheader">
    <w:name w:val="table header"/>
    <w:basedOn w:val="Normlny"/>
    <w:rsid w:val="00D36D54"/>
    <w:pPr>
      <w:jc w:val="center"/>
    </w:pPr>
    <w:rPr>
      <w:rFonts w:ascii="Times New Roman Bold" w:hAnsi="Times New Roman Bold"/>
      <w:b/>
      <w:i/>
      <w:snapToGrid w:val="0"/>
      <w:sz w:val="20"/>
      <w:szCs w:val="20"/>
    </w:rPr>
  </w:style>
  <w:style w:type="paragraph" w:styleId="Revzia">
    <w:name w:val="Revision"/>
    <w:hidden/>
    <w:uiPriority w:val="99"/>
    <w:semiHidden/>
    <w:rsid w:val="00D36D54"/>
    <w:rPr>
      <w:rFonts w:ascii="Verdana" w:hAnsi="Verdana"/>
      <w:sz w:val="17"/>
      <w:lang w:eastAsia="en-US"/>
    </w:rPr>
  </w:style>
  <w:style w:type="character" w:customStyle="1" w:styleId="ra">
    <w:name w:val="ra"/>
    <w:basedOn w:val="Predvolenpsmoodseku"/>
    <w:rsid w:val="00D36D54"/>
  </w:style>
  <w:style w:type="paragraph" w:styleId="Odsekzoznamu">
    <w:name w:val="List Paragraph"/>
    <w:basedOn w:val="Normlny"/>
    <w:uiPriority w:val="34"/>
    <w:qFormat/>
    <w:rsid w:val="00D36D5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nhideWhenUsed/>
    <w:qFormat/>
    <w:locked/>
    <w:rsid w:val="00EE2A3E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nhideWhenUsed/>
    <w:qFormat/>
    <w:locked/>
    <w:rsid w:val="00EE2A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qFormat/>
    <w:locked/>
    <w:rsid w:val="00D36D54"/>
    <w:pPr>
      <w:tabs>
        <w:tab w:val="num" w:pos="1008"/>
      </w:tabs>
      <w:spacing w:before="240" w:after="60"/>
      <w:ind w:left="1008" w:hanging="1008"/>
      <w:jc w:val="both"/>
      <w:outlineLvl w:val="4"/>
    </w:pPr>
    <w:rPr>
      <w:rFonts w:ascii="Verdana" w:hAnsi="Verdana"/>
      <w:b/>
      <w:bCs/>
      <w:i/>
      <w:iCs/>
      <w:sz w:val="17"/>
      <w:szCs w:val="26"/>
      <w:lang w:eastAsia="en-US"/>
    </w:rPr>
  </w:style>
  <w:style w:type="paragraph" w:styleId="Nadpis6">
    <w:name w:val="heading 6"/>
    <w:basedOn w:val="Normlny"/>
    <w:next w:val="Normlny"/>
    <w:link w:val="Nadpis6Char"/>
    <w:qFormat/>
    <w:locked/>
    <w:rsid w:val="00D36D54"/>
    <w:pPr>
      <w:tabs>
        <w:tab w:val="num" w:pos="1152"/>
      </w:tabs>
      <w:spacing w:before="240" w:after="60"/>
      <w:ind w:left="1152" w:hanging="1152"/>
      <w:jc w:val="both"/>
      <w:outlineLvl w:val="5"/>
    </w:pPr>
    <w:rPr>
      <w:rFonts w:ascii="Verdana" w:hAnsi="Verdana"/>
      <w:b/>
      <w:bCs/>
      <w:sz w:val="17"/>
      <w:szCs w:val="22"/>
      <w:lang w:eastAsia="en-US"/>
    </w:rPr>
  </w:style>
  <w:style w:type="paragraph" w:styleId="Nadpis7">
    <w:name w:val="heading 7"/>
    <w:basedOn w:val="Normlny"/>
    <w:next w:val="Normlny"/>
    <w:link w:val="Nadpis7Char"/>
    <w:qFormat/>
    <w:locked/>
    <w:rsid w:val="00D36D54"/>
    <w:pPr>
      <w:tabs>
        <w:tab w:val="num" w:pos="1296"/>
      </w:tabs>
      <w:spacing w:before="240" w:after="60"/>
      <w:ind w:left="1296" w:hanging="1296"/>
      <w:jc w:val="both"/>
      <w:outlineLvl w:val="6"/>
    </w:pPr>
    <w:rPr>
      <w:rFonts w:ascii="Verdana" w:hAnsi="Verdana"/>
      <w:sz w:val="17"/>
      <w:lang w:eastAsia="en-US"/>
    </w:rPr>
  </w:style>
  <w:style w:type="paragraph" w:styleId="Nadpis8">
    <w:name w:val="heading 8"/>
    <w:basedOn w:val="Normlny"/>
    <w:next w:val="Normlny"/>
    <w:link w:val="Nadpis8Char"/>
    <w:qFormat/>
    <w:locked/>
    <w:rsid w:val="00D36D54"/>
    <w:pPr>
      <w:tabs>
        <w:tab w:val="num" w:pos="1440"/>
      </w:tabs>
      <w:spacing w:before="240" w:after="60"/>
      <w:ind w:left="1440" w:hanging="1440"/>
      <w:jc w:val="both"/>
      <w:outlineLvl w:val="7"/>
    </w:pPr>
    <w:rPr>
      <w:rFonts w:ascii="Verdana" w:hAnsi="Verdana"/>
      <w:i/>
      <w:iCs/>
      <w:sz w:val="17"/>
      <w:lang w:eastAsia="en-US"/>
    </w:rPr>
  </w:style>
  <w:style w:type="paragraph" w:styleId="Nadpis9">
    <w:name w:val="heading 9"/>
    <w:basedOn w:val="Normlny"/>
    <w:next w:val="Normlny"/>
    <w:link w:val="Nadpis9Char"/>
    <w:qFormat/>
    <w:locked/>
    <w:rsid w:val="00D36D54"/>
    <w:pPr>
      <w:tabs>
        <w:tab w:val="num" w:pos="1584"/>
      </w:tabs>
      <w:spacing w:before="240" w:after="60"/>
      <w:ind w:left="1584" w:hanging="1584"/>
      <w:jc w:val="both"/>
      <w:outlineLvl w:val="8"/>
    </w:pPr>
    <w:rPr>
      <w:rFonts w:ascii="Verdana" w:hAnsi="Verdana" w:cs="Arial"/>
      <w:sz w:val="17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E7400B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locked/>
    <w:rsid w:val="00E7400B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E7400B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locked/>
    <w:rsid w:val="00E7400B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character" w:customStyle="1" w:styleId="Nadpis3Char">
    <w:name w:val="Nadpis 3 Char"/>
    <w:basedOn w:val="Predvolenpsmoodseku"/>
    <w:link w:val="Nadpis3"/>
    <w:rsid w:val="00EE2A3E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character" w:customStyle="1" w:styleId="Nadpis4Char">
    <w:name w:val="Nadpis 4 Char"/>
    <w:basedOn w:val="Predvolenpsmoodseku"/>
    <w:link w:val="Nadpis4"/>
    <w:rsid w:val="00EE2A3E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Nadpis5Char">
    <w:name w:val="Nadpis 5 Char"/>
    <w:basedOn w:val="Predvolenpsmoodseku"/>
    <w:link w:val="Nadpis5"/>
    <w:rsid w:val="00D36D54"/>
    <w:rPr>
      <w:rFonts w:ascii="Verdana" w:hAnsi="Verdana"/>
      <w:b/>
      <w:bCs/>
      <w:i/>
      <w:iCs/>
      <w:sz w:val="17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rsid w:val="00D36D54"/>
    <w:rPr>
      <w:rFonts w:ascii="Verdana" w:hAnsi="Verdana"/>
      <w:b/>
      <w:bCs/>
      <w:sz w:val="17"/>
      <w:szCs w:val="22"/>
      <w:lang w:eastAsia="en-US"/>
    </w:rPr>
  </w:style>
  <w:style w:type="character" w:customStyle="1" w:styleId="Nadpis7Char">
    <w:name w:val="Nadpis 7 Char"/>
    <w:basedOn w:val="Predvolenpsmoodseku"/>
    <w:link w:val="Nadpis7"/>
    <w:rsid w:val="00D36D54"/>
    <w:rPr>
      <w:rFonts w:ascii="Verdana" w:hAnsi="Verdana"/>
      <w:sz w:val="17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rsid w:val="00D36D54"/>
    <w:rPr>
      <w:rFonts w:ascii="Verdana" w:hAnsi="Verdana"/>
      <w:i/>
      <w:iCs/>
      <w:sz w:val="17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rsid w:val="00D36D54"/>
    <w:rPr>
      <w:rFonts w:ascii="Verdana" w:hAnsi="Verdana" w:cs="Arial"/>
      <w:sz w:val="17"/>
      <w:szCs w:val="22"/>
      <w:lang w:eastAsia="en-US"/>
    </w:rPr>
  </w:style>
  <w:style w:type="numbering" w:customStyle="1" w:styleId="Bezzoznamu1">
    <w:name w:val="Bez zoznamu1"/>
    <w:next w:val="Bezzoznamu"/>
    <w:semiHidden/>
    <w:unhideWhenUsed/>
    <w:rsid w:val="00D36D54"/>
  </w:style>
  <w:style w:type="table" w:customStyle="1" w:styleId="Mriekatabuky1">
    <w:name w:val="Mriežka tabuľky1"/>
    <w:basedOn w:val="Normlnatabuka"/>
    <w:next w:val="Mriekatabuky"/>
    <w:rsid w:val="00D36D54"/>
    <w:pPr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0">
    <w:name w:val="Body Text"/>
    <w:basedOn w:val="Normlny"/>
    <w:link w:val="ZkladntextChar"/>
    <w:rsid w:val="00D36D54"/>
    <w:pPr>
      <w:jc w:val="both"/>
    </w:pPr>
    <w:rPr>
      <w:rFonts w:ascii="Verdana" w:hAnsi="Verdana"/>
      <w:snapToGrid w:val="0"/>
      <w:szCs w:val="20"/>
      <w:lang w:val="cs-CZ"/>
    </w:rPr>
  </w:style>
  <w:style w:type="character" w:customStyle="1" w:styleId="ZkladntextChar">
    <w:name w:val="Základný text Char"/>
    <w:basedOn w:val="Predvolenpsmoodseku"/>
    <w:link w:val="Zkladntext0"/>
    <w:rsid w:val="00D36D54"/>
    <w:rPr>
      <w:rFonts w:ascii="Verdana" w:hAnsi="Verdana"/>
      <w:snapToGrid w:val="0"/>
      <w:sz w:val="24"/>
      <w:lang w:val="cs-CZ"/>
    </w:rPr>
  </w:style>
  <w:style w:type="paragraph" w:styleId="Textbubliny">
    <w:name w:val="Balloon Text"/>
    <w:basedOn w:val="Normlny"/>
    <w:link w:val="TextbublinyChar"/>
    <w:rsid w:val="00D36D54"/>
    <w:pPr>
      <w:jc w:val="both"/>
    </w:pPr>
    <w:rPr>
      <w:rFonts w:ascii="Tahoma" w:hAnsi="Tahoma" w:cs="Tahoma"/>
      <w:sz w:val="16"/>
      <w:szCs w:val="16"/>
      <w:lang w:eastAsia="en-US"/>
    </w:rPr>
  </w:style>
  <w:style w:type="character" w:customStyle="1" w:styleId="TextbublinyChar">
    <w:name w:val="Text bubliny Char"/>
    <w:basedOn w:val="Predvolenpsmoodseku"/>
    <w:link w:val="Textbubliny"/>
    <w:rsid w:val="00D36D54"/>
    <w:rPr>
      <w:rFonts w:ascii="Tahoma" w:hAnsi="Tahoma" w:cs="Tahoma"/>
      <w:sz w:val="16"/>
      <w:szCs w:val="16"/>
      <w:lang w:eastAsia="en-US"/>
    </w:rPr>
  </w:style>
  <w:style w:type="character" w:styleId="Odkaznakomentr">
    <w:name w:val="annotation reference"/>
    <w:rsid w:val="00D36D54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D36D54"/>
    <w:pPr>
      <w:jc w:val="both"/>
    </w:pPr>
    <w:rPr>
      <w:rFonts w:ascii="Verdana" w:hAnsi="Verdana"/>
      <w:sz w:val="20"/>
      <w:szCs w:val="20"/>
      <w:lang w:eastAsia="en-US"/>
    </w:rPr>
  </w:style>
  <w:style w:type="character" w:customStyle="1" w:styleId="TextkomentraChar">
    <w:name w:val="Text komentára Char"/>
    <w:basedOn w:val="Predvolenpsmoodseku"/>
    <w:link w:val="Textkomentra"/>
    <w:rsid w:val="00D36D54"/>
    <w:rPr>
      <w:rFonts w:ascii="Verdana" w:hAnsi="Verdana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rsid w:val="00D36D54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D36D54"/>
    <w:rPr>
      <w:rFonts w:ascii="Verdana" w:hAnsi="Verdana"/>
      <w:b/>
      <w:bCs/>
      <w:lang w:eastAsia="en-US"/>
    </w:rPr>
  </w:style>
  <w:style w:type="paragraph" w:customStyle="1" w:styleId="tableheader">
    <w:name w:val="table header"/>
    <w:basedOn w:val="Normlny"/>
    <w:rsid w:val="00D36D54"/>
    <w:pPr>
      <w:jc w:val="center"/>
    </w:pPr>
    <w:rPr>
      <w:rFonts w:ascii="Times New Roman Bold" w:hAnsi="Times New Roman Bold"/>
      <w:b/>
      <w:i/>
      <w:snapToGrid w:val="0"/>
      <w:sz w:val="20"/>
      <w:szCs w:val="20"/>
    </w:rPr>
  </w:style>
  <w:style w:type="paragraph" w:styleId="Revzia">
    <w:name w:val="Revision"/>
    <w:hidden/>
    <w:uiPriority w:val="99"/>
    <w:semiHidden/>
    <w:rsid w:val="00D36D54"/>
    <w:rPr>
      <w:rFonts w:ascii="Verdana" w:hAnsi="Verdana"/>
      <w:sz w:val="17"/>
      <w:lang w:eastAsia="en-US"/>
    </w:rPr>
  </w:style>
  <w:style w:type="character" w:customStyle="1" w:styleId="ra">
    <w:name w:val="ra"/>
    <w:basedOn w:val="Predvolenpsmoodseku"/>
    <w:rsid w:val="00D36D54"/>
  </w:style>
  <w:style w:type="paragraph" w:styleId="Odsekzoznamu">
    <w:name w:val="List Paragraph"/>
    <w:basedOn w:val="Normlny"/>
    <w:uiPriority w:val="34"/>
    <w:qFormat/>
    <w:rsid w:val="00D36D5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18" Type="http://schemas.openxmlformats.org/officeDocument/2006/relationships/oleObject" Target="embeddings/Microsoft_Excel_97-2003_Worksheet4.xls"/><Relationship Id="rId26" Type="http://schemas.openxmlformats.org/officeDocument/2006/relationships/oleObject" Target="embeddings/Microsoft_Excel_97-2003_Worksheet7.xls"/><Relationship Id="rId3" Type="http://schemas.openxmlformats.org/officeDocument/2006/relationships/styles" Target="styles.xml"/><Relationship Id="rId21" Type="http://schemas.openxmlformats.org/officeDocument/2006/relationships/footer" Target="footer2.xml"/><Relationship Id="rId7" Type="http://schemas.openxmlformats.org/officeDocument/2006/relationships/footnotes" Target="footnotes.xml"/><Relationship Id="rId12" Type="http://schemas.openxmlformats.org/officeDocument/2006/relationships/oleObject" Target="embeddings/Microsoft_Excel_97-2003_Worksheet2.xls"/><Relationship Id="rId17" Type="http://schemas.openxmlformats.org/officeDocument/2006/relationships/image" Target="media/image4.emf"/><Relationship Id="rId25" Type="http://schemas.openxmlformats.org/officeDocument/2006/relationships/image" Target="media/image7.emf"/><Relationship Id="rId2" Type="http://schemas.openxmlformats.org/officeDocument/2006/relationships/numbering" Target="numbering.xml"/><Relationship Id="rId16" Type="http://schemas.openxmlformats.org/officeDocument/2006/relationships/oleObject" Target="embeddings/Microsoft_Excel_97-2003_Worksheet3.xls"/><Relationship Id="rId20" Type="http://schemas.openxmlformats.org/officeDocument/2006/relationships/oleObject" Target="embeddings/Microsoft_Excel_97-2003_Worksheet5.xls"/><Relationship Id="rId29" Type="http://schemas.openxmlformats.org/officeDocument/2006/relationships/image" Target="media/image9.emf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24" Type="http://schemas.openxmlformats.org/officeDocument/2006/relationships/oleObject" Target="embeddings/Microsoft_Excel_97-2003_Worksheet6.xls"/><Relationship Id="rId32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openxmlformats.org/officeDocument/2006/relationships/image" Target="media/image3.emf"/><Relationship Id="rId23" Type="http://schemas.openxmlformats.org/officeDocument/2006/relationships/image" Target="media/image6.emf"/><Relationship Id="rId28" Type="http://schemas.openxmlformats.org/officeDocument/2006/relationships/oleObject" Target="embeddings/Microsoft_Excel_97-2003_Worksheet8.xls"/><Relationship Id="rId10" Type="http://schemas.openxmlformats.org/officeDocument/2006/relationships/oleObject" Target="embeddings/Microsoft_Excel_97-2003_Worksheet1.xls"/><Relationship Id="rId19" Type="http://schemas.openxmlformats.org/officeDocument/2006/relationships/image" Target="media/image5.emf"/><Relationship Id="rId31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footer" Target="footer1.xml"/><Relationship Id="rId22" Type="http://schemas.openxmlformats.org/officeDocument/2006/relationships/header" Target="header2.xml"/><Relationship Id="rId27" Type="http://schemas.openxmlformats.org/officeDocument/2006/relationships/image" Target="media/image8.emf"/><Relationship Id="rId30" Type="http://schemas.openxmlformats.org/officeDocument/2006/relationships/oleObject" Target="embeddings/Microsoft_Excel_97-2003_Worksheet9.xls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447C99-2D3E-405F-B7E4-3249C6E9BD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104</TotalTime>
  <Pages>1</Pages>
  <Words>3209</Words>
  <Characters>18294</Characters>
  <Application>Microsoft Office Word</Application>
  <DocSecurity>0</DocSecurity>
  <Lines>152</Lines>
  <Paragraphs>42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21461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t</cp:lastModifiedBy>
  <cp:revision>12</cp:revision>
  <cp:lastPrinted>2014-04-01T10:18:00Z</cp:lastPrinted>
  <dcterms:created xsi:type="dcterms:W3CDTF">2014-04-01T08:39:00Z</dcterms:created>
  <dcterms:modified xsi:type="dcterms:W3CDTF">2014-04-01T10:18:00Z</dcterms:modified>
</cp:coreProperties>
</file>