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936967" w:rsidRDefault="00936967">
      <w:pPr>
        <w:rPr>
          <w:rFonts w:ascii="Arial" w:hAnsi="Arial" w:cs="Arial"/>
          <w:b/>
          <w:sz w:val="22"/>
          <w:szCs w:val="22"/>
        </w:rPr>
      </w:pPr>
      <w:r w:rsidRPr="00936967">
        <w:rPr>
          <w:rFonts w:ascii="Arial" w:hAnsi="Arial" w:cs="Arial"/>
          <w:b/>
          <w:sz w:val="22"/>
          <w:szCs w:val="22"/>
        </w:rPr>
        <w:t>I. VŠEOBECNÉ INFORMÁCIE</w:t>
      </w:r>
    </w:p>
    <w:p w:rsidR="00936967" w:rsidRPr="00936967" w:rsidRDefault="00936967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D36D54" w:rsidRPr="00D36D54" w:rsidTr="00D36D54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36D54" w:rsidRPr="00D36D54" w:rsidRDefault="00D36D54" w:rsidP="00D36D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6D54">
              <w:rPr>
                <w:rFonts w:ascii="Arial" w:hAnsi="Arial" w:cs="Arial"/>
                <w:b/>
                <w:sz w:val="22"/>
                <w:szCs w:val="22"/>
              </w:rPr>
              <w:t>1.Základné informácie o účtovnej jednotke:</w:t>
            </w:r>
          </w:p>
        </w:tc>
      </w:tr>
      <w:tr w:rsidR="00D36D54" w:rsidRPr="0093379F" w:rsidTr="00D36D5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36D54" w:rsidRPr="0093379F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14074B" w:rsidP="009B31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 xml:space="preserve">INSINI </w:t>
            </w:r>
            <w:proofErr w:type="spellStart"/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Media</w:t>
            </w:r>
            <w:proofErr w:type="spellEnd"/>
            <w:r w:rsidR="009B310E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 xml:space="preserve">, </w:t>
            </w:r>
            <w:r w:rsidR="00D36D54" w:rsidRPr="005C44A2"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s. r. o.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14074B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Gr</w:t>
            </w:r>
            <w:r>
              <w:rPr>
                <w:rStyle w:val="ra"/>
                <w:rFonts w:ascii="Calibri" w:eastAsiaTheme="majorEastAsia" w:hAnsi="Calibri" w:cs="Arial"/>
                <w:sz w:val="22"/>
                <w:szCs w:val="22"/>
              </w:rPr>
              <w:t>ö</w:t>
            </w:r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>sslingova</w:t>
            </w:r>
            <w:proofErr w:type="spellEnd"/>
            <w:r>
              <w:rPr>
                <w:rStyle w:val="ra"/>
                <w:rFonts w:ascii="Arial" w:eastAsiaTheme="majorEastAsia" w:hAnsi="Arial" w:cs="Arial"/>
                <w:sz w:val="22"/>
                <w:szCs w:val="22"/>
              </w:rPr>
              <w:t xml:space="preserve"> 6-8, 811 09 Bratislava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D54" w:rsidRPr="005C44A2" w:rsidRDefault="0014074B" w:rsidP="001407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="00A028D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03</w:t>
            </w:r>
            <w:r w:rsidR="00A028DD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D36D54" w:rsidRPr="005C44A2" w:rsidTr="00D36D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D36D54" w:rsidP="00D36D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4A2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36D54" w:rsidRPr="005C44A2" w:rsidRDefault="009B310E" w:rsidP="001407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4074B">
              <w:rPr>
                <w:rFonts w:ascii="Arial" w:hAnsi="Arial" w:cs="Arial"/>
                <w:sz w:val="22"/>
                <w:szCs w:val="22"/>
              </w:rPr>
              <w:t>9</w:t>
            </w:r>
            <w:r w:rsidR="00A028DD">
              <w:rPr>
                <w:rFonts w:ascii="Arial" w:hAnsi="Arial" w:cs="Arial"/>
                <w:sz w:val="22"/>
                <w:szCs w:val="22"/>
              </w:rPr>
              <w:t>.</w:t>
            </w:r>
            <w:r w:rsidR="0014074B">
              <w:rPr>
                <w:rFonts w:ascii="Arial" w:hAnsi="Arial" w:cs="Arial"/>
                <w:sz w:val="22"/>
                <w:szCs w:val="22"/>
              </w:rPr>
              <w:t>03</w:t>
            </w:r>
            <w:r w:rsidR="00A028DD">
              <w:rPr>
                <w:rFonts w:ascii="Arial" w:hAnsi="Arial" w:cs="Arial"/>
                <w:sz w:val="22"/>
                <w:szCs w:val="22"/>
              </w:rPr>
              <w:t>.20</w:t>
            </w:r>
            <w:r w:rsidR="0014074B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</w:tbl>
    <w:p w:rsidR="00D36D54" w:rsidRPr="0093379F" w:rsidRDefault="00D36D54" w:rsidP="00D36D5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36D54" w:rsidRPr="00D36D54" w:rsidRDefault="00D36D54" w:rsidP="00D36D54">
      <w:pPr>
        <w:jc w:val="both"/>
        <w:rPr>
          <w:rFonts w:ascii="Arial" w:hAnsi="Arial" w:cs="Arial"/>
          <w:sz w:val="22"/>
          <w:szCs w:val="22"/>
        </w:rPr>
      </w:pPr>
      <w:r w:rsidRPr="00D36D54">
        <w:rPr>
          <w:rFonts w:ascii="Arial" w:hAnsi="Arial" w:cs="Arial"/>
          <w:sz w:val="22"/>
          <w:szCs w:val="22"/>
        </w:rPr>
        <w:t>Opis hospodárskej činnosti účtovnej jednotky:</w:t>
      </w:r>
    </w:p>
    <w:p w:rsidR="00A028DD" w:rsidRDefault="00A028DD" w:rsidP="00D36D5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36D54" w:rsidRDefault="00D36D54" w:rsidP="00D36D5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14074B">
        <w:rPr>
          <w:rFonts w:ascii="Arial" w:hAnsi="Arial" w:cs="Arial"/>
          <w:sz w:val="22"/>
          <w:szCs w:val="22"/>
        </w:rPr>
        <w:t>vydavateľská činnosť</w:t>
      </w:r>
      <w:r>
        <w:rPr>
          <w:rFonts w:ascii="Arial" w:hAnsi="Arial" w:cs="Arial"/>
          <w:sz w:val="22"/>
          <w:szCs w:val="22"/>
        </w:rPr>
        <w:t>,</w:t>
      </w:r>
    </w:p>
    <w:p w:rsid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D36D54" w:rsidRPr="00D36D54" w:rsidRDefault="00D36D54" w:rsidP="00D36D5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Pr="00D36D54">
        <w:rPr>
          <w:rFonts w:ascii="Arial" w:hAnsi="Arial" w:cs="Arial"/>
          <w:b/>
          <w:sz w:val="22"/>
          <w:szCs w:val="22"/>
        </w:rPr>
        <w:t>Informácie o počte zamestnancov</w:t>
      </w:r>
    </w:p>
    <w:p w:rsidR="00D36D54" w:rsidRDefault="0014074B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Spoločnosť nezamestnáva žiadnych zamestnancov.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3.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Neobmedzené ručenie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Spoločnosť nie je neobmedzene ručiacim spoločníkom v iných spoločnostiach podľa § 56 ods. 5 Obchodného zákonníka.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4.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Právny dôvod zostavenia účtovnej závierky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Účtovná závierka Spoločnosti k 31. decembru 2013 je zostavená ako riadna účtovná závierka podľa § 17 ods. 6 zákona NR SR č. 431/2002 Z. z. o účtovníctve, za účtovné obdobie od 01. januára 2013 do 31. decembra 2013.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5.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Dátum schválenia účtovnej závierky za bezprostredne predchádzajúce účtovné obdobie príslušným orgánom účtovnej jednotky:</w:t>
      </w:r>
    </w:p>
    <w:p w:rsidR="00D36D54" w:rsidRPr="00D36D54" w:rsidRDefault="00D36D54" w:rsidP="00D36D54">
      <w:pPr>
        <w:jc w:val="both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 w:cs="Arial"/>
          <w:bCs/>
          <w:iCs/>
          <w:sz w:val="17"/>
          <w:szCs w:val="28"/>
          <w:lang w:eastAsia="en-US"/>
        </w:rPr>
        <w:t xml:space="preserve">Účtovná závierka za bezprostredne predchádzajúce účtovné obdobie bola schválená dňa </w:t>
      </w:r>
      <w:r w:rsidR="009663C2">
        <w:rPr>
          <w:rFonts w:ascii="Verdana" w:hAnsi="Verdana" w:cs="Arial"/>
          <w:bCs/>
          <w:iCs/>
          <w:sz w:val="17"/>
          <w:szCs w:val="28"/>
          <w:lang w:eastAsia="en-US"/>
        </w:rPr>
        <w:t>16.2.2013</w:t>
      </w:r>
      <w:r w:rsidRPr="00D36D54">
        <w:rPr>
          <w:rFonts w:ascii="Verdana" w:hAnsi="Verdana" w:cs="Arial"/>
          <w:bCs/>
          <w:iCs/>
          <w:sz w:val="17"/>
          <w:szCs w:val="28"/>
          <w:lang w:eastAsia="en-US"/>
        </w:rPr>
        <w:t>.</w:t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br w:type="page"/>
      </w:r>
      <w:r w:rsidR="00936967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6. 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Členovia orgánov spoločnosti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D36D54" w:rsidRPr="00D36D54" w:rsidTr="00D36D54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bookmarkStart w:id="0" w:name="OLE_LINK1"/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Meno</w:t>
            </w:r>
          </w:p>
        </w:tc>
      </w:tr>
      <w:tr w:rsidR="00D36D54" w:rsidRPr="00D36D54" w:rsidTr="00D36D54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D36D54" w:rsidTr="00D36D54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D36D54" w:rsidRPr="00D36D54" w:rsidRDefault="00D36D54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D36D54" w:rsidRPr="00D36D54" w:rsidRDefault="00AB534C" w:rsidP="00D36D54">
            <w:pPr>
              <w:jc w:val="both"/>
              <w:rPr>
                <w:rFonts w:ascii="Verdana" w:hAnsi="Verdana"/>
                <w:snapToGrid w:val="0"/>
                <w:sz w:val="15"/>
                <w:szCs w:val="20"/>
                <w:highlight w:val="yellow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 xml:space="preserve">Patrícia </w:t>
            </w:r>
            <w:proofErr w:type="spellStart"/>
            <w:r>
              <w:rPr>
                <w:rFonts w:ascii="Verdana" w:hAnsi="Verdana"/>
                <w:snapToGrid w:val="0"/>
                <w:sz w:val="15"/>
                <w:szCs w:val="20"/>
              </w:rPr>
              <w:t>Vitteková</w:t>
            </w:r>
            <w:proofErr w:type="spellEnd"/>
          </w:p>
        </w:tc>
      </w:tr>
      <w:bookmarkEnd w:id="0"/>
    </w:tbl>
    <w:p w:rsidR="00D36D54" w:rsidRPr="00D36D54" w:rsidRDefault="00D36D54" w:rsidP="00D36D54">
      <w:pPr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7.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Štruktúra spoločníkov a akcionárov a ich podiel na základnom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1" w:name="_MON_1389597090"/>
    <w:bookmarkStart w:id="2" w:name="_MON_1389596630"/>
    <w:bookmarkStart w:id="3" w:name="_MON_1389596823"/>
    <w:bookmarkEnd w:id="1"/>
    <w:bookmarkEnd w:id="2"/>
    <w:bookmarkEnd w:id="3"/>
    <w:bookmarkStart w:id="4" w:name="_MON_1389597047"/>
    <w:bookmarkEnd w:id="4"/>
    <w:p w:rsidR="00D36D54" w:rsidRPr="00D36D54" w:rsidRDefault="00AB534C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162" w:dyaOrig="2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131.25pt" o:ole="">
            <v:imagedata r:id="rId9" o:title=""/>
            <w10:bordertop type="single" width="4"/>
            <w10:borderleft type="single" width="4"/>
          </v:shape>
          <o:OLEObject Type="Embed" ProgID="Excel.Sheet.8" ShapeID="_x0000_i1025" DrawAspect="Content" ObjectID="_1457860072" r:id="rId10"/>
        </w:object>
      </w:r>
    </w:p>
    <w:p w:rsidR="00D36D54" w:rsidRPr="00D36D54" w:rsidRDefault="00936967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8. </w:t>
      </w:r>
      <w:r w:rsidR="00D36D54"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Konsolidovaná účtovná závierka</w:t>
      </w:r>
    </w:p>
    <w:p w:rsidR="00D36D54" w:rsidRPr="00D36D54" w:rsidRDefault="00D36D54" w:rsidP="00D36D54">
      <w:pPr>
        <w:jc w:val="both"/>
        <w:rPr>
          <w:rFonts w:ascii="Verdana" w:hAnsi="Verdana"/>
          <w:b/>
          <w:sz w:val="20"/>
          <w:szCs w:val="20"/>
          <w:lang w:eastAsia="en-US"/>
        </w:rPr>
      </w:pPr>
    </w:p>
    <w:p w:rsidR="00D36D54" w:rsidRDefault="009663C2" w:rsidP="00936967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Nie je.</w:t>
      </w:r>
    </w:p>
    <w:p w:rsidR="00936967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936967" w:rsidRPr="00D36D54" w:rsidRDefault="00936967" w:rsidP="00936967">
      <w:pPr>
        <w:jc w:val="both"/>
        <w:rPr>
          <w:rFonts w:ascii="Verdana" w:hAnsi="Verdana"/>
          <w:sz w:val="17"/>
          <w:szCs w:val="20"/>
          <w:highlight w:val="yellow"/>
          <w:lang w:eastAsia="en-US"/>
        </w:rPr>
      </w:pPr>
    </w:p>
    <w:p w:rsidR="00D36D54" w:rsidRPr="00936967" w:rsidRDefault="00D36D54" w:rsidP="00936967">
      <w:pPr>
        <w:pStyle w:val="Odsekzoznamu"/>
        <w:keepNext/>
        <w:numPr>
          <w:ilvl w:val="0"/>
          <w:numId w:val="39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bookmarkStart w:id="5" w:name="_Ref150575427"/>
      <w:r w:rsidRPr="00936967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POUŽITÉ ÚČTOVNÉ ZÁSADY A ÚČTOVNÉ METÓDY</w:t>
      </w:r>
      <w:bookmarkEnd w:id="5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Účtovná závierka za rok 201</w:t>
      </w:r>
      <w:r w:rsidR="00936967">
        <w:rPr>
          <w:rFonts w:ascii="Verdana" w:hAnsi="Verdana"/>
          <w:sz w:val="17"/>
          <w:szCs w:val="20"/>
          <w:lang w:eastAsia="en-US"/>
        </w:rPr>
        <w:t>3</w:t>
      </w:r>
      <w:r w:rsidRPr="00D36D54">
        <w:rPr>
          <w:rFonts w:ascii="Verdana" w:hAnsi="Verdana"/>
          <w:sz w:val="17"/>
          <w:szCs w:val="20"/>
          <w:lang w:eastAsia="en-US"/>
        </w:rPr>
        <w:t xml:space="preserve"> bola spracovaná za predpokladu nepretržitého pokračovania činnosti.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Moment zaúčtovania výnosov – výnosy sa účtujú pri splnení dodacích podmienok, nakoľko v tomto okamihu prechádzajú na odberateľa významné riziká a vlastnícke práva.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D36D54" w:rsidRPr="00D36D54" w:rsidRDefault="00D36D54" w:rsidP="00D36D54">
      <w:pPr>
        <w:tabs>
          <w:tab w:val="num" w:pos="540"/>
        </w:tabs>
        <w:ind w:left="540" w:hanging="540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9"/>
        </w:numPr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bookmarkStart w:id="6" w:name="_Ref150575436"/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Spôsob ocenenia jednotlivých zložiek majetku a záväzkov – prvé ocenenie</w:t>
      </w:r>
      <w:bookmarkEnd w:id="6"/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obstaraní majetku sa uplatňuje princíp obstarávacích cien (t. j. historických cien). Ocenenie jednotlivých položiek majetku a záväzkov je takéto: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prenajímaný formou finančného prenájmu sa v súvahe vykazuje ako dlhodobé iné pohľadávky (r. 045 súvahy) a krátkodobá časť v krátkodobých iných pohľadávkach (r. 054 súvahy) vo výške istiny (celková suma dohodnutých platieb znížená o nerealizované finančné výnosy). Nerealizované finančné výnosy, ktoré predstavujú rozdiel medzi celkovou sumou dohodnutých platieb a istinou, sa účtujú vo výkaze ziskov a strát počas doby trvania prenájmu použitím metódy efektívnej úrokovej miery.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kúpou: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a prírastku odchýlky na súčte stavu a prírastku zásob.</w:t>
      </w:r>
    </w:p>
    <w:p w:rsidR="00D36D54" w:rsidRPr="00D36D54" w:rsidRDefault="00D36D54" w:rsidP="00D36D54">
      <w:pPr>
        <w:numPr>
          <w:ilvl w:val="0"/>
          <w:numId w:val="12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Nakupovaný tovar – obstarávacou cenou. Pri úbytku rovnakého druhu zásob sa používa metóda váženého aritmetického priemeru. Do vedľajších nákladov patrí prepravné, clo a provízie.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vytvorené vlastnou činnosťou:</w:t>
      </w:r>
    </w:p>
    <w:p w:rsidR="00D36D54" w:rsidRPr="00D36D54" w:rsidRDefault="00D36D54" w:rsidP="00D36D54">
      <w:pPr>
        <w:numPr>
          <w:ilvl w:val="0"/>
          <w:numId w:val="13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Zákazková výroba – v zmluvách o zákazkách sa určujú podmienky a vzťahy jednotlivých zmlúv, ktoré sa uzatvárajú vo fixných cenách alebo v skutočných nákladoch plus fixná marža.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napríklad správna réžia, náklady na výskum a vývoj, ktoré sa dajú priradiť k zákazke odo dňa zabezpečenia zmluvy až po jej úplné splnenie.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 xml:space="preserve">Na účely účtovania o zákazke sa zostavuje jej rozpočet. Ak sa z uskutočnenia zákazky očakáva strata, pretože rozpočtované náklady na zákazku sú vyššie ako rozpočtované výnosy zo zákazky, zohľadní sa táto strata v účtovnom období, v ktorom sa zákazka začala uskutočňovať, a to vytvorením opravnej položky (do výšky aktivovaných zásob) a rezervy (vo výške straty nad výšku aktivovaných zásob). </w:t>
      </w:r>
    </w:p>
    <w:p w:rsidR="00D36D54" w:rsidRPr="00936967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936967">
        <w:rPr>
          <w:rFonts w:ascii="Verdana" w:hAnsi="Verdana"/>
          <w:sz w:val="17"/>
          <w:szCs w:val="20"/>
          <w:lang w:eastAsia="en-US"/>
        </w:rPr>
        <w:t>Výnosy zo zákazky sa účtujú podľa metódy percenta dokončenia zákazky bez ohľadu na to, či doteraz uskutočnené práce už boli fakturované a v akej výške. Percento dokončenia zákazky sa zisťuje ako pomer skutočne vynaložených nákladov na zákazku k celkovým rozpočtovaným nákladom na zákazku.</w:t>
      </w:r>
    </w:p>
    <w:p w:rsidR="00936967" w:rsidRPr="00D36D54" w:rsidRDefault="00936967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Pohľadávky: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alebo bezodplatnom nadobudnutí – menovitou hodnotou,</w:t>
      </w:r>
    </w:p>
    <w:p w:rsidR="00D36D54" w:rsidRPr="00D36D54" w:rsidRDefault="00D36D54" w:rsidP="00D36D54">
      <w:pPr>
        <w:numPr>
          <w:ilvl w:val="0"/>
          <w:numId w:val="14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odplatnom nadobudnutí (postúpení) alebo nadobudnutí vkladom do základného imania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Pri dlhodobých pohľadávkach a dlhodobých pôžičkách sa uvádza opravná položka v stĺpci korekcia, čím sa upravuje hodnota tejto pohľadávky a pôžičky na jej súčasnú hodnotu, napríklad metódou efektívnej úrokovej miery. 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aktív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Záväzky: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5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Rezervy – v očakávanej výške záväzku alebo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poistnomatematickými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metódami.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Dlhopisy, pôžičky, úvery: 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ich vzniku – menovitou hodnotou,</w:t>
      </w:r>
    </w:p>
    <w:p w:rsidR="00D36D54" w:rsidRPr="00D36D54" w:rsidRDefault="00D36D54" w:rsidP="00D36D54">
      <w:pPr>
        <w:numPr>
          <w:ilvl w:val="0"/>
          <w:numId w:val="16"/>
        </w:num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pri prevzatí – obstarávacou cenou.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Úroky z dlhopisov, pôžičiek a úverov sa účtujú do obdobia, s ktorým časovo a vecne súvisia.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Časové rozlíšenie na strane pasív súvahy – očakávanou menovitou hodnotou.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– nakúpené deriváty sa oceňujú obstarávacou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Prenajatý majetok a majetok obstaraný na základe zmluvy o kúpe prenajatej veci uzatvorenej do 31. decembra 2003 sa v súvahe nevykazuje, je vedený na podsúvahovom účte v obstarávacej cene. Akontácia pri finančnom lízingu sa časovo rozlišuje a rozpúšťa do nákladov počas doby prenájmu.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obstaraný v privatizácii – zostatkovou cenou z účtovníctva privatizovaného subjektu. Rozdiel medzi vydraženou cenou a účtovnou hodnotou majetku sa zaúčtoval na účet 097 – Opravná položka k nadobudnutému majetku, ktorá sa odpisuje do nákladov pravidelne počas 15 rokov od nadobudnutia majetku.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7" w:name="_Ref150575442"/>
      <w:r w:rsidRPr="00D36D54">
        <w:rPr>
          <w:rFonts w:ascii="Verdana" w:hAnsi="Verdana"/>
          <w:sz w:val="17"/>
          <w:szCs w:val="20"/>
          <w:lang w:eastAsia="en-US"/>
        </w:rPr>
        <w:t>Emisné kvóty – pridelené emisné kvóty sa účtujú do krátkodobého finančného majetku so súvzťažným zápisom v prospech výnosov budúcich období, a to v ocenení reprodukčnou obstarávacou cenou v deň ich pripísania na účet kvót v registri. Zúčtovanie výnosov budúcich období sa účtuje v prospech ostatných výnosov z hospodárskej činnosti v časovej a vecnej súvislosti s použitím bezodplatne pridelených emisných kvót.</w:t>
      </w:r>
      <w:bookmarkEnd w:id="7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Daň z príjmov splatná – podľa slovenského zákona o daniach z príjmov sa splatné dane z príjmov určujú z účtovného zisku pri sadzbe </w:t>
      </w:r>
      <w:r w:rsidR="00AB534C" w:rsidRPr="00AB534C">
        <w:rPr>
          <w:rFonts w:ascii="Verdana" w:hAnsi="Verdana"/>
          <w:sz w:val="17"/>
          <w:szCs w:val="20"/>
          <w:lang w:eastAsia="en-US"/>
        </w:rPr>
        <w:t>23</w:t>
      </w:r>
      <w:r w:rsidRPr="00AB534C">
        <w:rPr>
          <w:rFonts w:ascii="Verdana" w:hAnsi="Verdana"/>
          <w:sz w:val="17"/>
          <w:szCs w:val="20"/>
          <w:lang w:eastAsia="en-US"/>
        </w:rPr>
        <w:t xml:space="preserve"> </w:t>
      </w:r>
      <w:r w:rsidRPr="00D36D54">
        <w:rPr>
          <w:rFonts w:ascii="Verdana" w:hAnsi="Verdana"/>
          <w:sz w:val="17"/>
          <w:szCs w:val="20"/>
          <w:lang w:eastAsia="en-US"/>
        </w:rPr>
        <w:t>% po úpravách o niektoré položky na daňové účely.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AB534C" w:rsidRPr="00AB534C">
        <w:rPr>
          <w:rFonts w:ascii="Verdana" w:hAnsi="Verdana"/>
          <w:sz w:val="17"/>
          <w:szCs w:val="20"/>
          <w:lang w:eastAsia="en-US"/>
        </w:rPr>
        <w:t>23</w:t>
      </w:r>
      <w:r w:rsidRPr="00AB534C">
        <w:rPr>
          <w:rFonts w:ascii="Verdana" w:hAnsi="Verdana"/>
          <w:sz w:val="17"/>
          <w:szCs w:val="20"/>
          <w:lang w:eastAsia="en-US"/>
        </w:rPr>
        <w:t xml:space="preserve"> </w:t>
      </w:r>
      <w:r w:rsidRPr="00D36D54">
        <w:rPr>
          <w:rFonts w:ascii="Verdana" w:hAnsi="Verdana"/>
          <w:sz w:val="17"/>
          <w:szCs w:val="20"/>
          <w:lang w:eastAsia="en-US"/>
        </w:rPr>
        <w:t>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0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 Uvedením do užívania sa rozumie aj vydanie povolenia na predčasné užívanie stavby alebo rozhodnutia o dočasnom užívaní stavby na skúšobnú prevádzku.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524152" w:rsidRDefault="00524152" w:rsidP="00524152">
      <w:pPr>
        <w:pStyle w:val="Nadpis2"/>
        <w:tabs>
          <w:tab w:val="num" w:pos="539"/>
        </w:tabs>
        <w:ind w:left="539" w:hanging="539"/>
        <w:jc w:val="both"/>
        <w:rPr>
          <w:rFonts w:ascii="Verdana" w:hAnsi="Verdana" w:cs="Arial"/>
          <w:iCs/>
          <w:sz w:val="17"/>
          <w:szCs w:val="28"/>
          <w:lang w:eastAsia="en-US"/>
        </w:rPr>
      </w:pPr>
      <w:bookmarkStart w:id="8" w:name="_Ref150575465"/>
      <w:r w:rsidRPr="00524152">
        <w:rPr>
          <w:rFonts w:ascii="Verdana" w:hAnsi="Verdana" w:cs="Arial"/>
          <w:bCs w:val="0"/>
          <w:iCs/>
          <w:sz w:val="17"/>
          <w:szCs w:val="28"/>
          <w:lang w:eastAsia="en-US"/>
        </w:rPr>
        <w:t>10.</w:t>
      </w:r>
      <w:r w:rsidR="00D36D54" w:rsidRPr="00524152">
        <w:rPr>
          <w:rFonts w:ascii="Verdana" w:hAnsi="Verdana" w:cs="Arial"/>
          <w:iCs/>
          <w:sz w:val="17"/>
          <w:szCs w:val="28"/>
          <w:lang w:eastAsia="en-US"/>
        </w:rPr>
        <w:t>Spôsob ocenenia jednotlivých zložiek majetku a záväzkov – nasledujúce ocenenie</w:t>
      </w:r>
      <w:bookmarkEnd w:id="8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bookmarkStart w:id="9" w:name="_Ref150575467"/>
      <w:r w:rsidRPr="00D36D54">
        <w:rPr>
          <w:rFonts w:ascii="Verdana" w:hAnsi="Verdana"/>
          <w:sz w:val="17"/>
          <w:szCs w:val="20"/>
          <w:lang w:eastAsia="en-US"/>
        </w:rPr>
        <w:t>Predpokladané riziká, straty a zníženia hodnoty, ktoré sa týkajú majetku a záväzkov, sa vyjadrujú prostredníctvom rezerv, opravných položiek a odpisov.</w:t>
      </w:r>
      <w:bookmarkEnd w:id="9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F37C86" w:rsidRDefault="00D36D54" w:rsidP="00F37C86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Rezervy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 očakávanej výške záväzku. </w:t>
      </w:r>
    </w:p>
    <w:p w:rsidR="00D36D54" w:rsidRPr="00D36D54" w:rsidRDefault="00D36D54" w:rsidP="00F37C86">
      <w:pPr>
        <w:numPr>
          <w:ilvl w:val="0"/>
          <w:numId w:val="17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>Opravné položky</w:t>
      </w:r>
      <w:r w:rsidRPr="00D36D54">
        <w:rPr>
          <w:rFonts w:ascii="Verdana" w:hAnsi="Verdana"/>
          <w:snapToGrid w:val="0"/>
          <w:sz w:val="17"/>
          <w:szCs w:val="20"/>
        </w:rPr>
        <w:t xml:space="preserve"> – účtujú sa v sume opodstatneného predpokladu zníženia hodnoty majetku oproti jeho oceneniu v účtovníctve, a to: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k zastaveným investíciám na základe zhodnotenia ich účtovnej hodnoty vo vzťahu k možnej realizovateľnej cene, 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podielom na základnom imaní v obchodných spoločnostiach na základe metódy vlastného imania,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zásobám bez obratu nad 360 dní vo výške 80 % podľa posúdenia ich využiteľnosti v spoločnosti alebo možného odpredaja,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zásobám materiálu, nedokončenej výroby a výrobkov, ktorých trhová cena klesla pod obstarávaciu cenu, resp. pod ocenenie vlastnými nákladmi podľa prepočtu podielu obstarávacej ceny alebo vlastných nákladov na možnej trhovej cene,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 nedokončenej výrobe predstavujúcej zákazkovú výrobu v súvislosti s vyjadrením strát zákazky,</w:t>
      </w:r>
    </w:p>
    <w:p w:rsidR="00D36D54" w:rsidRPr="00D36D54" w:rsidRDefault="00D36D54" w:rsidP="00D36D54">
      <w:pPr>
        <w:numPr>
          <w:ilvl w:val="1"/>
          <w:numId w:val="20"/>
        </w:numPr>
        <w:tabs>
          <w:tab w:val="num" w:pos="1260"/>
        </w:tabs>
        <w:ind w:left="126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k pohľadávkam po lehote splatnosti nad 360 dní 100 %, nad 180 dní 70 %, z ostatných pohľadávok po lehote splatnosti 5 %.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19"/>
        </w:numPr>
        <w:tabs>
          <w:tab w:val="num" w:pos="900"/>
        </w:tabs>
        <w:ind w:left="900" w:hanging="360"/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t xml:space="preserve">Plán odpisov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Priemerné životnosti podľa plánu odpisov sú:</w:t>
      </w:r>
    </w:p>
    <w:p w:rsidR="00D36D54" w:rsidRPr="00D36D54" w:rsidRDefault="00D36D54" w:rsidP="00D36D54">
      <w:pPr>
        <w:ind w:left="539"/>
        <w:jc w:val="both"/>
        <w:rPr>
          <w:rFonts w:ascii="Verdana" w:hAnsi="Verdana"/>
          <w:b/>
          <w:snapToGrid w:val="0"/>
          <w:sz w:val="17"/>
          <w:szCs w:val="20"/>
        </w:rPr>
      </w:pPr>
    </w:p>
    <w:tbl>
      <w:tblPr>
        <w:tblpPr w:leftFromText="141" w:rightFromText="141" w:vertAnchor="text" w:tblpX="968" w:tblpY="1"/>
        <w:tblOverlap w:val="never"/>
        <w:tblW w:w="81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2268"/>
        <w:gridCol w:w="2693"/>
      </w:tblGrid>
      <w:tr w:rsidR="00D36D54" w:rsidRPr="00D36D54" w:rsidTr="00D256E1">
        <w:trPr>
          <w:trHeight w:val="257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Ročná sadzba odpisov</w:t>
            </w:r>
          </w:p>
        </w:tc>
      </w:tr>
      <w:tr w:rsidR="00D36D54" w:rsidRPr="00D36D54" w:rsidTr="00D256E1">
        <w:trPr>
          <w:trHeight w:val="257"/>
        </w:trPr>
        <w:tc>
          <w:tcPr>
            <w:tcW w:w="32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D36D54" w:rsidRPr="00524152" w:rsidTr="00D256E1">
        <w:trPr>
          <w:trHeight w:val="246"/>
        </w:trPr>
        <w:tc>
          <w:tcPr>
            <w:tcW w:w="32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5,0 %</w:t>
            </w:r>
          </w:p>
        </w:tc>
      </w:tr>
      <w:tr w:rsidR="00D36D54" w:rsidRPr="00524152" w:rsidTr="00D256E1">
        <w:trPr>
          <w:trHeight w:val="261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7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  <w:tr w:rsidR="00D36D54" w:rsidRPr="00524152" w:rsidTr="00D256E1">
        <w:trPr>
          <w:trHeight w:val="255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napToGrid w:val="0"/>
                <w:sz w:val="15"/>
                <w:szCs w:val="15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16,7 %</w:t>
            </w:r>
          </w:p>
        </w:tc>
      </w:tr>
      <w:tr w:rsidR="00D36D54" w:rsidRPr="00524152" w:rsidTr="00D256E1">
        <w:trPr>
          <w:trHeight w:val="259"/>
        </w:trPr>
        <w:tc>
          <w:tcPr>
            <w:tcW w:w="32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both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6D54" w:rsidRPr="00524152" w:rsidRDefault="00D36D54" w:rsidP="00D256E1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524152">
              <w:rPr>
                <w:rFonts w:ascii="Verdana" w:hAnsi="Verdana"/>
                <w:sz w:val="15"/>
                <w:szCs w:val="15"/>
                <w:lang w:eastAsia="en-US"/>
              </w:rPr>
              <w:t>25,0 %</w:t>
            </w:r>
          </w:p>
        </w:tc>
      </w:tr>
    </w:tbl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524152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sz w:val="17"/>
          <w:szCs w:val="20"/>
        </w:rPr>
      </w:pPr>
      <w:proofErr w:type="spellStart"/>
      <w:r w:rsidRPr="00524152">
        <w:rPr>
          <w:rFonts w:ascii="Verdana" w:hAnsi="Verdana"/>
          <w:snapToGrid w:val="0"/>
          <w:sz w:val="17"/>
          <w:szCs w:val="20"/>
        </w:rPr>
        <w:t>Spoloč</w:t>
      </w:r>
      <w:proofErr w:type="spellEnd"/>
      <w:r w:rsidRPr="00524152">
        <w:rPr>
          <w:rFonts w:ascii="Verdana" w:hAnsi="Verdana"/>
          <w:snapToGrid w:val="0"/>
          <w:sz w:val="17"/>
          <w:szCs w:val="20"/>
        </w:rPr>
        <w:t xml:space="preserve"> S</w:t>
      </w:r>
      <w:r w:rsidRPr="00D36D54">
        <w:rPr>
          <w:rFonts w:ascii="Verdana" w:hAnsi="Verdana"/>
          <w:snapToGrid w:val="0"/>
          <w:sz w:val="17"/>
          <w:szCs w:val="20"/>
        </w:rPr>
        <w:t xml:space="preserve">poločnosť uplatňuje v niektorých prípadoch </w:t>
      </w:r>
      <w:proofErr w:type="spellStart"/>
      <w:r w:rsidRPr="00D36D54">
        <w:rPr>
          <w:rFonts w:ascii="Verdana" w:hAnsi="Verdana"/>
          <w:snapToGrid w:val="0"/>
          <w:sz w:val="17"/>
          <w:szCs w:val="20"/>
        </w:rPr>
        <w:t>komponentný</w:t>
      </w:r>
      <w:proofErr w:type="spellEnd"/>
      <w:r w:rsidRPr="00D36D54">
        <w:rPr>
          <w:rFonts w:ascii="Verdana" w:hAnsi="Verdana"/>
          <w:snapToGrid w:val="0"/>
          <w:sz w:val="17"/>
          <w:szCs w:val="20"/>
        </w:rPr>
        <w:t xml:space="preserve"> spôsob odpisovania, t.j. pri tvorbe odpisového plánu sa zohľadnila rôzna doba použiteľnosti a rôzny priebeh opotrebenia jednotlivých oddeliteľných súčastí dlhodobého majetku. </w:t>
      </w:r>
    </w:p>
    <w:p w:rsidR="00D36D54" w:rsidRPr="00D36D54" w:rsidRDefault="00D36D54" w:rsidP="00D36D54">
      <w:pPr>
        <w:ind w:left="900"/>
        <w:jc w:val="both"/>
        <w:rPr>
          <w:rFonts w:ascii="Verdana" w:hAnsi="Verdana"/>
          <w:snapToGrid w:val="0"/>
          <w:color w:val="FF0000"/>
          <w:sz w:val="17"/>
          <w:szCs w:val="20"/>
        </w:rPr>
      </w:pPr>
    </w:p>
    <w:p w:rsidR="00D36D54" w:rsidRPr="00D36D54" w:rsidRDefault="00D36D54" w:rsidP="00D36D54">
      <w:pPr>
        <w:ind w:left="90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Daňové odpisy sa uplatňujú podľa sadzieb uvedených v zákone o daniach z príjmov platných pre zrýchlené</w:t>
      </w:r>
      <w:r w:rsidRPr="00D36D54">
        <w:rPr>
          <w:rFonts w:ascii="Verdana" w:hAnsi="Verdana"/>
          <w:sz w:val="17"/>
          <w:szCs w:val="20"/>
          <w:lang w:eastAsia="en-US"/>
        </w:rPr>
        <w:t xml:space="preserve"> odpisovanie.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Podiely na základnom imaní v obchodných spoločnostiach sa ponechávajú v pôvodnom ocenení. Metóda vlastného imania sa použila iba pre potrebu výpočtu opravnej položky.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ind w:left="540"/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Pri cenných papieroch držaných do splatnosti sa ich ocenenie odo dňa vyrovnania nákupu do dňa splatnosti postupne zvyšuje o úrokové výnosy (amortizované náklady).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Cenné papiere určené na obchodovanie a realizovateľné cenné papiere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Deriváty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20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Majetok a záväzky zabezpečené derivátmi sa oceňujú trhovou cenou.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numPr>
          <w:ilvl w:val="0"/>
          <w:numId w:val="21"/>
        </w:num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Emisné kvóty, s ktorými sa obchoduje na verejnom trhu a ktoré spoločnosť nadobudla za účelom ich ďalšieho predaja na verejnom trhu sa účtujú v ocenení reálnou hodnotou. Zmena reálnej hodnoty emisných kvót sa účtuje do výkazu ziskov a strát.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Prepočet údajov v cudzích menách na slovenskú menu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D36D54">
        <w:rPr>
          <w:rFonts w:ascii="Verdana" w:hAnsi="Verdana"/>
          <w:sz w:val="17"/>
          <w:szCs w:val="20"/>
          <w:lang w:eastAsia="en-US"/>
        </w:rPr>
        <w:t>vysporiadania</w:t>
      </w:r>
      <w:proofErr w:type="spellEnd"/>
      <w:r w:rsidRPr="00D36D54">
        <w:rPr>
          <w:rFonts w:ascii="Verdana" w:hAnsi="Verdana"/>
          <w:sz w:val="17"/>
          <w:szCs w:val="20"/>
          <w:lang w:eastAsia="en-US"/>
        </w:rPr>
        <w:t xml:space="preserve"> obchodu.</w:t>
      </w:r>
    </w:p>
    <w:p w:rsidR="00D36D54" w:rsidRPr="00D36D54" w:rsidRDefault="00D36D54" w:rsidP="00D36D54">
      <w:pPr>
        <w:ind w:left="567"/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ind w:left="567"/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Zmeny účtovných zásad a účtovných metód </w:t>
      </w:r>
    </w:p>
    <w:p w:rsidR="008721D3" w:rsidRDefault="008721D3" w:rsidP="008721D3">
      <w:pPr>
        <w:keepNext/>
        <w:jc w:val="both"/>
        <w:outlineLvl w:val="0"/>
        <w:rPr>
          <w:rFonts w:ascii="Verdana" w:hAnsi="Verdana"/>
          <w:sz w:val="17"/>
          <w:szCs w:val="20"/>
          <w:lang w:eastAsia="en-US"/>
        </w:rPr>
      </w:pPr>
    </w:p>
    <w:p w:rsidR="00D36D54" w:rsidRPr="008721D3" w:rsidRDefault="008721D3" w:rsidP="008721D3">
      <w:pPr>
        <w:pStyle w:val="Odsekzoznamu"/>
        <w:keepNext/>
        <w:numPr>
          <w:ilvl w:val="2"/>
          <w:numId w:val="20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8721D3">
        <w:rPr>
          <w:rFonts w:ascii="Verdana" w:hAnsi="Verdana"/>
          <w:sz w:val="17"/>
          <w:szCs w:val="20"/>
          <w:lang w:eastAsia="en-US"/>
        </w:rPr>
        <w:t>neboli</w:t>
      </w:r>
      <w:r w:rsidR="00D36D54" w:rsidRPr="008721D3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  <w:t>ÚDAJE VYKÁZANÉ NA STRANE AKTÍV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  <w:u w:val="single"/>
        </w:rPr>
      </w:pPr>
    </w:p>
    <w:p w:rsidR="00D36D54" w:rsidRPr="00D36D54" w:rsidRDefault="00D36D54" w:rsidP="00520556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Dlhodobý nehmotný a hmotný majetok (r. 003 a 011 súvahy)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bookmarkStart w:id="10" w:name="_MON_1388991626"/>
      <w:bookmarkStart w:id="11" w:name="_MON_1388991714"/>
      <w:bookmarkStart w:id="12" w:name="_MON_1388992433"/>
      <w:bookmarkStart w:id="13" w:name="_MON_1389009009"/>
      <w:bookmarkStart w:id="14" w:name="_MON_1389009428"/>
      <w:bookmarkStart w:id="15" w:name="_MON_1389009812"/>
      <w:bookmarkStart w:id="16" w:name="_MON_1389009834"/>
      <w:bookmarkStart w:id="17" w:name="_MON_1389010165"/>
      <w:bookmarkStart w:id="18" w:name="_MON_1389010389"/>
      <w:bookmarkStart w:id="19" w:name="_MON_1389077451"/>
      <w:bookmarkStart w:id="20" w:name="_MON_1389767891"/>
      <w:bookmarkStart w:id="21" w:name="_MON_1388990504"/>
      <w:bookmarkStart w:id="22" w:name="_MON_1388990529"/>
      <w:bookmarkStart w:id="23" w:name="_MON_1388990594"/>
      <w:bookmarkStart w:id="24" w:name="_MON_1388990908"/>
      <w:bookmarkStart w:id="25" w:name="_MON_1388991089"/>
      <w:bookmarkStart w:id="26" w:name="_MON_1388991299"/>
      <w:bookmarkStart w:id="27" w:name="_MON_1389767938"/>
      <w:bookmarkStart w:id="28" w:name="_MON_1389010810"/>
      <w:bookmarkStart w:id="29" w:name="_MON_138907761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AB534C" w:rsidRPr="00D36D54" w:rsidRDefault="00AB534C" w:rsidP="00AB534C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 xml:space="preserve">Pohyby na účtoch dlhodobého nehmotného majetku, oprávok, opravných položiek a zostatkovej hodnoty </w:t>
      </w:r>
    </w:p>
    <w:p w:rsidR="00AB534C" w:rsidRPr="00D36D54" w:rsidRDefault="00AB534C" w:rsidP="00AB534C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534C" w:rsidRPr="00D36D54" w:rsidRDefault="00AB534C" w:rsidP="00AB534C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30" w:name="_MON_1388991470"/>
    <w:bookmarkEnd w:id="30"/>
    <w:p w:rsidR="00AB534C" w:rsidRPr="00D36D54" w:rsidRDefault="00D47AB2" w:rsidP="00AB534C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10274" w:dyaOrig="7291">
          <v:shape id="_x0000_i1026" type="#_x0000_t75" style="width:450.75pt;height:364.5pt" o:ole="">
            <v:imagedata r:id="rId11" o:title=""/>
            <w10:bordertop type="single" width="4"/>
            <w10:borderleft type="single" width="4"/>
          </v:shape>
          <o:OLEObject Type="Embed" ProgID="Excel.Sheet.8" ShapeID="_x0000_i1026" DrawAspect="Content" ObjectID="_1457860073" r:id="rId12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headerReference w:type="default" r:id="rId13"/>
          <w:footerReference w:type="default" r:id="rId14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Pohyby na účtoch dlhodobého hmotného majetku, oprávok, opravných položiek a zostatkovej hodnoty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bookmarkStart w:id="31" w:name="_MON_1388992577"/>
      <w:bookmarkStart w:id="32" w:name="_MON_1388992763"/>
      <w:bookmarkStart w:id="33" w:name="_MON_1388993494"/>
      <w:bookmarkStart w:id="34" w:name="_MON_1388993518"/>
      <w:bookmarkStart w:id="35" w:name="_MON_1389011222"/>
      <w:bookmarkStart w:id="36" w:name="_MON_1389011443"/>
      <w:bookmarkStart w:id="37" w:name="_MON_1389077686"/>
      <w:bookmarkStart w:id="38" w:name="_MON_1389767637"/>
      <w:bookmarkStart w:id="39" w:name="_MON_1389767944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  <w:sectPr w:rsidR="00D36D54" w:rsidRPr="00D36D54" w:rsidSect="00D36D54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D36D54" w:rsidP="00A43E17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Spôsob a výška poistenia dlhodobého nehmotného a hmotného majetku</w:t>
      </w:r>
    </w:p>
    <w:p w:rsidR="00A43E17" w:rsidRDefault="00A43E17" w:rsidP="00A43E17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</w:p>
    <w:p w:rsidR="00A43E17" w:rsidRPr="00A43E17" w:rsidRDefault="00A43E17" w:rsidP="00A43E17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/>
          <w:sz w:val="17"/>
          <w:szCs w:val="20"/>
          <w:lang w:eastAsia="en-US"/>
        </w:rPr>
      </w:pPr>
      <w:r w:rsidRPr="00A43E17">
        <w:rPr>
          <w:rFonts w:ascii="Verdana" w:hAnsi="Verdana" w:cs="Arial"/>
          <w:bCs/>
          <w:sz w:val="17"/>
          <w:szCs w:val="26"/>
          <w:lang w:eastAsia="en-US"/>
        </w:rPr>
        <w:t xml:space="preserve">Nie je 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Záložné právo a obmedzenie disponovania s dlhodobým nehmotným a hmotným majetkom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Default="00705E0D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>Majetok firmy nie je nijako založený.</w:t>
      </w:r>
    </w:p>
    <w:p w:rsidR="008E6C3E" w:rsidRDefault="008E6C3E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8E6C3E" w:rsidRDefault="00B14F57" w:rsidP="00B14F57">
      <w:pPr>
        <w:tabs>
          <w:tab w:val="left" w:pos="3667"/>
        </w:tabs>
        <w:jc w:val="both"/>
        <w:rPr>
          <w:rFonts w:ascii="Verdana" w:hAnsi="Verdana"/>
          <w:sz w:val="17"/>
          <w:szCs w:val="20"/>
          <w:lang w:eastAsia="en-US"/>
        </w:rPr>
      </w:pPr>
      <w:r>
        <w:rPr>
          <w:rFonts w:ascii="Verdana" w:hAnsi="Verdana"/>
          <w:sz w:val="17"/>
          <w:szCs w:val="20"/>
          <w:lang w:eastAsia="en-US"/>
        </w:rPr>
        <w:tab/>
      </w: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Zásoby (r. 031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8E6C3E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8E6C3E">
        <w:rPr>
          <w:rFonts w:ascii="Verdana" w:hAnsi="Verdana"/>
          <w:snapToGrid w:val="0"/>
          <w:sz w:val="17"/>
          <w:szCs w:val="20"/>
        </w:rPr>
        <w:t>S</w:t>
      </w:r>
      <w:r>
        <w:rPr>
          <w:rFonts w:ascii="Verdana" w:hAnsi="Verdana"/>
          <w:snapToGrid w:val="0"/>
          <w:sz w:val="17"/>
          <w:szCs w:val="20"/>
        </w:rPr>
        <w:t xml:space="preserve">poločnosť </w:t>
      </w:r>
      <w:r w:rsidR="00705E0D">
        <w:rPr>
          <w:rFonts w:ascii="Verdana" w:hAnsi="Verdana"/>
          <w:snapToGrid w:val="0"/>
          <w:sz w:val="17"/>
          <w:szCs w:val="20"/>
        </w:rPr>
        <w:t>nemá zásoby</w:t>
      </w:r>
      <w:r>
        <w:rPr>
          <w:rFonts w:ascii="Verdana" w:hAnsi="Verdana"/>
          <w:snapToGrid w:val="0"/>
          <w:sz w:val="17"/>
          <w:szCs w:val="20"/>
        </w:rPr>
        <w:t>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Pohľadávky (r. 038 a 046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A43E17" w:rsidRDefault="00A43E17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lang w:eastAsia="en-US"/>
        </w:rPr>
      </w:pPr>
      <w:r w:rsidRPr="00A43E17">
        <w:rPr>
          <w:rFonts w:ascii="Verdana" w:hAnsi="Verdana" w:cs="Arial"/>
          <w:bCs/>
          <w:sz w:val="17"/>
          <w:szCs w:val="26"/>
          <w:lang w:eastAsia="en-US"/>
        </w:rPr>
        <w:t>Spoločnosť neeviduje žiadne pohľadávky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bookmarkStart w:id="40" w:name="_MON_1389768268"/>
      <w:bookmarkStart w:id="41" w:name="_MON_1389000367"/>
      <w:bookmarkStart w:id="42" w:name="_MON_1389000388"/>
      <w:bookmarkEnd w:id="40"/>
      <w:bookmarkEnd w:id="41"/>
      <w:bookmarkEnd w:id="42"/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Finančné účty (r. 055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Spoločnosť má finančný majetok v štruktúre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43" w:name="_MON_1389768316"/>
    <w:bookmarkStart w:id="44" w:name="_MON_1389002136"/>
    <w:bookmarkStart w:id="45" w:name="_MON_1389002251"/>
    <w:bookmarkEnd w:id="43"/>
    <w:bookmarkEnd w:id="44"/>
    <w:bookmarkEnd w:id="45"/>
    <w:bookmarkStart w:id="46" w:name="_MON_1389002272"/>
    <w:bookmarkEnd w:id="46"/>
    <w:p w:rsidR="00D36D54" w:rsidRPr="00D36D54" w:rsidRDefault="00682205" w:rsidP="0016690A">
      <w:pPr>
        <w:jc w:val="both"/>
        <w:rPr>
          <w:rFonts w:ascii="Verdana" w:hAnsi="Verdana"/>
          <w:snapToGrid w:val="0"/>
          <w:sz w:val="18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126" w:dyaOrig="2124">
          <v:shape id="_x0000_i1027" type="#_x0000_t75" style="width:451.5pt;height:106.5pt" o:ole="">
            <v:imagedata r:id="rId15" o:title=""/>
            <w10:bordertop type="single" width="4"/>
            <w10:borderleft type="single" width="4"/>
          </v:shape>
          <o:OLEObject Type="Embed" ProgID="Excel.Sheet.8" ShapeID="_x0000_i1027" DrawAspect="Content" ObjectID="_1457860074" r:id="rId16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Časové rozlíšenie (r. 061 súvahy)</w:t>
      </w:r>
    </w:p>
    <w:p w:rsidR="00D36D54" w:rsidRDefault="00682205" w:rsidP="00D36D54">
      <w:pPr>
        <w:jc w:val="both"/>
        <w:rPr>
          <w:rFonts w:ascii="Verdana" w:hAnsi="Verdana"/>
          <w:snapToGrid w:val="0"/>
          <w:sz w:val="18"/>
          <w:szCs w:val="20"/>
        </w:rPr>
      </w:pPr>
      <w:r>
        <w:rPr>
          <w:rFonts w:ascii="Verdana" w:hAnsi="Verdana"/>
          <w:snapToGrid w:val="0"/>
          <w:sz w:val="18"/>
          <w:szCs w:val="20"/>
        </w:rPr>
        <w:t xml:space="preserve"> </w:t>
      </w:r>
    </w:p>
    <w:p w:rsidR="00682205" w:rsidRDefault="00682205" w:rsidP="00D36D54">
      <w:pPr>
        <w:jc w:val="both"/>
        <w:rPr>
          <w:rFonts w:ascii="Verdana" w:hAnsi="Verdana"/>
          <w:snapToGrid w:val="0"/>
          <w:sz w:val="18"/>
          <w:szCs w:val="20"/>
        </w:rPr>
      </w:pPr>
      <w:r>
        <w:rPr>
          <w:rFonts w:ascii="Verdana" w:hAnsi="Verdana"/>
          <w:snapToGrid w:val="0"/>
          <w:sz w:val="18"/>
          <w:szCs w:val="20"/>
        </w:rPr>
        <w:t>Spoločnosť nemá.</w:t>
      </w:r>
    </w:p>
    <w:p w:rsidR="00FE22AE" w:rsidRPr="00D36D54" w:rsidRDefault="00FE22AE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ÚDAJE VYKÁZANÉ NA STRANE PASÍV SÚVAHY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 xml:space="preserve">Vlastné imanie (r. 067 súvahy)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Informácie o vlastnom imaní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Základné imanie bolo celé upísané a splatené.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Rozdelenie účtovného zisku alebo vyrovnanie straty za rok 201</w:t>
      </w:r>
      <w:r w:rsidR="0016690A" w:rsidRPr="000C3C1A">
        <w:rPr>
          <w:rFonts w:ascii="Verdana" w:hAnsi="Verdana" w:cs="Arial"/>
          <w:bCs/>
          <w:sz w:val="17"/>
          <w:szCs w:val="26"/>
          <w:u w:val="single"/>
          <w:lang w:eastAsia="en-US"/>
        </w:rPr>
        <w:t>2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47" w:name="_MON_1389768393"/>
    <w:bookmarkStart w:id="48" w:name="_MON_1389004638"/>
    <w:bookmarkEnd w:id="47"/>
    <w:bookmarkEnd w:id="48"/>
    <w:bookmarkStart w:id="49" w:name="_MON_1389004781"/>
    <w:bookmarkEnd w:id="49"/>
    <w:p w:rsidR="00D36D54" w:rsidRPr="00D36D54" w:rsidRDefault="00641BC7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269" w:dyaOrig="3550">
          <v:shape id="_x0000_i1028" type="#_x0000_t75" style="width:451.5pt;height:177.75pt" o:ole="">
            <v:imagedata r:id="rId17" o:title=""/>
            <w10:bordertop type="single" width="4"/>
            <w10:borderleft type="single" width="4"/>
          </v:shape>
          <o:OLEObject Type="Embed" ProgID="Excel.Sheet.8" ShapeID="_x0000_i1028" DrawAspect="Content" ObjectID="_1457860075" r:id="rId18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bookmarkStart w:id="50" w:name="_MON_1389768405"/>
    <w:bookmarkStart w:id="51" w:name="_MON_1389004838"/>
    <w:bookmarkStart w:id="52" w:name="_MON_1389004849"/>
    <w:bookmarkEnd w:id="50"/>
    <w:bookmarkEnd w:id="51"/>
    <w:bookmarkEnd w:id="52"/>
    <w:bookmarkStart w:id="53" w:name="_MON_1389005038"/>
    <w:bookmarkEnd w:id="53"/>
    <w:p w:rsidR="00D36D54" w:rsidRPr="00D36D54" w:rsidRDefault="00641BC7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object w:dxaOrig="9739" w:dyaOrig="3041">
          <v:shape id="_x0000_i1029" type="#_x0000_t75" style="width:450.75pt;height:152.25pt" o:ole="">
            <v:imagedata r:id="rId19" o:title=""/>
            <w10:bordertop type="single" width="4"/>
            <w10:borderleft type="single" width="4"/>
          </v:shape>
          <o:OLEObject Type="Embed" ProgID="Excel.Sheet.8" ShapeID="_x0000_i1029" DrawAspect="Content" ObjectID="_1457860076" r:id="rId20"/>
        </w:object>
      </w:r>
    </w:p>
    <w:p w:rsidR="0016690A" w:rsidRDefault="0016690A">
      <w:pPr>
        <w:rPr>
          <w:rFonts w:ascii="Verdana" w:hAnsi="Verdana" w:cs="Arial"/>
          <w:b/>
          <w:bCs/>
          <w:iCs/>
          <w:sz w:val="17"/>
          <w:szCs w:val="28"/>
          <w:lang w:eastAsia="en-US"/>
        </w:rPr>
        <w:sectPr w:rsidR="0016690A" w:rsidSect="00D30075">
          <w:footerReference w:type="default" r:id="rId21"/>
          <w:headerReference w:type="first" r:id="rId22"/>
          <w:pgSz w:w="11907" w:h="16840" w:code="9"/>
          <w:pgMar w:top="1418" w:right="1418" w:bottom="1418" w:left="1418" w:header="567" w:footer="567" w:gutter="0"/>
          <w:cols w:space="708"/>
          <w:docGrid w:linePitch="326"/>
        </w:sect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Rezervy (r. 089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BD4645" w:rsidRDefault="00BD4645" w:rsidP="00BD4645">
      <w:pPr>
        <w:pStyle w:val="Odsekzoznamu"/>
        <w:keepNext/>
        <w:numPr>
          <w:ilvl w:val="2"/>
          <w:numId w:val="20"/>
        </w:numPr>
        <w:jc w:val="both"/>
        <w:outlineLvl w:val="1"/>
        <w:rPr>
          <w:rFonts w:ascii="Verdana" w:hAnsi="Verdana"/>
          <w:snapToGrid w:val="0"/>
          <w:sz w:val="17"/>
          <w:szCs w:val="20"/>
        </w:rPr>
      </w:pPr>
      <w:bookmarkStart w:id="54" w:name="_MON_1389005097"/>
      <w:bookmarkEnd w:id="54"/>
      <w:r w:rsidRPr="00BD4645">
        <w:rPr>
          <w:rFonts w:ascii="Verdana" w:hAnsi="Verdana"/>
          <w:snapToGrid w:val="0"/>
          <w:sz w:val="17"/>
          <w:szCs w:val="20"/>
        </w:rPr>
        <w:t>Neboli</w:t>
      </w:r>
      <w:bookmarkStart w:id="55" w:name="_MON_1389768493"/>
      <w:bookmarkStart w:id="56" w:name="_MON_1389768499"/>
      <w:bookmarkStart w:id="57" w:name="_MON_1389016115"/>
      <w:bookmarkEnd w:id="55"/>
      <w:bookmarkEnd w:id="56"/>
      <w:bookmarkEnd w:id="57"/>
    </w:p>
    <w:p w:rsidR="00BD4645" w:rsidRDefault="00BD4645" w:rsidP="00D36D54">
      <w:pPr>
        <w:pStyle w:val="Odsekzoznamu"/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/>
          <w:snapToGrid w:val="0"/>
          <w:sz w:val="17"/>
          <w:szCs w:val="20"/>
        </w:rPr>
      </w:pPr>
    </w:p>
    <w:p w:rsidR="00D36D54" w:rsidRPr="00BD4645" w:rsidRDefault="00D36D54" w:rsidP="00D36D54">
      <w:pPr>
        <w:pStyle w:val="Odsekzoznamu"/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BD4645">
        <w:rPr>
          <w:rFonts w:ascii="Verdana" w:hAnsi="Verdana" w:cs="Arial"/>
          <w:b/>
          <w:bCs/>
          <w:iCs/>
          <w:sz w:val="17"/>
          <w:szCs w:val="28"/>
          <w:lang w:eastAsia="en-US"/>
        </w:rPr>
        <w:t>Záväzky (r. 094 a 106 súvahy)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641BC7" w:rsidRDefault="00641BC7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641BC7">
        <w:rPr>
          <w:rFonts w:ascii="Verdana" w:hAnsi="Verdana" w:cs="Arial"/>
          <w:bCs/>
          <w:sz w:val="17"/>
          <w:szCs w:val="26"/>
          <w:lang w:eastAsia="en-US"/>
        </w:rPr>
        <w:t>Spoločnosť neeviduje žiadne záväzky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bookmarkStart w:id="58" w:name="_MON_1389006123"/>
      <w:bookmarkStart w:id="59" w:name="_MON_1389016163"/>
      <w:bookmarkStart w:id="60" w:name="_MON_1389174470"/>
      <w:bookmarkStart w:id="61" w:name="_MON_1389768457"/>
      <w:bookmarkStart w:id="62" w:name="_MON_1389768487"/>
      <w:bookmarkStart w:id="63" w:name="_MON_1389005635"/>
      <w:bookmarkStart w:id="64" w:name="_MON_1389005908"/>
      <w:bookmarkEnd w:id="58"/>
      <w:bookmarkEnd w:id="59"/>
      <w:bookmarkEnd w:id="60"/>
      <w:bookmarkEnd w:id="61"/>
      <w:bookmarkEnd w:id="62"/>
      <w:bookmarkEnd w:id="63"/>
      <w:bookmarkEnd w:id="64"/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 xml:space="preserve">Bežná lehota splatnosti záväzkov je </w:t>
      </w:r>
      <w:r w:rsidR="0017369E">
        <w:rPr>
          <w:rFonts w:ascii="Verdana" w:hAnsi="Verdana"/>
          <w:snapToGrid w:val="0"/>
          <w:sz w:val="17"/>
          <w:szCs w:val="20"/>
        </w:rPr>
        <w:t>14</w:t>
      </w:r>
      <w:r w:rsidRPr="00D36D54">
        <w:rPr>
          <w:rFonts w:ascii="Verdana" w:hAnsi="Verdana"/>
          <w:snapToGrid w:val="0"/>
          <w:sz w:val="17"/>
          <w:szCs w:val="20"/>
        </w:rPr>
        <w:t xml:space="preserve"> dní. 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  <w:u w:val="single"/>
        </w:rPr>
        <w:br w:type="page"/>
      </w:r>
      <w:bookmarkStart w:id="65" w:name="_MON_1389768474"/>
      <w:bookmarkStart w:id="66" w:name="_MON_1389006230"/>
      <w:bookmarkStart w:id="67" w:name="_MON_1389006285"/>
      <w:bookmarkStart w:id="68" w:name="_MON_1389006413"/>
      <w:bookmarkStart w:id="69" w:name="_MON_1389016276"/>
      <w:bookmarkEnd w:id="65"/>
      <w:bookmarkEnd w:id="66"/>
      <w:bookmarkEnd w:id="67"/>
      <w:bookmarkEnd w:id="68"/>
      <w:bookmarkEnd w:id="69"/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Záväzky zo sociálneho fondu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2C2EC6" w:rsidP="00D36D54">
      <w:pPr>
        <w:jc w:val="both"/>
        <w:rPr>
          <w:rFonts w:ascii="Verdana" w:hAnsi="Verdana"/>
          <w:sz w:val="17"/>
          <w:szCs w:val="20"/>
          <w:lang w:eastAsia="en-US"/>
        </w:rPr>
      </w:pPr>
      <w:bookmarkStart w:id="70" w:name="_MON_1389006904"/>
      <w:bookmarkStart w:id="71" w:name="_MON_1389016405"/>
      <w:bookmarkStart w:id="72" w:name="_MON_1389016462"/>
      <w:bookmarkStart w:id="73" w:name="_MON_1389016498"/>
      <w:bookmarkStart w:id="74" w:name="_MON_1389768509"/>
      <w:bookmarkStart w:id="75" w:name="_MON_1389006672"/>
      <w:bookmarkStart w:id="76" w:name="_MON_1389006838"/>
      <w:bookmarkEnd w:id="70"/>
      <w:bookmarkEnd w:id="71"/>
      <w:bookmarkEnd w:id="72"/>
      <w:bookmarkEnd w:id="73"/>
      <w:bookmarkEnd w:id="74"/>
      <w:bookmarkEnd w:id="75"/>
      <w:bookmarkEnd w:id="76"/>
      <w:r>
        <w:rPr>
          <w:rFonts w:ascii="Verdana" w:hAnsi="Verdana"/>
          <w:sz w:val="17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</w:p>
    <w:p w:rsidR="002C2EC6" w:rsidRDefault="00D36D54" w:rsidP="002C2EC6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Časové rozlíšenie (r. 121 súvahy)</w:t>
      </w:r>
    </w:p>
    <w:p w:rsidR="002C2EC6" w:rsidRDefault="002C2EC6" w:rsidP="002C2EC6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2C2EC6" w:rsidRDefault="002C2EC6" w:rsidP="002C2EC6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28"/>
          <w:lang w:eastAsia="en-US"/>
        </w:rPr>
      </w:pPr>
      <w:r w:rsidRPr="002C2EC6">
        <w:rPr>
          <w:rFonts w:ascii="Verdana" w:hAnsi="Verdana" w:cs="Arial"/>
          <w:bCs/>
          <w:iCs/>
          <w:sz w:val="17"/>
          <w:szCs w:val="28"/>
          <w:lang w:eastAsia="en-US"/>
        </w:rPr>
        <w:t>Spoločnosť nemá.</w:t>
      </w:r>
    </w:p>
    <w:p w:rsidR="002C2EC6" w:rsidRDefault="002C2EC6" w:rsidP="002C2EC6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28"/>
          <w:lang w:eastAsia="en-US"/>
        </w:rPr>
      </w:pPr>
    </w:p>
    <w:p w:rsidR="00D36D54" w:rsidRPr="002C2EC6" w:rsidRDefault="002C2EC6" w:rsidP="002C2EC6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/>
          <w:snapToGrid w:val="0"/>
          <w:sz w:val="17"/>
          <w:szCs w:val="20"/>
        </w:rPr>
      </w:pPr>
      <w:r w:rsidRPr="002C2EC6">
        <w:rPr>
          <w:rFonts w:ascii="Verdana" w:hAnsi="Verdana"/>
          <w:snapToGrid w:val="0"/>
          <w:sz w:val="17"/>
          <w:szCs w:val="20"/>
        </w:rPr>
        <w:t xml:space="preserve"> </w:t>
      </w:r>
    </w:p>
    <w:p w:rsidR="00D36D54" w:rsidRPr="00D36D54" w:rsidRDefault="00D36D54" w:rsidP="009008CC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724BB3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Výnosy</w:t>
      </w:r>
    </w:p>
    <w:p w:rsidR="00D36D54" w:rsidRP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z hospodárskej činnosti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sz w:val="14"/>
          <w:szCs w:val="20"/>
        </w:rPr>
      </w:pPr>
    </w:p>
    <w:p w:rsidR="00D36D54" w:rsidRPr="00D36D54" w:rsidRDefault="00D36D54" w:rsidP="00D36D54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D36D54">
        <w:rPr>
          <w:rFonts w:ascii="Verdana" w:hAnsi="Verdana" w:cs="Arial"/>
          <w:bCs/>
          <w:sz w:val="17"/>
          <w:szCs w:val="26"/>
          <w:u w:val="single"/>
          <w:lang w:eastAsia="en-US"/>
        </w:rPr>
        <w:t>Tržby z predaja tovaru, vlastných výrobkov a služieb (r. 01 a 05 výkazu ziskov a strát)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bookmarkStart w:id="77" w:name="_MON_1389008160"/>
    <w:bookmarkStart w:id="78" w:name="_MON_1389008176"/>
    <w:bookmarkStart w:id="79" w:name="_MON_1389768574"/>
    <w:bookmarkStart w:id="80" w:name="_MON_1389768599"/>
    <w:bookmarkEnd w:id="77"/>
    <w:bookmarkEnd w:id="78"/>
    <w:bookmarkEnd w:id="79"/>
    <w:bookmarkEnd w:id="80"/>
    <w:bookmarkStart w:id="81" w:name="_MON_1389007952"/>
    <w:bookmarkEnd w:id="81"/>
    <w:p w:rsidR="00D36D54" w:rsidRPr="00D36D54" w:rsidRDefault="002C2EC6" w:rsidP="00D36D54">
      <w:pPr>
        <w:jc w:val="both"/>
        <w:rPr>
          <w:rFonts w:ascii="Verdana" w:hAnsi="Verdana"/>
          <w:snapToGrid w:val="0"/>
          <w:sz w:val="17"/>
          <w:szCs w:val="17"/>
        </w:rPr>
      </w:pPr>
      <w:r w:rsidRPr="00D36D54">
        <w:rPr>
          <w:rFonts w:ascii="Verdana" w:hAnsi="Verdana"/>
          <w:snapToGrid w:val="0"/>
          <w:sz w:val="17"/>
          <w:szCs w:val="17"/>
        </w:rPr>
        <w:object w:dxaOrig="9520" w:dyaOrig="3027">
          <v:shape id="_x0000_i1030" type="#_x0000_t75" style="width:451.5pt;height:151.5pt" o:ole="">
            <v:imagedata r:id="rId23" o:title=""/>
            <w10:bordertop type="single" width="4"/>
            <w10:borderleft type="single" width="4"/>
          </v:shape>
          <o:OLEObject Type="Embed" ProgID="Excel.Sheet.8" ShapeID="_x0000_i1030" DrawAspect="Content" ObjectID="_1457860077" r:id="rId24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17"/>
        </w:rPr>
      </w:pPr>
    </w:p>
    <w:p w:rsidR="00D36D54" w:rsidRDefault="00D36D54" w:rsidP="002C2EC6">
      <w:pPr>
        <w:keepNext/>
        <w:numPr>
          <w:ilvl w:val="1"/>
          <w:numId w:val="0"/>
        </w:numPr>
        <w:tabs>
          <w:tab w:val="num" w:pos="539"/>
        </w:tabs>
        <w:ind w:left="539" w:hanging="539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990770">
        <w:rPr>
          <w:rFonts w:ascii="Verdana" w:hAnsi="Verdana" w:cs="Arial"/>
          <w:b/>
          <w:bCs/>
          <w:iCs/>
          <w:sz w:val="17"/>
          <w:szCs w:val="28"/>
          <w:lang w:eastAsia="en-US"/>
        </w:rPr>
        <w:t>Výnosy pri aktivácií nákladov, ostatné výnosy z hospodárskej činnosti, výnosy z finančnej a mimoriadnej činnosti</w:t>
      </w:r>
    </w:p>
    <w:p w:rsidR="002C2EC6" w:rsidRDefault="002C2EC6" w:rsidP="002C2EC6">
      <w:pPr>
        <w:keepNext/>
        <w:numPr>
          <w:ilvl w:val="1"/>
          <w:numId w:val="0"/>
        </w:numPr>
        <w:tabs>
          <w:tab w:val="num" w:pos="539"/>
        </w:tabs>
        <w:ind w:left="539" w:hanging="539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2C2EC6" w:rsidRPr="002C2EC6" w:rsidRDefault="002C2EC6" w:rsidP="002C2EC6">
      <w:pPr>
        <w:keepNext/>
        <w:numPr>
          <w:ilvl w:val="1"/>
          <w:numId w:val="0"/>
        </w:numPr>
        <w:tabs>
          <w:tab w:val="num" w:pos="539"/>
        </w:tabs>
        <w:ind w:left="539" w:hanging="539"/>
        <w:outlineLvl w:val="1"/>
        <w:rPr>
          <w:rFonts w:ascii="Verdana" w:hAnsi="Verdana"/>
          <w:snapToGrid w:val="0"/>
          <w:sz w:val="17"/>
          <w:szCs w:val="20"/>
        </w:rPr>
      </w:pPr>
      <w:r w:rsidRPr="002C2EC6">
        <w:rPr>
          <w:rFonts w:ascii="Verdana" w:hAnsi="Verdana" w:cs="Arial"/>
          <w:bCs/>
          <w:iCs/>
          <w:sz w:val="17"/>
          <w:szCs w:val="28"/>
          <w:lang w:eastAsia="en-US"/>
        </w:rPr>
        <w:t>Spoločnosť nemá.</w:t>
      </w:r>
    </w:p>
    <w:p w:rsidR="00D36D54" w:rsidRPr="002C2EC6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2C2EC6" w:rsidRDefault="002C2EC6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napToGrid w:val="0"/>
          <w:sz w:val="17"/>
          <w:szCs w:val="28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napToGrid w:val="0"/>
          <w:sz w:val="17"/>
          <w:szCs w:val="28"/>
        </w:rPr>
      </w:pPr>
      <w:r w:rsidRPr="00D36D54">
        <w:rPr>
          <w:rFonts w:ascii="Verdana" w:hAnsi="Verdana" w:cs="Arial"/>
          <w:b/>
          <w:bCs/>
          <w:iCs/>
          <w:snapToGrid w:val="0"/>
          <w:sz w:val="17"/>
          <w:szCs w:val="28"/>
        </w:rPr>
        <w:t>Čistý obrat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bookmarkStart w:id="82" w:name="_MON_1389768644"/>
    <w:bookmarkStart w:id="83" w:name="_MON_1389008348"/>
    <w:bookmarkStart w:id="84" w:name="_MON_1389768630"/>
    <w:bookmarkEnd w:id="82"/>
    <w:bookmarkEnd w:id="83"/>
    <w:bookmarkEnd w:id="84"/>
    <w:bookmarkStart w:id="85" w:name="_MON_1389768639"/>
    <w:bookmarkEnd w:id="85"/>
    <w:p w:rsidR="00D36D54" w:rsidRPr="00D36D54" w:rsidRDefault="002C2EC6" w:rsidP="00D36D54">
      <w:pPr>
        <w:jc w:val="both"/>
        <w:rPr>
          <w:rFonts w:ascii="Verdana" w:hAnsi="Verdana"/>
          <w:sz w:val="17"/>
          <w:szCs w:val="20"/>
        </w:rPr>
      </w:pPr>
      <w:r w:rsidRPr="00D36D54">
        <w:rPr>
          <w:rFonts w:ascii="Verdana" w:hAnsi="Verdana"/>
          <w:sz w:val="17"/>
          <w:szCs w:val="20"/>
        </w:rPr>
        <w:object w:dxaOrig="9146" w:dyaOrig="2794">
          <v:shape id="_x0000_i1031" type="#_x0000_t75" style="width:451.5pt;height:139.5pt" o:ole="">
            <v:imagedata r:id="rId25" o:title=""/>
            <w10:bordertop type="single" width="4"/>
            <w10:borderleft type="single" width="4"/>
          </v:shape>
          <o:OLEObject Type="Embed" ProgID="Excel.Sheet.8" ShapeID="_x0000_i1031" DrawAspect="Content" ObjectID="_1457860078" r:id="rId26"/>
        </w:objec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  <w:t>NÁKLADY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D36D54" w:rsidRPr="00D36D54" w:rsidTr="00D36D54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897" w:rsidRPr="00D36D54" w:rsidRDefault="00E676EB" w:rsidP="00C12E1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 xml:space="preserve">12 </w:t>
            </w:r>
            <w:r w:rsidR="00C12E15">
              <w:rPr>
                <w:rFonts w:ascii="Verdana" w:hAnsi="Verdana"/>
                <w:sz w:val="15"/>
                <w:szCs w:val="15"/>
                <w:lang w:eastAsia="en-US"/>
              </w:rPr>
              <w:t>345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E676EB" w:rsidP="00C12E15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 xml:space="preserve">18 </w:t>
            </w:r>
            <w:r w:rsidR="00C12E15">
              <w:rPr>
                <w:rFonts w:ascii="Verdana" w:hAnsi="Verdana"/>
                <w:sz w:val="15"/>
                <w:szCs w:val="15"/>
                <w:lang w:eastAsia="en-US"/>
              </w:rPr>
              <w:t>393</w:t>
            </w:r>
          </w:p>
        </w:tc>
      </w:tr>
      <w:tr w:rsidR="00D36D54" w:rsidRPr="00D36D54" w:rsidTr="00D36D54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Náklady voči audítorovi, audítorskej spoločnosti,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náklady za overenie individuálnej účtovnej závierky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iné </w:t>
            </w:r>
            <w:proofErr w:type="spellStart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uisťovacie</w:t>
            </w:r>
            <w:proofErr w:type="spellEnd"/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 audítorské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súvisiace 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daňové poradenstvo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ostatné neaudítorské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nákladov za poskytnuté služby,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218" w:rsidRPr="00D36D54" w:rsidRDefault="005B0218" w:rsidP="005B0218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Opravy a udržiavanie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Cestovné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reprezentáciu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Provízie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Prenájom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Skladné a manipulácia s tovarom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766C6B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Internetové pripojenie, server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6C6B" w:rsidRPr="00D36D54" w:rsidRDefault="00766C6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C1502E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Právne a účtovné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C1502E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Náklady na telefón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E676EB" w:rsidP="00E676EB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12 345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502E" w:rsidRPr="00D36D54" w:rsidRDefault="00C12E15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18 393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C1502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Ostatné významné položky nákladov z hospodárskej činnosti</w:t>
            </w: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2C2EC6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18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Zostatková cena predaného dlhodobého majetku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Penále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2C2EC6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18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0B5001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Ostatné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2E15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79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2E15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69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Kurzové straty,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29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i/>
                <w:sz w:val="15"/>
                <w:szCs w:val="15"/>
                <w:lang w:eastAsia="en-US"/>
              </w:rPr>
              <w:t>Ostatné významné položky finančných nákladov, z toho: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i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Nákladové úroky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C1502E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Bankové poplatky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E676EB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79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C12E15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69</w:t>
            </w:r>
          </w:p>
        </w:tc>
      </w:tr>
      <w:tr w:rsidR="00D36D54" w:rsidRPr="00D36D54" w:rsidTr="00D36D54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Mimoriadne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6D54" w:rsidRPr="00D36D54" w:rsidRDefault="00C12E15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169</w:t>
            </w:r>
          </w:p>
        </w:tc>
      </w:tr>
      <w:tr w:rsidR="00D36D5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D36D54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DAŇ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Sadzba dane z príjmov pre rok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je </w:t>
      </w:r>
      <w:r w:rsidR="00AB1BCE">
        <w:rPr>
          <w:rFonts w:ascii="Verdana" w:hAnsi="Verdana"/>
          <w:snapToGrid w:val="0"/>
          <w:sz w:val="17"/>
          <w:szCs w:val="20"/>
        </w:rPr>
        <w:t>23</w:t>
      </w:r>
      <w:r w:rsidRPr="00D36D54">
        <w:rPr>
          <w:rFonts w:ascii="Verdana" w:hAnsi="Verdana"/>
          <w:snapToGrid w:val="0"/>
          <w:sz w:val="17"/>
          <w:szCs w:val="20"/>
        </w:rPr>
        <w:t xml:space="preserve"> %. Spoločnosť nemala žiadne úľavy z daní. Štruktúra výpočtu splatnej dane z príjmov za rok 2011 je uvedená v prílohe v tabuľke č. 2. </w:t>
      </w:r>
    </w:p>
    <w:p w:rsidR="00D36D54" w:rsidRPr="00D36D54" w:rsidRDefault="00D36D54" w:rsidP="00AB1BCE">
      <w:pPr>
        <w:jc w:val="right"/>
        <w:rPr>
          <w:rFonts w:ascii="Verdana" w:hAnsi="Verdana"/>
          <w:snapToGrid w:val="0"/>
          <w:sz w:val="18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  <w:r w:rsidRPr="0084288F">
        <w:rPr>
          <w:rFonts w:ascii="Verdana" w:hAnsi="Verdana"/>
          <w:snapToGrid w:val="0"/>
          <w:sz w:val="17"/>
          <w:szCs w:val="20"/>
          <w:u w:val="single"/>
        </w:rPr>
        <w:t>Odsúhlasenie dane z príjmov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tbl>
      <w:tblPr>
        <w:tblW w:w="496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2"/>
        <w:gridCol w:w="1516"/>
        <w:gridCol w:w="1145"/>
        <w:gridCol w:w="712"/>
        <w:gridCol w:w="1548"/>
        <w:gridCol w:w="1047"/>
        <w:gridCol w:w="835"/>
      </w:tblGrid>
      <w:tr w:rsidR="00D36D54" w:rsidRPr="00D36D54" w:rsidTr="00AB1BCE">
        <w:trPr>
          <w:trHeight w:val="642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34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AB1BCE">
        <w:trPr>
          <w:trHeight w:val="345"/>
        </w:trPr>
        <w:tc>
          <w:tcPr>
            <w:tcW w:w="241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z w:val="15"/>
                <w:szCs w:val="15"/>
                <w:lang w:eastAsia="en-US"/>
              </w:rPr>
              <w:t>Daň v %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g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31078F" w:rsidP="00423379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  <w:r w:rsidR="00423379">
              <w:rPr>
                <w:rFonts w:ascii="Verdana" w:hAnsi="Verdana"/>
                <w:sz w:val="15"/>
                <w:szCs w:val="15"/>
                <w:lang w:eastAsia="en-US"/>
              </w:rPr>
              <w:t>4 442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423379" w:rsidP="00B82587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888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19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423379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18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AB1BCE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CC07B3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  <w:r w:rsidR="00AB1BCE"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2D0945" w:rsidP="00423379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-</w:t>
            </w:r>
            <w:r w:rsidR="00423379">
              <w:rPr>
                <w:rFonts w:ascii="Verdana" w:hAnsi="Verdana"/>
                <w:sz w:val="15"/>
                <w:szCs w:val="15"/>
                <w:lang w:eastAsia="en-US"/>
              </w:rPr>
              <w:t>4 424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423379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169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  <w:tr w:rsidR="00D36D54" w:rsidRPr="00D36D54" w:rsidTr="00AB1BCE">
        <w:trPr>
          <w:trHeight w:val="330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  <w:tr w:rsidR="00D36D54" w:rsidRPr="00D36D54" w:rsidTr="00AB1BCE">
        <w:trPr>
          <w:trHeight w:val="345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3FB2" w:rsidRDefault="00D36D54" w:rsidP="00D36D54">
            <w:pPr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3FB2">
              <w:rPr>
                <w:rFonts w:ascii="Verdana" w:hAnsi="Verdana"/>
                <w:sz w:val="15"/>
                <w:szCs w:val="15"/>
                <w:lang w:eastAsia="en-US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right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  <w:r w:rsidR="00D36D54" w:rsidRPr="00D36D54">
              <w:rPr>
                <w:rFonts w:ascii="Verdana" w:hAnsi="Verdana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D54" w:rsidRPr="00D36D54" w:rsidRDefault="00AB1BCE" w:rsidP="00D36D54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>
              <w:rPr>
                <w:rFonts w:ascii="Verdana" w:hAnsi="Verdana"/>
                <w:sz w:val="15"/>
                <w:szCs w:val="15"/>
                <w:lang w:eastAsia="en-US"/>
              </w:rPr>
              <w:t>0</w:t>
            </w:r>
          </w:p>
        </w:tc>
      </w:tr>
    </w:tbl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b/>
          <w:bCs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br w:type="page"/>
        <w:t>PODSÚVAHOVÉ ÚČTY</w:t>
      </w:r>
    </w:p>
    <w:p w:rsidR="00D36D54" w:rsidRDefault="00D36D54" w:rsidP="00D36D54">
      <w:pPr>
        <w:jc w:val="both"/>
        <w:rPr>
          <w:rFonts w:ascii="Verdana" w:hAnsi="Verdana"/>
          <w:sz w:val="14"/>
          <w:szCs w:val="20"/>
          <w:lang w:eastAsia="en-US"/>
        </w:rPr>
      </w:pPr>
    </w:p>
    <w:p w:rsidR="00AB1BCE" w:rsidRPr="00D36D54" w:rsidRDefault="00AB1BCE" w:rsidP="00D36D54">
      <w:pPr>
        <w:jc w:val="both"/>
        <w:rPr>
          <w:rFonts w:ascii="Verdana" w:hAnsi="Verdana"/>
          <w:sz w:val="14"/>
          <w:szCs w:val="20"/>
          <w:lang w:eastAsia="en-US"/>
        </w:rPr>
      </w:pPr>
      <w:r>
        <w:rPr>
          <w:rFonts w:ascii="Verdana" w:hAnsi="Verdana"/>
          <w:sz w:val="14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INÉ AKTÍVA A INÉ PASÍVA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Podmienené záväzky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7C13AA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>
        <w:rPr>
          <w:rFonts w:ascii="Verdana" w:hAnsi="Verdana"/>
          <w:snapToGrid w:val="0"/>
          <w:sz w:val="17"/>
          <w:szCs w:val="20"/>
          <w:lang w:eastAsia="en-US"/>
        </w:rPr>
        <w:t>Spoločnosť nemá.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Emisné kvóty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AB1BCE" w:rsidRP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Cs/>
          <w:iCs/>
          <w:sz w:val="17"/>
          <w:szCs w:val="28"/>
          <w:lang w:eastAsia="en-US"/>
        </w:rPr>
      </w:pPr>
      <w:r w:rsidRPr="00AB1BCE">
        <w:rPr>
          <w:rFonts w:ascii="Verdana" w:hAnsi="Verdana" w:cs="Arial"/>
          <w:bCs/>
          <w:iCs/>
          <w:sz w:val="17"/>
          <w:szCs w:val="28"/>
          <w:lang w:eastAsia="en-US"/>
        </w:rPr>
        <w:t xml:space="preserve">Spoločnosť nemá. </w:t>
      </w:r>
    </w:p>
    <w:p w:rsidR="00AB1BCE" w:rsidRDefault="00AB1BCE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Budúce práva a</w:t>
      </w:r>
      <w:r w:rsidRPr="00D36D54">
        <w:rPr>
          <w:rFonts w:ascii="Verdana" w:hAnsi="Verdana" w:cs="Arial" w:hint="eastAsia"/>
          <w:b/>
          <w:bCs/>
          <w:iCs/>
          <w:sz w:val="17"/>
          <w:szCs w:val="28"/>
          <w:lang w:eastAsia="en-US"/>
        </w:rPr>
        <w:t> </w:t>
      </w: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povinnosti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AB1BCE" w:rsidRDefault="00AB1BCE" w:rsidP="00D36D54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Verdana" w:hAnsi="Verdana" w:cs="Arial"/>
          <w:b/>
          <w:bCs/>
          <w:iCs/>
          <w:sz w:val="17"/>
          <w:szCs w:val="28"/>
          <w:lang w:eastAsia="en-US"/>
        </w:rPr>
      </w:pPr>
      <w:r w:rsidRPr="00D36D54">
        <w:rPr>
          <w:rFonts w:ascii="Verdana" w:hAnsi="Verdana" w:cs="Arial"/>
          <w:b/>
          <w:bCs/>
          <w:iCs/>
          <w:sz w:val="17"/>
          <w:szCs w:val="28"/>
          <w:lang w:eastAsia="en-US"/>
        </w:rPr>
        <w:t>Podmienený majetok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PRÍJMY A VÝHODY ČLENOV ŠTATUTÁRNYCH, DOZORNÝCH A INÝCH ORGÁNOV SPOLOČNOSTI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1BCE" w:rsidRPr="00AB1BCE" w:rsidRDefault="00AB1BCE" w:rsidP="00AB1BCE">
      <w:pPr>
        <w:jc w:val="both"/>
        <w:rPr>
          <w:rFonts w:ascii="Verdana" w:hAnsi="Verdana" w:cs="Arial"/>
          <w:color w:val="000000" w:themeColor="text1"/>
          <w:sz w:val="17"/>
          <w:szCs w:val="20"/>
          <w:lang w:eastAsia="en-US"/>
        </w:rPr>
      </w:pPr>
      <w:r w:rsidRPr="00AB1BCE">
        <w:rPr>
          <w:rFonts w:ascii="Verdana" w:hAnsi="Verdana" w:cs="Arial"/>
          <w:i/>
          <w:color w:val="000000" w:themeColor="text1"/>
          <w:sz w:val="17"/>
          <w:szCs w:val="20"/>
          <w:lang w:eastAsia="en-US"/>
        </w:rPr>
        <w:t>Netýka sa spoločnosti.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</w:p>
    <w:p w:rsidR="00D36D54" w:rsidRPr="00990770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990770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SPRIAZNENÉ OSOBY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Medzi spriaznené osoby patria akcionári, členovia predstavenstva, sesterské spoločnosti a spoločnosti, v ktorých podiel na základnom imaní presahuje 20 % (dcérske a pridružené spoločnosti a spoločné podniky).</w:t>
      </w:r>
    </w:p>
    <w:p w:rsidR="00D36D54" w:rsidRPr="00D36D54" w:rsidRDefault="00D36D54" w:rsidP="00D36D54">
      <w:pPr>
        <w:jc w:val="both"/>
        <w:rPr>
          <w:rFonts w:ascii="Verdana" w:hAnsi="Verdana"/>
          <w:b/>
          <w:snapToGrid w:val="0"/>
          <w:color w:val="000000"/>
          <w:sz w:val="17"/>
          <w:szCs w:val="20"/>
        </w:rPr>
      </w:pPr>
    </w:p>
    <w:p w:rsidR="00BC4CF8" w:rsidRPr="00AD0933" w:rsidRDefault="00AD0933" w:rsidP="00AD0933">
      <w:pPr>
        <w:pStyle w:val="Odsekzoznamu"/>
        <w:numPr>
          <w:ilvl w:val="2"/>
          <w:numId w:val="20"/>
        </w:numPr>
        <w:jc w:val="both"/>
        <w:rPr>
          <w:sz w:val="18"/>
          <w:szCs w:val="20"/>
          <w:lang w:eastAsia="en-US"/>
        </w:rPr>
      </w:pPr>
      <w:r>
        <w:rPr>
          <w:sz w:val="18"/>
          <w:szCs w:val="20"/>
          <w:lang w:eastAsia="en-US"/>
        </w:rPr>
        <w:t>Nie sú</w:t>
      </w: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BC4CF8" w:rsidRPr="00BC4CF8" w:rsidRDefault="00BC4CF8" w:rsidP="00BC4CF8">
      <w:pPr>
        <w:ind w:left="426"/>
        <w:jc w:val="both"/>
        <w:rPr>
          <w:sz w:val="18"/>
          <w:szCs w:val="20"/>
          <w:lang w:eastAsia="en-US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SKUTOČNOSTI, KTORÉ NASTALI PO DNI, KU KTORÉMU SA ZOSTAVUJE ÚČTOVNÁ ZÁVIERKA, A DO DŇA ZOSTAVENIA ÚČTOVNEJ ZÁVIERKY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u w:val="single"/>
          <w:lang w:eastAsia="en-US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Po 31. decembri 201</w:t>
      </w:r>
      <w:r w:rsidR="00AB1BCE">
        <w:rPr>
          <w:rFonts w:ascii="Verdana" w:hAnsi="Verdana"/>
          <w:snapToGrid w:val="0"/>
          <w:sz w:val="17"/>
          <w:szCs w:val="20"/>
        </w:rPr>
        <w:t>3</w:t>
      </w:r>
      <w:r w:rsidRPr="00D36D54">
        <w:rPr>
          <w:rFonts w:ascii="Verdana" w:hAnsi="Verdana"/>
          <w:snapToGrid w:val="0"/>
          <w:sz w:val="17"/>
          <w:szCs w:val="20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AB4FD7" w:rsidRPr="00AB4FD7" w:rsidRDefault="00AB4FD7" w:rsidP="00AB4FD7">
      <w:pPr>
        <w:pStyle w:val="Odsekzoznamu"/>
        <w:numPr>
          <w:ilvl w:val="2"/>
          <w:numId w:val="20"/>
        </w:numPr>
        <w:jc w:val="both"/>
        <w:rPr>
          <w:rFonts w:ascii="Verdana" w:hAnsi="Verdana"/>
          <w:snapToGrid w:val="0"/>
          <w:sz w:val="17"/>
          <w:szCs w:val="20"/>
        </w:rPr>
      </w:pPr>
      <w:r>
        <w:rPr>
          <w:rFonts w:ascii="Verdana" w:hAnsi="Verdana"/>
          <w:snapToGrid w:val="0"/>
          <w:sz w:val="17"/>
          <w:szCs w:val="20"/>
        </w:rPr>
        <w:t>nenastali</w:t>
      </w:r>
    </w:p>
    <w:p w:rsidR="00AB1BCE" w:rsidRDefault="00AB1BCE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7C13AA" w:rsidRDefault="007C13AA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347B57" w:rsidRDefault="00347B57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3FB2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3FB2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ZMIEN VLASTNÉHO IMANIA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86" w:name="_MON_1389609379"/>
    <w:bookmarkStart w:id="87" w:name="_MON_1389608253"/>
    <w:bookmarkStart w:id="88" w:name="_MON_1389608483"/>
    <w:bookmarkStart w:id="89" w:name="_MON_1389608588"/>
    <w:bookmarkStart w:id="90" w:name="_MON_1389609220"/>
    <w:bookmarkEnd w:id="86"/>
    <w:bookmarkEnd w:id="87"/>
    <w:bookmarkEnd w:id="88"/>
    <w:bookmarkEnd w:id="89"/>
    <w:bookmarkEnd w:id="90"/>
    <w:bookmarkStart w:id="91" w:name="_MON_1389609372"/>
    <w:bookmarkEnd w:id="91"/>
    <w:p w:rsidR="00D36D54" w:rsidRPr="00D36D54" w:rsidRDefault="00DA295D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32" w:dyaOrig="7731">
          <v:shape id="_x0000_i1032" type="#_x0000_t75" style="width:451.5pt;height:386.25pt" o:ole="">
            <v:imagedata r:id="rId27" o:title=""/>
            <w10:bordertop type="single" width="4"/>
            <w10:borderleft type="single" width="4"/>
          </v:shape>
          <o:OLEObject Type="Embed" ProgID="Excel.Sheet.8" ShapeID="_x0000_i1032" DrawAspect="Content" ObjectID="_1457860079" r:id="rId28"/>
        </w:object>
      </w:r>
    </w:p>
    <w:bookmarkStart w:id="92" w:name="_MON_1389609428"/>
    <w:bookmarkStart w:id="93" w:name="_MON_1389608632"/>
    <w:bookmarkEnd w:id="92"/>
    <w:bookmarkEnd w:id="93"/>
    <w:bookmarkStart w:id="94" w:name="_MON_1389609402"/>
    <w:bookmarkEnd w:id="94"/>
    <w:p w:rsidR="00D36D54" w:rsidRPr="00D36D54" w:rsidRDefault="00DA295D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object w:dxaOrig="9632" w:dyaOrig="7731">
          <v:shape id="_x0000_i1033" type="#_x0000_t75" style="width:451.5pt;height:386.25pt" o:ole="">
            <v:imagedata r:id="rId29" o:title=""/>
            <w10:bordertop type="single" width="4"/>
            <w10:borderleft type="single" width="4"/>
          </v:shape>
          <o:OLEObject Type="Embed" ProgID="Excel.Sheet.8" ShapeID="_x0000_i1033" DrawAspect="Content" ObjectID="_1457860080" r:id="rId30"/>
        </w:objec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keepNext/>
        <w:numPr>
          <w:ilvl w:val="0"/>
          <w:numId w:val="6"/>
        </w:numPr>
        <w:jc w:val="both"/>
        <w:outlineLvl w:val="0"/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</w:pPr>
      <w:r w:rsidRPr="00D36D54">
        <w:rPr>
          <w:rFonts w:ascii="Verdana" w:hAnsi="Verdana" w:cs="Arial"/>
          <w:b/>
          <w:bCs/>
          <w:caps/>
          <w:kern w:val="32"/>
          <w:sz w:val="18"/>
          <w:szCs w:val="32"/>
          <w:u w:val="single"/>
          <w:lang w:eastAsia="en-US"/>
        </w:rPr>
        <w:t>PREHĽAD PEŇAŽNÝCH TOKOV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  <w:u w:val="single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color w:val="000000"/>
          <w:sz w:val="17"/>
          <w:szCs w:val="20"/>
        </w:rPr>
      </w:pPr>
      <w:r w:rsidRPr="00D36D54">
        <w:rPr>
          <w:rFonts w:ascii="Verdana" w:hAnsi="Verdana"/>
          <w:snapToGrid w:val="0"/>
          <w:color w:val="000000"/>
          <w:sz w:val="17"/>
          <w:szCs w:val="20"/>
        </w:rPr>
        <w:t>Prehľad peňažných tokov je uvedený v prílohe, tabuľka č. 1.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  <w:r w:rsidRPr="00D36D54">
        <w:rPr>
          <w:rFonts w:ascii="Verdana" w:hAnsi="Verdana"/>
          <w:snapToGrid w:val="0"/>
          <w:sz w:val="17"/>
          <w:szCs w:val="20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D36D54" w:rsidRPr="00D36D54" w:rsidRDefault="00D36D54" w:rsidP="00D36D54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</w:rPr>
      </w:pP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  <w:r w:rsidRPr="00D36D54">
        <w:rPr>
          <w:rFonts w:ascii="Verdana" w:hAnsi="Verdana"/>
          <w:snapToGrid w:val="0"/>
          <w:sz w:val="17"/>
          <w:szCs w:val="20"/>
          <w:lang w:eastAsia="en-US"/>
        </w:rPr>
        <w:t>Štruktúra peňažných prostriedkov a peňažných ekvivalentov:</w:t>
      </w:r>
    </w:p>
    <w:p w:rsidR="00D36D54" w:rsidRPr="00D36D54" w:rsidRDefault="00D36D54" w:rsidP="00D36D54">
      <w:pPr>
        <w:jc w:val="both"/>
        <w:rPr>
          <w:rFonts w:ascii="Verdana" w:hAnsi="Verdana"/>
          <w:snapToGrid w:val="0"/>
          <w:sz w:val="17"/>
          <w:szCs w:val="20"/>
          <w:lang w:eastAsia="en-US"/>
        </w:rPr>
      </w:pPr>
    </w:p>
    <w:tbl>
      <w:tblPr>
        <w:tblW w:w="9284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992"/>
        <w:gridCol w:w="1843"/>
        <w:gridCol w:w="1984"/>
      </w:tblGrid>
      <w:tr w:rsidR="00D36D54" w:rsidRPr="00D36D54" w:rsidTr="0049510B">
        <w:trPr>
          <w:trHeight w:val="305"/>
        </w:trPr>
        <w:tc>
          <w:tcPr>
            <w:tcW w:w="44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Účet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Bežné účtovné obdobie</w:t>
            </w:r>
          </w:p>
        </w:tc>
        <w:tc>
          <w:tcPr>
            <w:tcW w:w="1984" w:type="dxa"/>
            <w:tcBorders>
              <w:top w:val="single" w:sz="12" w:space="0" w:color="auto"/>
              <w:bottom w:val="nil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20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Bezprostredne predchádzajúce účtovné obdobie</w:t>
            </w:r>
          </w:p>
        </w:tc>
      </w:tr>
      <w:tr w:rsidR="00D36D54" w:rsidRPr="00D36D54" w:rsidTr="0049510B">
        <w:trPr>
          <w:trHeight w:val="305"/>
        </w:trPr>
        <w:tc>
          <w:tcPr>
            <w:tcW w:w="44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c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sz w:val="15"/>
                <w:szCs w:val="15"/>
                <w:lang w:val="en-GB"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val="en-GB" w:eastAsia="en-US"/>
              </w:rPr>
              <w:t>d</w:t>
            </w:r>
          </w:p>
        </w:tc>
      </w:tr>
      <w:tr w:rsidR="00D36D54" w:rsidRPr="00D36D54" w:rsidTr="0049510B">
        <w:trPr>
          <w:trHeight w:val="263"/>
        </w:trPr>
        <w:tc>
          <w:tcPr>
            <w:tcW w:w="4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Peniaze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36D54" w:rsidRPr="00D36D54" w:rsidRDefault="00DA295D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55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36D54" w:rsidRPr="00D36D54" w:rsidRDefault="00DA295D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202 276</w:t>
            </w:r>
          </w:p>
        </w:tc>
      </w:tr>
      <w:tr w:rsidR="00D36D54" w:rsidRPr="00D36D54" w:rsidTr="0049510B">
        <w:trPr>
          <w:trHeight w:val="253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Ceniny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213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70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Účty v bankách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D36D54" w:rsidRPr="00D36D54" w:rsidRDefault="00DA295D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9</w:t>
            </w:r>
          </w:p>
        </w:tc>
        <w:tc>
          <w:tcPr>
            <w:tcW w:w="1984" w:type="dxa"/>
            <w:vAlign w:val="center"/>
          </w:tcPr>
          <w:p w:rsidR="006F0F0D" w:rsidRPr="00D36D54" w:rsidRDefault="00DA295D" w:rsidP="006F0F0D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294</w:t>
            </w:r>
          </w:p>
        </w:tc>
      </w:tr>
      <w:tr w:rsidR="00D36D54" w:rsidRPr="00D36D54" w:rsidTr="0049510B">
        <w:trPr>
          <w:trHeight w:val="275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Kontokorentný účet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221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51"/>
        </w:trPr>
        <w:tc>
          <w:tcPr>
            <w:tcW w:w="4465" w:type="dxa"/>
            <w:tcBorders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akcie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251</w:t>
            </w:r>
          </w:p>
        </w:tc>
        <w:tc>
          <w:tcPr>
            <w:tcW w:w="1843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69"/>
        </w:trPr>
        <w:tc>
          <w:tcPr>
            <w:tcW w:w="44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Krátkodobý finančný majetok – dlhopisy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FE22AE">
            <w:pPr>
              <w:jc w:val="center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right"/>
              <w:rPr>
                <w:rFonts w:ascii="Verdana" w:hAnsi="Verdana"/>
                <w:snapToGrid w:val="0"/>
                <w:sz w:val="15"/>
                <w:szCs w:val="20"/>
                <w:lang w:eastAsia="en-US"/>
              </w:rPr>
            </w:pPr>
          </w:p>
        </w:tc>
      </w:tr>
      <w:tr w:rsidR="00D36D54" w:rsidRPr="00D36D54" w:rsidTr="0049510B">
        <w:trPr>
          <w:trHeight w:val="258"/>
        </w:trPr>
        <w:tc>
          <w:tcPr>
            <w:tcW w:w="44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D54" w:rsidRPr="00D36D54" w:rsidRDefault="00D36D54" w:rsidP="00D36D54">
            <w:pP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Spolu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36D54" w:rsidP="00D36D54">
            <w:pPr>
              <w:jc w:val="center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 w:rsidRPr="00D36D54"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A295D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64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6D54" w:rsidRPr="00D36D54" w:rsidRDefault="00DA295D" w:rsidP="00D36D54">
            <w:pPr>
              <w:jc w:val="right"/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</w:pPr>
            <w:r>
              <w:rPr>
                <w:rFonts w:ascii="Verdana" w:hAnsi="Verdana"/>
                <w:b/>
                <w:bCs/>
                <w:snapToGrid w:val="0"/>
                <w:sz w:val="15"/>
                <w:szCs w:val="20"/>
                <w:lang w:eastAsia="en-US"/>
              </w:rPr>
              <w:t>202 570</w:t>
            </w:r>
          </w:p>
        </w:tc>
      </w:tr>
    </w:tbl>
    <w:p w:rsidR="0049510B" w:rsidRDefault="0049510B" w:rsidP="003872E4">
      <w:pPr>
        <w:spacing w:after="120"/>
        <w:rPr>
          <w:rFonts w:ascii="Arial" w:hAnsi="Arial" w:cs="Arial"/>
          <w:sz w:val="22"/>
          <w:szCs w:val="22"/>
        </w:rPr>
      </w:pPr>
    </w:p>
    <w:sectPr w:rsidR="0049510B" w:rsidSect="00D30075"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FA1" w:rsidRDefault="004F3FA1">
      <w:r>
        <w:separator/>
      </w:r>
    </w:p>
  </w:endnote>
  <w:endnote w:type="continuationSeparator" w:id="0">
    <w:p w:rsidR="004F3FA1" w:rsidRDefault="004F3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B2" w:rsidRDefault="00D47AB2" w:rsidP="00D36D5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A27EE">
      <w:rPr>
        <w:rStyle w:val="slostrany"/>
        <w:noProof/>
      </w:rPr>
      <w:t>9</w:t>
    </w:r>
    <w:r>
      <w:rPr>
        <w:rStyle w:val="slostrany"/>
      </w:rPr>
      <w:fldChar w:fldCharType="end"/>
    </w:r>
  </w:p>
  <w:p w:rsidR="00D47AB2" w:rsidRDefault="00D47AB2" w:rsidP="00D36D54">
    <w:pPr>
      <w:pStyle w:val="Pta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B2" w:rsidRDefault="00D47A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A27EE">
      <w:rPr>
        <w:noProof/>
      </w:rPr>
      <w:t>18</w:t>
    </w:r>
    <w:r>
      <w:rPr>
        <w:noProof/>
      </w:rPr>
      <w:fldChar w:fldCharType="end"/>
    </w:r>
  </w:p>
  <w:p w:rsidR="00D47AB2" w:rsidRDefault="00D47AB2">
    <w:pPr>
      <w:pStyle w:val="Pta"/>
    </w:pPr>
  </w:p>
  <w:p w:rsidR="00D47AB2" w:rsidRDefault="00D47AB2"/>
  <w:p w:rsidR="00D47AB2" w:rsidRDefault="00D47A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FA1" w:rsidRDefault="004F3FA1">
      <w:r>
        <w:separator/>
      </w:r>
    </w:p>
  </w:footnote>
  <w:footnote w:type="continuationSeparator" w:id="0">
    <w:p w:rsidR="004F3FA1" w:rsidRDefault="004F3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47AB2" w:rsidRPr="0093379F" w:rsidTr="00D36D5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7AB2" w:rsidRPr="0093379F" w:rsidRDefault="00D47AB2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7AB2" w:rsidRPr="0093379F" w:rsidRDefault="00D47AB2" w:rsidP="00D36D54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14074B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2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93379F" w:rsidRDefault="00D47AB2" w:rsidP="00D36D54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D47AB2" w:rsidRPr="00D36D54" w:rsidRDefault="00D47AB2" w:rsidP="00D36D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47AB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7AB2" w:rsidRPr="003F477D" w:rsidRDefault="00D47AB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7AB2" w:rsidRPr="003F477D" w:rsidRDefault="00D47AB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7AB2" w:rsidRPr="003F477D" w:rsidRDefault="00D47AB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7AB2" w:rsidRPr="003F477D" w:rsidRDefault="00D47AB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47AB2" w:rsidRDefault="00D47AB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CA34EA"/>
    <w:multiLevelType w:val="hybridMultilevel"/>
    <w:tmpl w:val="FF24B516"/>
    <w:lvl w:ilvl="0" w:tplc="840EADD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B66A9"/>
    <w:multiLevelType w:val="hybridMultilevel"/>
    <w:tmpl w:val="B06A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F71E5F"/>
    <w:multiLevelType w:val="hybridMultilevel"/>
    <w:tmpl w:val="09E638D0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FE0CB2D4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  <w:b w:val="0"/>
        <w:sz w:val="17"/>
        <w:u w:val="none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7"/>
  </w:num>
  <w:num w:numId="4">
    <w:abstractNumId w:val="37"/>
  </w:num>
  <w:num w:numId="5">
    <w:abstractNumId w:val="19"/>
  </w:num>
  <w:num w:numId="6">
    <w:abstractNumId w:val="36"/>
  </w:num>
  <w:num w:numId="7">
    <w:abstractNumId w:val="15"/>
  </w:num>
  <w:num w:numId="8">
    <w:abstractNumId w:val="22"/>
  </w:num>
  <w:num w:numId="9">
    <w:abstractNumId w:val="3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</w:num>
  <w:num w:numId="12">
    <w:abstractNumId w:val="20"/>
  </w:num>
  <w:num w:numId="13">
    <w:abstractNumId w:val="10"/>
  </w:num>
  <w:num w:numId="14">
    <w:abstractNumId w:val="9"/>
  </w:num>
  <w:num w:numId="15">
    <w:abstractNumId w:val="24"/>
  </w:num>
  <w:num w:numId="16">
    <w:abstractNumId w:val="18"/>
  </w:num>
  <w:num w:numId="17">
    <w:abstractNumId w:val="34"/>
  </w:num>
  <w:num w:numId="18">
    <w:abstractNumId w:val="0"/>
  </w:num>
  <w:num w:numId="19">
    <w:abstractNumId w:val="16"/>
  </w:num>
  <w:num w:numId="20">
    <w:abstractNumId w:val="35"/>
  </w:num>
  <w:num w:numId="21">
    <w:abstractNumId w:val="8"/>
  </w:num>
  <w:num w:numId="22">
    <w:abstractNumId w:val="5"/>
  </w:num>
  <w:num w:numId="23">
    <w:abstractNumId w:val="21"/>
  </w:num>
  <w:num w:numId="24">
    <w:abstractNumId w:val="28"/>
  </w:num>
  <w:num w:numId="25">
    <w:abstractNumId w:val="4"/>
  </w:num>
  <w:num w:numId="26">
    <w:abstractNumId w:val="25"/>
  </w:num>
  <w:num w:numId="27">
    <w:abstractNumId w:val="13"/>
  </w:num>
  <w:num w:numId="28">
    <w:abstractNumId w:val="27"/>
  </w:num>
  <w:num w:numId="29">
    <w:abstractNumId w:val="31"/>
  </w:num>
  <w:num w:numId="30">
    <w:abstractNumId w:val="23"/>
  </w:num>
  <w:num w:numId="31">
    <w:abstractNumId w:val="3"/>
  </w:num>
  <w:num w:numId="32">
    <w:abstractNumId w:val="12"/>
  </w:num>
  <w:num w:numId="33">
    <w:abstractNumId w:val="14"/>
  </w:num>
  <w:num w:numId="34">
    <w:abstractNumId w:val="11"/>
  </w:num>
  <w:num w:numId="35">
    <w:abstractNumId w:val="2"/>
  </w:num>
  <w:num w:numId="36">
    <w:abstractNumId w:val="26"/>
  </w:num>
  <w:num w:numId="37">
    <w:abstractNumId w:val="33"/>
  </w:num>
  <w:num w:numId="38">
    <w:abstractNumId w:val="30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6B4"/>
    <w:rsid w:val="000104C1"/>
    <w:rsid w:val="00024CC8"/>
    <w:rsid w:val="0002705A"/>
    <w:rsid w:val="000433E0"/>
    <w:rsid w:val="00043B3D"/>
    <w:rsid w:val="00044E9F"/>
    <w:rsid w:val="00045B2B"/>
    <w:rsid w:val="00051B40"/>
    <w:rsid w:val="000538A8"/>
    <w:rsid w:val="00053F45"/>
    <w:rsid w:val="0005650F"/>
    <w:rsid w:val="0005664C"/>
    <w:rsid w:val="00057E69"/>
    <w:rsid w:val="00066BE0"/>
    <w:rsid w:val="00067156"/>
    <w:rsid w:val="00070129"/>
    <w:rsid w:val="00070DC9"/>
    <w:rsid w:val="00080329"/>
    <w:rsid w:val="000A46AB"/>
    <w:rsid w:val="000B1BA1"/>
    <w:rsid w:val="000B252C"/>
    <w:rsid w:val="000B2961"/>
    <w:rsid w:val="000B5001"/>
    <w:rsid w:val="000C3C1A"/>
    <w:rsid w:val="000E0FA5"/>
    <w:rsid w:val="000E4475"/>
    <w:rsid w:val="000E57B5"/>
    <w:rsid w:val="000E7875"/>
    <w:rsid w:val="000F1D23"/>
    <w:rsid w:val="000F226D"/>
    <w:rsid w:val="00105490"/>
    <w:rsid w:val="001126C4"/>
    <w:rsid w:val="001148AB"/>
    <w:rsid w:val="00117BEB"/>
    <w:rsid w:val="00124A2A"/>
    <w:rsid w:val="0014074B"/>
    <w:rsid w:val="001550FB"/>
    <w:rsid w:val="0016690A"/>
    <w:rsid w:val="00170535"/>
    <w:rsid w:val="00171D3D"/>
    <w:rsid w:val="0017369E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45CD"/>
    <w:rsid w:val="0021761B"/>
    <w:rsid w:val="00223544"/>
    <w:rsid w:val="00223758"/>
    <w:rsid w:val="00235630"/>
    <w:rsid w:val="00246C6C"/>
    <w:rsid w:val="002474D2"/>
    <w:rsid w:val="00253BFC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2EC6"/>
    <w:rsid w:val="002D0945"/>
    <w:rsid w:val="002D0D47"/>
    <w:rsid w:val="002E1542"/>
    <w:rsid w:val="002E490E"/>
    <w:rsid w:val="002E6607"/>
    <w:rsid w:val="002F23B0"/>
    <w:rsid w:val="00302371"/>
    <w:rsid w:val="003023F7"/>
    <w:rsid w:val="00306960"/>
    <w:rsid w:val="0031078F"/>
    <w:rsid w:val="00312CE9"/>
    <w:rsid w:val="00326DFA"/>
    <w:rsid w:val="00331575"/>
    <w:rsid w:val="00331EB6"/>
    <w:rsid w:val="0033465E"/>
    <w:rsid w:val="00345798"/>
    <w:rsid w:val="00346F61"/>
    <w:rsid w:val="00347B57"/>
    <w:rsid w:val="00355441"/>
    <w:rsid w:val="00362212"/>
    <w:rsid w:val="0036452C"/>
    <w:rsid w:val="003872E4"/>
    <w:rsid w:val="00391A1E"/>
    <w:rsid w:val="003961BC"/>
    <w:rsid w:val="003974CA"/>
    <w:rsid w:val="003B22E0"/>
    <w:rsid w:val="003B28F4"/>
    <w:rsid w:val="003C13BE"/>
    <w:rsid w:val="003C20BE"/>
    <w:rsid w:val="003C4F72"/>
    <w:rsid w:val="003D1B77"/>
    <w:rsid w:val="003D3AF5"/>
    <w:rsid w:val="003D4C8A"/>
    <w:rsid w:val="003E330A"/>
    <w:rsid w:val="003E3C41"/>
    <w:rsid w:val="00400AA4"/>
    <w:rsid w:val="00406D81"/>
    <w:rsid w:val="0041493D"/>
    <w:rsid w:val="00423379"/>
    <w:rsid w:val="004233E2"/>
    <w:rsid w:val="004264CD"/>
    <w:rsid w:val="00434A9A"/>
    <w:rsid w:val="00453111"/>
    <w:rsid w:val="00454951"/>
    <w:rsid w:val="00454AEB"/>
    <w:rsid w:val="00454F2D"/>
    <w:rsid w:val="0045642D"/>
    <w:rsid w:val="00460CC6"/>
    <w:rsid w:val="0046493A"/>
    <w:rsid w:val="00472E0C"/>
    <w:rsid w:val="00482574"/>
    <w:rsid w:val="00484634"/>
    <w:rsid w:val="00487167"/>
    <w:rsid w:val="00487CB2"/>
    <w:rsid w:val="0049510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3FA1"/>
    <w:rsid w:val="005031B8"/>
    <w:rsid w:val="00512000"/>
    <w:rsid w:val="00520556"/>
    <w:rsid w:val="00524152"/>
    <w:rsid w:val="00526FB9"/>
    <w:rsid w:val="00527E38"/>
    <w:rsid w:val="00541897"/>
    <w:rsid w:val="00550F87"/>
    <w:rsid w:val="00556600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0218"/>
    <w:rsid w:val="005C08D0"/>
    <w:rsid w:val="005C3B7A"/>
    <w:rsid w:val="005C7EEB"/>
    <w:rsid w:val="005D7097"/>
    <w:rsid w:val="005E12D2"/>
    <w:rsid w:val="005E4F88"/>
    <w:rsid w:val="005E6F68"/>
    <w:rsid w:val="005F18BA"/>
    <w:rsid w:val="005F504F"/>
    <w:rsid w:val="00614845"/>
    <w:rsid w:val="00615C55"/>
    <w:rsid w:val="00636459"/>
    <w:rsid w:val="00640019"/>
    <w:rsid w:val="00641BC7"/>
    <w:rsid w:val="00642FD8"/>
    <w:rsid w:val="00661CE7"/>
    <w:rsid w:val="00671EEA"/>
    <w:rsid w:val="006761B2"/>
    <w:rsid w:val="006767A9"/>
    <w:rsid w:val="00682205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0F0D"/>
    <w:rsid w:val="006F5596"/>
    <w:rsid w:val="006F5A49"/>
    <w:rsid w:val="00701C3B"/>
    <w:rsid w:val="00704DF2"/>
    <w:rsid w:val="00705E0D"/>
    <w:rsid w:val="0070649A"/>
    <w:rsid w:val="00711C27"/>
    <w:rsid w:val="007139BF"/>
    <w:rsid w:val="00723420"/>
    <w:rsid w:val="00724BB3"/>
    <w:rsid w:val="00733A07"/>
    <w:rsid w:val="00741A9D"/>
    <w:rsid w:val="007475DC"/>
    <w:rsid w:val="0075132C"/>
    <w:rsid w:val="0075484E"/>
    <w:rsid w:val="00755E77"/>
    <w:rsid w:val="007561E8"/>
    <w:rsid w:val="00760326"/>
    <w:rsid w:val="0076593D"/>
    <w:rsid w:val="00766C6B"/>
    <w:rsid w:val="00771D0D"/>
    <w:rsid w:val="007728FB"/>
    <w:rsid w:val="007753B9"/>
    <w:rsid w:val="00780227"/>
    <w:rsid w:val="007A17D1"/>
    <w:rsid w:val="007A6BEE"/>
    <w:rsid w:val="007B6B6C"/>
    <w:rsid w:val="007C13AA"/>
    <w:rsid w:val="007C40F2"/>
    <w:rsid w:val="007D50DA"/>
    <w:rsid w:val="007E4948"/>
    <w:rsid w:val="007E7210"/>
    <w:rsid w:val="007F26F7"/>
    <w:rsid w:val="007F523F"/>
    <w:rsid w:val="0080258D"/>
    <w:rsid w:val="008044E0"/>
    <w:rsid w:val="008119BF"/>
    <w:rsid w:val="0081496D"/>
    <w:rsid w:val="00815AE4"/>
    <w:rsid w:val="00825633"/>
    <w:rsid w:val="00832FF0"/>
    <w:rsid w:val="0084070B"/>
    <w:rsid w:val="0084288F"/>
    <w:rsid w:val="00861401"/>
    <w:rsid w:val="00861803"/>
    <w:rsid w:val="00867392"/>
    <w:rsid w:val="008721D3"/>
    <w:rsid w:val="00884A8C"/>
    <w:rsid w:val="00890711"/>
    <w:rsid w:val="008A1671"/>
    <w:rsid w:val="008A2E88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E6C3E"/>
    <w:rsid w:val="008F19DA"/>
    <w:rsid w:val="008F7BD4"/>
    <w:rsid w:val="009008CC"/>
    <w:rsid w:val="009053E4"/>
    <w:rsid w:val="00924716"/>
    <w:rsid w:val="00925C6F"/>
    <w:rsid w:val="0093379F"/>
    <w:rsid w:val="00936967"/>
    <w:rsid w:val="00940C7E"/>
    <w:rsid w:val="00945CB3"/>
    <w:rsid w:val="0095092B"/>
    <w:rsid w:val="0095296D"/>
    <w:rsid w:val="00952C06"/>
    <w:rsid w:val="0095638F"/>
    <w:rsid w:val="009663C2"/>
    <w:rsid w:val="00967EF0"/>
    <w:rsid w:val="00990770"/>
    <w:rsid w:val="00990840"/>
    <w:rsid w:val="009965DA"/>
    <w:rsid w:val="009A06CA"/>
    <w:rsid w:val="009A2535"/>
    <w:rsid w:val="009B124D"/>
    <w:rsid w:val="009B17D1"/>
    <w:rsid w:val="009B310E"/>
    <w:rsid w:val="009C2162"/>
    <w:rsid w:val="009C49BF"/>
    <w:rsid w:val="009C58C9"/>
    <w:rsid w:val="009D0C18"/>
    <w:rsid w:val="009F04E7"/>
    <w:rsid w:val="009F28AA"/>
    <w:rsid w:val="009F5D0D"/>
    <w:rsid w:val="009F65FA"/>
    <w:rsid w:val="009F6DA7"/>
    <w:rsid w:val="00A028DD"/>
    <w:rsid w:val="00A068D1"/>
    <w:rsid w:val="00A06EA9"/>
    <w:rsid w:val="00A10E26"/>
    <w:rsid w:val="00A16C95"/>
    <w:rsid w:val="00A26876"/>
    <w:rsid w:val="00A3246D"/>
    <w:rsid w:val="00A35F64"/>
    <w:rsid w:val="00A40E0B"/>
    <w:rsid w:val="00A43E17"/>
    <w:rsid w:val="00A53820"/>
    <w:rsid w:val="00A56256"/>
    <w:rsid w:val="00A6044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BCE"/>
    <w:rsid w:val="00AB4FD7"/>
    <w:rsid w:val="00AB534C"/>
    <w:rsid w:val="00AC5487"/>
    <w:rsid w:val="00AD0933"/>
    <w:rsid w:val="00AD1402"/>
    <w:rsid w:val="00AD5E55"/>
    <w:rsid w:val="00AE28DD"/>
    <w:rsid w:val="00AE433D"/>
    <w:rsid w:val="00AE5DA8"/>
    <w:rsid w:val="00AF0C89"/>
    <w:rsid w:val="00B1126C"/>
    <w:rsid w:val="00B13D40"/>
    <w:rsid w:val="00B13E94"/>
    <w:rsid w:val="00B14F57"/>
    <w:rsid w:val="00B23F82"/>
    <w:rsid w:val="00B46883"/>
    <w:rsid w:val="00B46A21"/>
    <w:rsid w:val="00B47D3C"/>
    <w:rsid w:val="00B50B0E"/>
    <w:rsid w:val="00B53B34"/>
    <w:rsid w:val="00B5432A"/>
    <w:rsid w:val="00B66313"/>
    <w:rsid w:val="00B811C0"/>
    <w:rsid w:val="00B82176"/>
    <w:rsid w:val="00B82587"/>
    <w:rsid w:val="00B87E21"/>
    <w:rsid w:val="00B95904"/>
    <w:rsid w:val="00BC3432"/>
    <w:rsid w:val="00BC3D4A"/>
    <w:rsid w:val="00BC4CF8"/>
    <w:rsid w:val="00BD2F98"/>
    <w:rsid w:val="00BD4645"/>
    <w:rsid w:val="00BD55A8"/>
    <w:rsid w:val="00BD777F"/>
    <w:rsid w:val="00BE76C3"/>
    <w:rsid w:val="00BF1944"/>
    <w:rsid w:val="00BF51A4"/>
    <w:rsid w:val="00BF58EF"/>
    <w:rsid w:val="00C035C7"/>
    <w:rsid w:val="00C0603C"/>
    <w:rsid w:val="00C12E15"/>
    <w:rsid w:val="00C1502E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74333"/>
    <w:rsid w:val="00C80FCD"/>
    <w:rsid w:val="00C86E91"/>
    <w:rsid w:val="00CB2808"/>
    <w:rsid w:val="00CC07B3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56E1"/>
    <w:rsid w:val="00D30075"/>
    <w:rsid w:val="00D319A0"/>
    <w:rsid w:val="00D33FB2"/>
    <w:rsid w:val="00D343DA"/>
    <w:rsid w:val="00D35100"/>
    <w:rsid w:val="00D36D54"/>
    <w:rsid w:val="00D404F7"/>
    <w:rsid w:val="00D450AC"/>
    <w:rsid w:val="00D47AB2"/>
    <w:rsid w:val="00D47EBF"/>
    <w:rsid w:val="00D65F08"/>
    <w:rsid w:val="00D82CA0"/>
    <w:rsid w:val="00D97CDB"/>
    <w:rsid w:val="00DA0016"/>
    <w:rsid w:val="00DA1265"/>
    <w:rsid w:val="00DA295D"/>
    <w:rsid w:val="00DA33E6"/>
    <w:rsid w:val="00DA41FC"/>
    <w:rsid w:val="00DA68AA"/>
    <w:rsid w:val="00DA7353"/>
    <w:rsid w:val="00DB00DC"/>
    <w:rsid w:val="00DC77A2"/>
    <w:rsid w:val="00DD30F3"/>
    <w:rsid w:val="00DD45F0"/>
    <w:rsid w:val="00DD6176"/>
    <w:rsid w:val="00DE00F7"/>
    <w:rsid w:val="00DE4D02"/>
    <w:rsid w:val="00DF0BC8"/>
    <w:rsid w:val="00DF2F7A"/>
    <w:rsid w:val="00DF3E8C"/>
    <w:rsid w:val="00DF6566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6EB"/>
    <w:rsid w:val="00E70599"/>
    <w:rsid w:val="00E7088D"/>
    <w:rsid w:val="00E72E71"/>
    <w:rsid w:val="00E7400B"/>
    <w:rsid w:val="00E81C52"/>
    <w:rsid w:val="00E90529"/>
    <w:rsid w:val="00EA27EE"/>
    <w:rsid w:val="00EB5BB2"/>
    <w:rsid w:val="00ED17D4"/>
    <w:rsid w:val="00ED7779"/>
    <w:rsid w:val="00EE2A3E"/>
    <w:rsid w:val="00EF6214"/>
    <w:rsid w:val="00F12575"/>
    <w:rsid w:val="00F1419E"/>
    <w:rsid w:val="00F15A2F"/>
    <w:rsid w:val="00F210A0"/>
    <w:rsid w:val="00F26D58"/>
    <w:rsid w:val="00F30374"/>
    <w:rsid w:val="00F30944"/>
    <w:rsid w:val="00F37C86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22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EE2A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EE2A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locked/>
    <w:rsid w:val="00D36D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locked/>
    <w:rsid w:val="00D36D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hAnsi="Verdana"/>
      <w:b/>
      <w:bCs/>
      <w:sz w:val="17"/>
      <w:szCs w:val="22"/>
      <w:lang w:eastAsia="en-US"/>
    </w:rPr>
  </w:style>
  <w:style w:type="paragraph" w:styleId="Nadpis7">
    <w:name w:val="heading 7"/>
    <w:basedOn w:val="Normlny"/>
    <w:next w:val="Normlny"/>
    <w:link w:val="Nadpis7Char"/>
    <w:qFormat/>
    <w:locked/>
    <w:rsid w:val="00D36D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locked/>
    <w:rsid w:val="00D36D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locked/>
    <w:rsid w:val="00D36D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400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locked/>
    <w:rsid w:val="00E7400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400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E7400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EE2A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EE2A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D36D54"/>
    <w:rPr>
      <w:rFonts w:ascii="Verdana" w:hAnsi="Verdana"/>
      <w:b/>
      <w:bCs/>
      <w:i/>
      <w:iCs/>
      <w:sz w:val="17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rsid w:val="00D36D54"/>
    <w:rPr>
      <w:rFonts w:ascii="Verdana" w:hAnsi="Verdana"/>
      <w:b/>
      <w:bCs/>
      <w:sz w:val="17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rsid w:val="00D36D54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D36D54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D36D54"/>
    <w:rPr>
      <w:rFonts w:ascii="Verdana" w:hAnsi="Verdana" w:cs="Arial"/>
      <w:sz w:val="17"/>
      <w:szCs w:val="22"/>
      <w:lang w:eastAsia="en-US"/>
    </w:rPr>
  </w:style>
  <w:style w:type="numbering" w:customStyle="1" w:styleId="Bezzoznamu1">
    <w:name w:val="Bez zoznamu1"/>
    <w:next w:val="Bezzoznamu"/>
    <w:semiHidden/>
    <w:unhideWhenUsed/>
    <w:rsid w:val="00D36D54"/>
  </w:style>
  <w:style w:type="table" w:customStyle="1" w:styleId="Mriekatabuky1">
    <w:name w:val="Mriežka tabuľky1"/>
    <w:basedOn w:val="Normlnatabuka"/>
    <w:next w:val="Mriekatabuky"/>
    <w:rsid w:val="00D36D5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rsid w:val="00D36D54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D36D54"/>
    <w:rPr>
      <w:rFonts w:ascii="Verdana" w:hAnsi="Verdana"/>
      <w:snapToGrid w:val="0"/>
      <w:sz w:val="24"/>
      <w:lang w:val="cs-CZ"/>
    </w:rPr>
  </w:style>
  <w:style w:type="paragraph" w:styleId="Textbubliny">
    <w:name w:val="Balloon Text"/>
    <w:basedOn w:val="Normlny"/>
    <w:link w:val="TextbublinyChar"/>
    <w:rsid w:val="00D36D54"/>
    <w:pPr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sid w:val="00D36D54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rsid w:val="00D36D5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36D54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rsid w:val="00D36D54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D36D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36D54"/>
    <w:rPr>
      <w:rFonts w:ascii="Verdana" w:hAnsi="Verdana"/>
      <w:b/>
      <w:bCs/>
      <w:lang w:eastAsia="en-US"/>
    </w:rPr>
  </w:style>
  <w:style w:type="paragraph" w:customStyle="1" w:styleId="tableheader">
    <w:name w:val="table header"/>
    <w:basedOn w:val="Normlny"/>
    <w:rsid w:val="00D36D54"/>
    <w:pPr>
      <w:jc w:val="center"/>
    </w:pPr>
    <w:rPr>
      <w:rFonts w:ascii="Times New Roman Bold" w:hAnsi="Times New Roman Bold"/>
      <w:b/>
      <w:i/>
      <w:snapToGrid w:val="0"/>
      <w:sz w:val="20"/>
      <w:szCs w:val="20"/>
    </w:rPr>
  </w:style>
  <w:style w:type="paragraph" w:styleId="Revzia">
    <w:name w:val="Revision"/>
    <w:hidden/>
    <w:uiPriority w:val="99"/>
    <w:semiHidden/>
    <w:rsid w:val="00D36D54"/>
    <w:rPr>
      <w:rFonts w:ascii="Verdana" w:hAnsi="Verdana"/>
      <w:sz w:val="17"/>
      <w:lang w:eastAsia="en-US"/>
    </w:rPr>
  </w:style>
  <w:style w:type="character" w:customStyle="1" w:styleId="ra">
    <w:name w:val="ra"/>
    <w:basedOn w:val="Predvolenpsmoodseku"/>
    <w:rsid w:val="00D36D54"/>
  </w:style>
  <w:style w:type="paragraph" w:styleId="Odsekzoznamu">
    <w:name w:val="List Paragraph"/>
    <w:basedOn w:val="Normlny"/>
    <w:uiPriority w:val="34"/>
    <w:qFormat/>
    <w:rsid w:val="00D36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oleObject" Target="embeddings/Microsoft_Excel_97-2003_Worksheet4.xls"/><Relationship Id="rId26" Type="http://schemas.openxmlformats.org/officeDocument/2006/relationships/oleObject" Target="embeddings/Microsoft_Excel_97-2003_Worksheet7.xls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4.emf"/><Relationship Id="rId25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3.xls"/><Relationship Id="rId20" Type="http://schemas.openxmlformats.org/officeDocument/2006/relationships/oleObject" Target="embeddings/Microsoft_Excel_97-2003_Worksheet5.xls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6.xls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image" Target="media/image6.emf"/><Relationship Id="rId28" Type="http://schemas.openxmlformats.org/officeDocument/2006/relationships/oleObject" Target="embeddings/Microsoft_Excel_97-2003_Worksheet8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5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Relationship Id="rId22" Type="http://schemas.openxmlformats.org/officeDocument/2006/relationships/header" Target="header2.xml"/><Relationship Id="rId27" Type="http://schemas.openxmlformats.org/officeDocument/2006/relationships/image" Target="media/image8.emf"/><Relationship Id="rId30" Type="http://schemas.openxmlformats.org/officeDocument/2006/relationships/oleObject" Target="embeddings/Microsoft_Excel_97-2003_Worksheet9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47C99-2D3E-405F-B7E4-3249C6E9B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3209</Words>
  <Characters>18294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</cp:lastModifiedBy>
  <cp:revision>12</cp:revision>
  <cp:lastPrinted>2014-04-01T10:18:00Z</cp:lastPrinted>
  <dcterms:created xsi:type="dcterms:W3CDTF">2014-04-01T08:39:00Z</dcterms:created>
  <dcterms:modified xsi:type="dcterms:W3CDTF">2014-04-01T10:18:00Z</dcterms:modified>
</cp:coreProperties>
</file>