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8D1531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Verdana" w:hAnsi="Verdana" w:cs="Arial"/>
          <w:b/>
          <w:sz w:val="17"/>
          <w:szCs w:val="17"/>
        </w:rPr>
      </w:pPr>
      <w:r w:rsidRPr="008D1531">
        <w:rPr>
          <w:rFonts w:ascii="Verdana" w:hAnsi="Verdana" w:cs="Arial"/>
          <w:b/>
          <w:sz w:val="17"/>
          <w:szCs w:val="17"/>
        </w:rPr>
        <w:t>Poznámky k účtovnej závierke za rok 2013</w:t>
      </w:r>
    </w:p>
    <w:p w:rsidR="00295E93" w:rsidRPr="008D1531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Verdana" w:hAnsi="Verdana" w:cs="Arial"/>
          <w:sz w:val="17"/>
          <w:szCs w:val="17"/>
        </w:rPr>
      </w:pPr>
      <w:r w:rsidRPr="008D1531">
        <w:rPr>
          <w:rFonts w:ascii="Verdana" w:hAnsi="Verdana" w:cs="Arial"/>
          <w:sz w:val="17"/>
          <w:szCs w:val="17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8D1531" w:rsidRDefault="00295E93">
      <w:pPr>
        <w:rPr>
          <w:rFonts w:ascii="Verdana" w:hAnsi="Verdana" w:cs="Arial"/>
          <w:sz w:val="17"/>
          <w:szCs w:val="17"/>
        </w:rPr>
      </w:pPr>
    </w:p>
    <w:p w:rsidR="00EB2C99" w:rsidRPr="008D1531" w:rsidRDefault="00EB2C99">
      <w:pPr>
        <w:rPr>
          <w:rFonts w:ascii="Verdana" w:hAnsi="Verdana" w:cs="Arial"/>
          <w:sz w:val="17"/>
          <w:szCs w:val="17"/>
        </w:rPr>
      </w:pPr>
    </w:p>
    <w:p w:rsidR="00EB2C99" w:rsidRPr="008D1531" w:rsidRDefault="00EB2C99" w:rsidP="00EB2C99">
      <w:pPr>
        <w:rPr>
          <w:rFonts w:ascii="Verdana" w:hAnsi="Verdana" w:cs="Arial"/>
          <w:b/>
          <w:sz w:val="17"/>
          <w:szCs w:val="17"/>
        </w:rPr>
      </w:pPr>
      <w:r w:rsidRPr="008D1531">
        <w:rPr>
          <w:rFonts w:ascii="Verdana" w:hAnsi="Verdana" w:cs="Arial"/>
          <w:b/>
          <w:sz w:val="17"/>
          <w:szCs w:val="17"/>
        </w:rPr>
        <w:t>I. VŠEOBECNÉ INFORMÁCIE</w:t>
      </w:r>
    </w:p>
    <w:p w:rsidR="00EB2C99" w:rsidRPr="008D1531" w:rsidRDefault="00EB2C99">
      <w:pPr>
        <w:rPr>
          <w:rFonts w:ascii="Verdana" w:hAnsi="Verdana" w:cs="Arial"/>
          <w:sz w:val="17"/>
          <w:szCs w:val="17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8D1531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8D1531" w:rsidRDefault="000F2B0F" w:rsidP="000F2B0F">
            <w:pPr>
              <w:jc w:val="both"/>
              <w:rPr>
                <w:rFonts w:ascii="Verdana" w:hAnsi="Verdana" w:cs="Arial"/>
                <w:b/>
                <w:sz w:val="17"/>
                <w:szCs w:val="17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</w:rPr>
              <w:t xml:space="preserve">1. </w:t>
            </w:r>
            <w:r w:rsidR="00265418" w:rsidRPr="008D1531">
              <w:rPr>
                <w:rFonts w:ascii="Verdana" w:hAnsi="Verdana" w:cs="Arial"/>
                <w:b/>
                <w:sz w:val="17"/>
                <w:szCs w:val="17"/>
              </w:rPr>
              <w:t>Základné informácie o účtovnej jednotke:</w:t>
            </w:r>
          </w:p>
        </w:tc>
      </w:tr>
      <w:tr w:rsidR="0075062E" w:rsidRPr="0075062E" w:rsidTr="0075062E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</w:p>
        </w:tc>
      </w:tr>
      <w:tr w:rsidR="0075062E" w:rsidRPr="0075062E" w:rsidTr="0075062E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</w:p>
        </w:tc>
      </w:tr>
      <w:tr w:rsidR="0075062E" w:rsidRPr="0075062E" w:rsidTr="0075062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proofErr w:type="spellStart"/>
            <w:r w:rsidRPr="0075062E">
              <w:rPr>
                <w:rFonts w:ascii="Verdana" w:hAnsi="Verdana" w:cs="Arial"/>
                <w:sz w:val="17"/>
                <w:szCs w:val="17"/>
              </w:rPr>
              <w:t>OuiProduction</w:t>
            </w:r>
            <w:proofErr w:type="spellEnd"/>
            <w:r w:rsidRPr="0075062E">
              <w:rPr>
                <w:rFonts w:ascii="Verdana" w:hAnsi="Verdana" w:cs="Arial"/>
                <w:sz w:val="17"/>
                <w:szCs w:val="17"/>
              </w:rPr>
              <w:t xml:space="preserve"> s. r. o.</w:t>
            </w:r>
          </w:p>
        </w:tc>
      </w:tr>
      <w:tr w:rsidR="0075062E" w:rsidRPr="0075062E" w:rsidTr="0075062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Nad Lomom 13, Bratislava 811 02</w:t>
            </w:r>
          </w:p>
        </w:tc>
      </w:tr>
      <w:tr w:rsidR="0075062E" w:rsidRPr="0075062E" w:rsidTr="0075062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12.08.2010</w:t>
            </w:r>
          </w:p>
        </w:tc>
      </w:tr>
      <w:tr w:rsidR="0075062E" w:rsidRPr="0075062E" w:rsidTr="0075062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27.08.2010</w:t>
            </w:r>
          </w:p>
        </w:tc>
      </w:tr>
    </w:tbl>
    <w:p w:rsidR="0075062E" w:rsidRPr="0075062E" w:rsidRDefault="0075062E" w:rsidP="0075062E">
      <w:pPr>
        <w:jc w:val="both"/>
        <w:rPr>
          <w:rFonts w:ascii="Verdana" w:hAnsi="Verdana" w:cs="Arial"/>
          <w:b/>
          <w:bCs/>
          <w:sz w:val="17"/>
          <w:szCs w:val="17"/>
        </w:rPr>
      </w:pPr>
    </w:p>
    <w:p w:rsidR="0075062E" w:rsidRPr="0075062E" w:rsidRDefault="0075062E" w:rsidP="0075062E">
      <w:pPr>
        <w:jc w:val="both"/>
        <w:rPr>
          <w:rFonts w:ascii="Verdana" w:hAnsi="Verdana" w:cs="Arial"/>
          <w:sz w:val="17"/>
          <w:szCs w:val="17"/>
        </w:rPr>
      </w:pPr>
      <w:r w:rsidRPr="0075062E">
        <w:rPr>
          <w:rFonts w:ascii="Verdana" w:hAnsi="Verdana" w:cs="Arial"/>
          <w:sz w:val="17"/>
          <w:szCs w:val="17"/>
        </w:rPr>
        <w:t>Opis hospodárskej činnosti účtovnej jednotky:</w:t>
      </w:r>
    </w:p>
    <w:p w:rsidR="0075062E" w:rsidRPr="0075062E" w:rsidRDefault="0075062E" w:rsidP="0075062E">
      <w:pPr>
        <w:spacing w:after="120"/>
        <w:jc w:val="both"/>
        <w:rPr>
          <w:rFonts w:ascii="Verdana" w:hAnsi="Verdana" w:cs="Arial"/>
          <w:sz w:val="17"/>
          <w:szCs w:val="17"/>
        </w:rPr>
      </w:pPr>
    </w:p>
    <w:p w:rsidR="0075062E" w:rsidRPr="0075062E" w:rsidRDefault="0075062E" w:rsidP="0075062E">
      <w:pPr>
        <w:spacing w:after="120"/>
        <w:jc w:val="both"/>
        <w:rPr>
          <w:rFonts w:ascii="Verdana" w:hAnsi="Verdana" w:cs="Arial"/>
          <w:sz w:val="17"/>
          <w:szCs w:val="17"/>
        </w:rPr>
      </w:pPr>
      <w:r w:rsidRPr="0075062E">
        <w:rPr>
          <w:rFonts w:ascii="Verdana" w:hAnsi="Verdana" w:cs="Arial"/>
          <w:sz w:val="17"/>
          <w:szCs w:val="17"/>
        </w:rPr>
        <w:t>- vydavateľská činnosť,</w:t>
      </w:r>
    </w:p>
    <w:p w:rsidR="0075062E" w:rsidRPr="0075062E" w:rsidRDefault="0075062E" w:rsidP="0075062E">
      <w:pPr>
        <w:spacing w:after="120"/>
        <w:jc w:val="both"/>
        <w:rPr>
          <w:rFonts w:ascii="Verdana" w:hAnsi="Verdana" w:cs="Arial"/>
          <w:sz w:val="17"/>
          <w:szCs w:val="17"/>
        </w:rPr>
      </w:pPr>
      <w:r w:rsidRPr="0075062E">
        <w:rPr>
          <w:rFonts w:ascii="Verdana" w:hAnsi="Verdana" w:cs="Arial"/>
          <w:sz w:val="17"/>
          <w:szCs w:val="17"/>
        </w:rPr>
        <w:t>- poskytovanie obslužných služieb pri kultúrnych a iných spoločenských podujatiach.</w:t>
      </w:r>
    </w:p>
    <w:p w:rsidR="0075062E" w:rsidRPr="0075062E" w:rsidRDefault="0075062E" w:rsidP="0075062E">
      <w:pPr>
        <w:spacing w:after="120"/>
        <w:jc w:val="both"/>
        <w:rPr>
          <w:rFonts w:ascii="Verdana" w:hAnsi="Verdana" w:cs="Arial"/>
          <w:sz w:val="17"/>
          <w:szCs w:val="17"/>
        </w:rPr>
      </w:pPr>
    </w:p>
    <w:p w:rsidR="0075062E" w:rsidRPr="0075062E" w:rsidRDefault="0075062E" w:rsidP="0075062E">
      <w:pPr>
        <w:spacing w:after="120"/>
        <w:jc w:val="both"/>
        <w:rPr>
          <w:rFonts w:ascii="Verdana" w:hAnsi="Verdana" w:cs="Arial"/>
          <w:b/>
          <w:sz w:val="17"/>
          <w:szCs w:val="17"/>
        </w:rPr>
      </w:pPr>
      <w:r w:rsidRPr="0075062E">
        <w:rPr>
          <w:rFonts w:ascii="Verdana" w:hAnsi="Verdana" w:cs="Arial"/>
          <w:b/>
          <w:sz w:val="17"/>
          <w:szCs w:val="17"/>
        </w:rPr>
        <w:t>2. Informácie o počte zamestnancov</w:t>
      </w:r>
    </w:p>
    <w:p w:rsidR="0075062E" w:rsidRPr="0075062E" w:rsidRDefault="0075062E" w:rsidP="0075062E">
      <w:pPr>
        <w:spacing w:after="120"/>
        <w:jc w:val="both"/>
        <w:rPr>
          <w:rFonts w:ascii="Verdana" w:hAnsi="Verdana" w:cs="Arial"/>
          <w:sz w:val="17"/>
          <w:szCs w:val="17"/>
        </w:rPr>
      </w:pPr>
      <w:r w:rsidRPr="0075062E">
        <w:rPr>
          <w:rFonts w:ascii="Verdana" w:hAnsi="Verdana" w:cs="Arial"/>
          <w:sz w:val="17"/>
          <w:szCs w:val="17"/>
        </w:rPr>
        <w:t xml:space="preserve">Informácie k prílohe č.3 časti A. písm. c) </w:t>
      </w:r>
      <w:r w:rsidRPr="0075062E">
        <w:rPr>
          <w:rFonts w:ascii="Verdana" w:hAnsi="Verdana" w:cs="Arial"/>
          <w:sz w:val="17"/>
          <w:szCs w:val="17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75062E" w:rsidRPr="0075062E" w:rsidTr="0075062E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75062E" w:rsidRPr="0075062E" w:rsidRDefault="0075062E" w:rsidP="0075062E">
            <w:pPr>
              <w:ind w:right="459"/>
              <w:jc w:val="center"/>
              <w:rPr>
                <w:rFonts w:ascii="Verdana" w:hAnsi="Verdana" w:cs="Arial"/>
                <w:b/>
                <w:bCs/>
                <w:sz w:val="17"/>
                <w:szCs w:val="17"/>
              </w:rPr>
            </w:pPr>
            <w:r w:rsidRPr="0075062E">
              <w:rPr>
                <w:rFonts w:ascii="Verdana" w:hAnsi="Verdana" w:cs="Arial"/>
                <w:b/>
                <w:bCs/>
                <w:sz w:val="17"/>
                <w:szCs w:val="17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75062E" w:rsidRPr="0075062E" w:rsidRDefault="0075062E" w:rsidP="0075062E">
            <w:pPr>
              <w:jc w:val="center"/>
              <w:rPr>
                <w:rFonts w:ascii="Verdana" w:hAnsi="Verdana" w:cs="Arial"/>
                <w:b/>
                <w:bCs/>
                <w:sz w:val="17"/>
                <w:szCs w:val="17"/>
              </w:rPr>
            </w:pPr>
            <w:r w:rsidRPr="0075062E">
              <w:rPr>
                <w:rFonts w:ascii="Verdana" w:hAnsi="Verdana" w:cs="Arial"/>
                <w:b/>
                <w:bCs/>
                <w:sz w:val="17"/>
                <w:szCs w:val="17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75062E" w:rsidRPr="0075062E" w:rsidRDefault="0075062E" w:rsidP="0075062E">
            <w:pPr>
              <w:jc w:val="center"/>
              <w:rPr>
                <w:rFonts w:ascii="Verdana" w:hAnsi="Verdana" w:cs="Arial"/>
                <w:b/>
                <w:bCs/>
                <w:sz w:val="17"/>
                <w:szCs w:val="17"/>
              </w:rPr>
            </w:pPr>
            <w:r w:rsidRPr="0075062E">
              <w:rPr>
                <w:rFonts w:ascii="Verdana" w:hAnsi="Verdana" w:cs="Arial"/>
                <w:b/>
                <w:bCs/>
                <w:sz w:val="17"/>
                <w:szCs w:val="17"/>
              </w:rPr>
              <w:t>Bezprostredne predchádzajúce účtovné obdobie</w:t>
            </w:r>
          </w:p>
        </w:tc>
      </w:tr>
      <w:tr w:rsidR="0075062E" w:rsidRPr="0075062E" w:rsidTr="0075062E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1</w:t>
            </w:r>
          </w:p>
        </w:tc>
      </w:tr>
      <w:tr w:rsidR="0075062E" w:rsidRPr="0075062E" w:rsidTr="0075062E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7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1</w:t>
            </w:r>
          </w:p>
        </w:tc>
      </w:tr>
      <w:tr w:rsidR="0075062E" w:rsidRPr="0075062E" w:rsidTr="0075062E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both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5062E" w:rsidRPr="0075062E" w:rsidRDefault="0075062E" w:rsidP="0075062E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 w:rsidRPr="0075062E">
              <w:rPr>
                <w:rFonts w:ascii="Verdana" w:hAnsi="Verdana" w:cs="Arial"/>
                <w:sz w:val="17"/>
                <w:szCs w:val="17"/>
              </w:rPr>
              <w:t>1</w:t>
            </w:r>
          </w:p>
        </w:tc>
      </w:tr>
    </w:tbl>
    <w:p w:rsidR="0075062E" w:rsidRPr="0075062E" w:rsidRDefault="0075062E" w:rsidP="0075062E">
      <w:pPr>
        <w:ind w:left="928" w:right="-468"/>
        <w:jc w:val="both"/>
        <w:rPr>
          <w:rFonts w:ascii="Verdana" w:hAnsi="Verdana" w:cs="Arial"/>
          <w:sz w:val="17"/>
          <w:szCs w:val="17"/>
        </w:rPr>
      </w:pPr>
    </w:p>
    <w:p w:rsid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Pr="00D36D54" w:rsidRDefault="0075062E" w:rsidP="0075062E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3.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Neobmedzené ručenie</w:t>
      </w:r>
    </w:p>
    <w:p w:rsid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P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  <w:r w:rsidRPr="00D36D54">
        <w:rPr>
          <w:rFonts w:ascii="Verdana" w:hAnsi="Verdana"/>
          <w:snapToGrid w:val="0"/>
          <w:sz w:val="17"/>
          <w:szCs w:val="20"/>
        </w:rPr>
        <w:t>Spoločnosť nie je neobmedzene ručiacim spoločníkom v iných spoločnostiach podľa § 56 ods. 5 Obchodného zákonníka.</w:t>
      </w:r>
    </w:p>
    <w:p w:rsid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P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Default="0075062E" w:rsidP="0075062E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28"/>
          <w:lang w:eastAsia="en-US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4.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Právny dôvod zostavenia účtovnej závierky</w:t>
      </w:r>
    </w:p>
    <w:p w:rsidR="0075062E" w:rsidRP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P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  <w:r w:rsidRPr="0075062E">
        <w:rPr>
          <w:rFonts w:ascii="Verdana" w:hAnsi="Verdana" w:cs="Arial"/>
          <w:sz w:val="17"/>
          <w:szCs w:val="17"/>
        </w:rPr>
        <w:t xml:space="preserve">Táto účtovná jednotka je riadna individuálna účtovná závierka za </w:t>
      </w:r>
      <w:proofErr w:type="spellStart"/>
      <w:r w:rsidRPr="0075062E">
        <w:rPr>
          <w:rFonts w:ascii="Verdana" w:hAnsi="Verdana" w:cs="Arial"/>
          <w:sz w:val="17"/>
          <w:szCs w:val="17"/>
        </w:rPr>
        <w:t>OuiProduction</w:t>
      </w:r>
      <w:proofErr w:type="spellEnd"/>
      <w:r w:rsidRPr="0075062E">
        <w:rPr>
          <w:rFonts w:ascii="Verdana" w:hAnsi="Verdana" w:cs="Arial"/>
          <w:sz w:val="17"/>
          <w:szCs w:val="17"/>
        </w:rPr>
        <w:t>, s.r.o. Bola zostavená za účtovné obdobie od 1. januára do 31. decembra 2013 podľa slovenských právnych predpisov, a to Zákona o účtovníctve a postupov účtovania pre podnikateľov.</w:t>
      </w:r>
    </w:p>
    <w:p w:rsid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P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P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  <w:r>
        <w:rPr>
          <w:rFonts w:ascii="Verdana" w:hAnsi="Verdana" w:cs="Arial"/>
          <w:b/>
          <w:bCs/>
          <w:iCs/>
          <w:sz w:val="17"/>
          <w:szCs w:val="28"/>
          <w:lang w:eastAsia="en-US"/>
        </w:rPr>
        <w:t xml:space="preserve">5. </w:t>
      </w:r>
      <w:r w:rsidRPr="00D36D54">
        <w:rPr>
          <w:rFonts w:ascii="Verdana" w:hAnsi="Verdana" w:cs="Arial"/>
          <w:b/>
          <w:bCs/>
          <w:iCs/>
          <w:sz w:val="17"/>
          <w:szCs w:val="28"/>
          <w:lang w:eastAsia="en-US"/>
        </w:rPr>
        <w:t>Dátum schválenia účtovnej závierky za bezprostredne predchádzajúce účtovné obdobie príslušným orgánom účtovnej jednotky:</w:t>
      </w:r>
    </w:p>
    <w:p w:rsidR="0075062E" w:rsidRP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Pr="0075062E" w:rsidRDefault="0075062E" w:rsidP="0075062E">
      <w:pPr>
        <w:ind w:right="-468"/>
        <w:jc w:val="both"/>
        <w:rPr>
          <w:rFonts w:ascii="Verdana" w:hAnsi="Verdana" w:cs="Arial"/>
          <w:sz w:val="17"/>
          <w:szCs w:val="17"/>
        </w:rPr>
      </w:pPr>
      <w:r w:rsidRPr="0075062E">
        <w:rPr>
          <w:rFonts w:ascii="Verdana" w:hAnsi="Verdana" w:cs="Arial"/>
          <w:sz w:val="17"/>
          <w:szCs w:val="17"/>
        </w:rPr>
        <w:t xml:space="preserve">Účtovnú závierku spoločnosti </w:t>
      </w:r>
      <w:proofErr w:type="spellStart"/>
      <w:r w:rsidRPr="0075062E">
        <w:rPr>
          <w:rFonts w:ascii="Verdana" w:hAnsi="Verdana" w:cs="Arial"/>
          <w:sz w:val="17"/>
          <w:szCs w:val="17"/>
        </w:rPr>
        <w:t>OuiProduction</w:t>
      </w:r>
      <w:proofErr w:type="spellEnd"/>
      <w:r w:rsidRPr="0075062E">
        <w:rPr>
          <w:rFonts w:ascii="Verdana" w:hAnsi="Verdana" w:cs="Arial"/>
          <w:sz w:val="17"/>
          <w:szCs w:val="17"/>
        </w:rPr>
        <w:t>, s.r.o. za rok 2012 schválilo riadne valné zhromaždenie, ktoré sa konalo dňa 30.06.2013.</w:t>
      </w:r>
    </w:p>
    <w:p w:rsidR="0075062E" w:rsidRDefault="0075062E" w:rsidP="0075062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Default="00E90529" w:rsidP="003C13B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Default="0075062E" w:rsidP="003C13B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Default="0075062E" w:rsidP="003C13B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Default="0075062E" w:rsidP="003C13B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75062E" w:rsidRPr="008D1531" w:rsidRDefault="0075062E" w:rsidP="003C13B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0F2B0F" w:rsidRPr="008D1531" w:rsidRDefault="000F2B0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6. Členovia orgánov spoločnosti</w:t>
      </w:r>
    </w:p>
    <w:p w:rsidR="000F2B0F" w:rsidRPr="008D1531" w:rsidRDefault="000F2B0F" w:rsidP="000F2B0F">
      <w:pPr>
        <w:jc w:val="both"/>
        <w:rPr>
          <w:rFonts w:ascii="Verdana" w:hAnsi="Verdana"/>
          <w:sz w:val="17"/>
          <w:szCs w:val="17"/>
          <w:lang w:eastAsia="en-US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0F2B0F" w:rsidRPr="008D1531" w:rsidTr="000F2B0F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bookmarkStart w:id="0" w:name="OLE_LINK1"/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Meno</w:t>
            </w:r>
          </w:p>
        </w:tc>
      </w:tr>
      <w:tr w:rsidR="000F2B0F" w:rsidRPr="008D1531" w:rsidTr="000F2B0F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0F" w:rsidRPr="008D1531" w:rsidRDefault="00291740" w:rsidP="000F2B0F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C</w:t>
            </w:r>
          </w:p>
        </w:tc>
      </w:tr>
      <w:tr w:rsidR="000F2B0F" w:rsidRPr="008D1531" w:rsidTr="0075062E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F2B0F" w:rsidRPr="008D1531" w:rsidRDefault="000F2B0F" w:rsidP="000F2B0F">
            <w:pPr>
              <w:jc w:val="both"/>
              <w:rPr>
                <w:rFonts w:ascii="Verdana" w:hAnsi="Verdana"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F2B0F" w:rsidRPr="008D1531" w:rsidRDefault="00E80C3F" w:rsidP="000F2B0F">
            <w:pPr>
              <w:jc w:val="both"/>
              <w:rPr>
                <w:rFonts w:ascii="Verdana" w:hAnsi="Verdana"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</w:rPr>
              <w:t>K</w:t>
            </w:r>
            <w:r w:rsidR="000F2B0F" w:rsidRPr="008D1531">
              <w:rPr>
                <w:rFonts w:ascii="Verdana" w:hAnsi="Verdana"/>
                <w:snapToGrid w:val="0"/>
                <w:sz w:val="17"/>
                <w:szCs w:val="17"/>
              </w:rPr>
              <w:t>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0F2B0F" w:rsidRPr="008D1531" w:rsidRDefault="0075062E" w:rsidP="000F2B0F">
            <w:pPr>
              <w:jc w:val="both"/>
              <w:rPr>
                <w:rFonts w:ascii="Verdana" w:hAnsi="Verdana"/>
                <w:snapToGrid w:val="0"/>
                <w:sz w:val="17"/>
                <w:szCs w:val="17"/>
                <w:highlight w:val="yellow"/>
              </w:rPr>
            </w:pPr>
            <w:r w:rsidRPr="0075062E">
              <w:rPr>
                <w:rFonts w:ascii="Verdana" w:hAnsi="Verdana"/>
                <w:snapToGrid w:val="0"/>
                <w:sz w:val="17"/>
                <w:szCs w:val="17"/>
              </w:rPr>
              <w:t xml:space="preserve">Patrícia   </w:t>
            </w:r>
            <w:proofErr w:type="spellStart"/>
            <w:r w:rsidRPr="0075062E">
              <w:rPr>
                <w:rFonts w:ascii="Verdana" w:hAnsi="Verdana"/>
                <w:snapToGrid w:val="0"/>
                <w:sz w:val="17"/>
                <w:szCs w:val="17"/>
              </w:rPr>
              <w:t>Vitteková</w:t>
            </w:r>
            <w:proofErr w:type="spellEnd"/>
          </w:p>
        </w:tc>
      </w:tr>
      <w:tr w:rsidR="0075062E" w:rsidRPr="008D1531" w:rsidTr="000F2B0F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5062E" w:rsidRPr="008D1531" w:rsidRDefault="0075062E" w:rsidP="0075062E">
            <w:pPr>
              <w:jc w:val="both"/>
              <w:rPr>
                <w:rFonts w:ascii="Verdana" w:hAnsi="Verdana"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75062E" w:rsidRPr="008D1531" w:rsidRDefault="0075062E" w:rsidP="0075062E">
            <w:pPr>
              <w:jc w:val="both"/>
              <w:rPr>
                <w:rFonts w:ascii="Verdana" w:hAnsi="Verdana"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75062E" w:rsidRPr="008D1531" w:rsidRDefault="0075062E" w:rsidP="000F2B0F">
            <w:pPr>
              <w:jc w:val="both"/>
              <w:rPr>
                <w:rFonts w:ascii="Verdana" w:hAnsi="Verdana"/>
                <w:snapToGrid w:val="0"/>
                <w:sz w:val="17"/>
                <w:szCs w:val="17"/>
              </w:rPr>
            </w:pPr>
            <w:r w:rsidRPr="0075062E">
              <w:rPr>
                <w:rFonts w:ascii="Verdana" w:hAnsi="Verdana"/>
                <w:snapToGrid w:val="0"/>
                <w:sz w:val="17"/>
                <w:szCs w:val="17"/>
              </w:rPr>
              <w:t>Robert</w:t>
            </w:r>
            <w:r w:rsidR="003A68A0">
              <w:rPr>
                <w:rFonts w:ascii="Verdana" w:hAnsi="Verdana"/>
                <w:snapToGrid w:val="0"/>
                <w:sz w:val="17"/>
                <w:szCs w:val="17"/>
              </w:rPr>
              <w:t xml:space="preserve"> </w:t>
            </w:r>
            <w:proofErr w:type="spellStart"/>
            <w:r w:rsidRPr="0075062E">
              <w:rPr>
                <w:rFonts w:ascii="Verdana" w:hAnsi="Verdana"/>
                <w:snapToGrid w:val="0"/>
                <w:sz w:val="17"/>
                <w:szCs w:val="17"/>
              </w:rPr>
              <w:t>Vittek</w:t>
            </w:r>
            <w:proofErr w:type="spellEnd"/>
          </w:p>
        </w:tc>
      </w:tr>
      <w:bookmarkEnd w:id="0"/>
    </w:tbl>
    <w:p w:rsidR="000F2B0F" w:rsidRPr="008D1531" w:rsidRDefault="000F2B0F" w:rsidP="000F2B0F">
      <w:pPr>
        <w:jc w:val="both"/>
        <w:rPr>
          <w:rFonts w:ascii="Verdana" w:hAnsi="Verdana"/>
          <w:i/>
          <w:color w:val="FF0000"/>
          <w:sz w:val="17"/>
          <w:szCs w:val="17"/>
          <w:lang w:eastAsia="en-US"/>
        </w:rPr>
      </w:pPr>
    </w:p>
    <w:p w:rsidR="000F2B0F" w:rsidRPr="008D1531" w:rsidRDefault="000F2B0F" w:rsidP="000F2B0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0F2B0F" w:rsidRPr="008D1531" w:rsidRDefault="000F2B0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7. Štruktúra spoločníkov a akcionárov a ich podiel na základnom imaní</w:t>
      </w:r>
    </w:p>
    <w:p w:rsidR="000F2B0F" w:rsidRDefault="000F2B0F" w:rsidP="000F2B0F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C63F44" w:rsidRDefault="00C63F44" w:rsidP="000F2B0F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C63F44" w:rsidRDefault="00C63F44" w:rsidP="000F2B0F">
      <w:pPr>
        <w:jc w:val="both"/>
        <w:rPr>
          <w:rFonts w:ascii="Verdana" w:hAnsi="Verdana"/>
          <w:sz w:val="17"/>
          <w:szCs w:val="17"/>
          <w:lang w:eastAsia="en-US"/>
        </w:rPr>
      </w:pPr>
      <w:r>
        <w:object w:dxaOrig="9219" w:dyaOrig="259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0.8pt;height:132.15pt" o:ole="" o:bordertopcolor="this" o:borderleftcolor="this">
            <v:imagedata r:id="rId9" o:title=""/>
            <w10:bordertop type="single" width="4"/>
            <w10:borderleft type="single" width="4"/>
          </v:shape>
          <o:OLEObject Type="Embed" ProgID="Excel.Sheet.8" ShapeID="_x0000_i1025" DrawAspect="Content" ObjectID="_1465367333" r:id="rId10"/>
        </w:object>
      </w:r>
    </w:p>
    <w:p w:rsidR="00C63F44" w:rsidRPr="008D1531" w:rsidRDefault="00C63F44" w:rsidP="000F2B0F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0F2B0F" w:rsidRPr="008D1531" w:rsidRDefault="000F2B0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bookmarkStart w:id="1" w:name="_MON_1389597047"/>
      <w:bookmarkStart w:id="2" w:name="_MON_1389597090"/>
      <w:bookmarkStart w:id="3" w:name="_MON_1389596630"/>
      <w:bookmarkStart w:id="4" w:name="_MON_1389596823"/>
      <w:bookmarkEnd w:id="1"/>
      <w:bookmarkEnd w:id="2"/>
      <w:bookmarkEnd w:id="3"/>
      <w:bookmarkEnd w:id="4"/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8. Konsolidovaná účtovná závierka</w:t>
      </w:r>
    </w:p>
    <w:p w:rsidR="00EB2C99" w:rsidRPr="008D1531" w:rsidRDefault="00EB2C99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Cs/>
          <w:iCs/>
          <w:sz w:val="17"/>
          <w:szCs w:val="17"/>
          <w:lang w:eastAsia="en-US"/>
        </w:rPr>
        <w:t>Spoločnosť nie je členom konsolidovaného celku.</w:t>
      </w:r>
    </w:p>
    <w:p w:rsidR="00EB2C99" w:rsidRPr="008D1531" w:rsidRDefault="00EB2C99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</w:p>
    <w:p w:rsidR="00E80C3F" w:rsidRPr="008D1531" w:rsidRDefault="00E80C3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</w:p>
    <w:p w:rsidR="00E80C3F" w:rsidRPr="008D1531" w:rsidRDefault="00E80C3F" w:rsidP="000F2B0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</w:p>
    <w:p w:rsidR="00EB2C99" w:rsidRPr="008D1531" w:rsidRDefault="00EB2C99" w:rsidP="00EB2C99">
      <w:pPr>
        <w:pStyle w:val="Odsekzoznamu"/>
        <w:keepNext/>
        <w:numPr>
          <w:ilvl w:val="0"/>
          <w:numId w:val="22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bookmarkStart w:id="5" w:name="_Ref150575427"/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POUŽITÉ ÚČTOVNÉ ZÁSADY A ÚČTOVNÉ METÓDY</w:t>
      </w:r>
      <w:bookmarkEnd w:id="5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Účtovná závierka za rok 2013 bola spracovaná za predpokladu nepretržitého pokračovania činnosti. 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Moment zaúčtovania výnosov – výnosy sa účtujú pri splnení dodacích podmienok, nakoľko v tomto okamihu prechádzajú na odberateľa významné riziká a vlastnícke práva.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EB2C99" w:rsidRPr="008D1531" w:rsidRDefault="00EB2C99" w:rsidP="00EB2C99">
      <w:pPr>
        <w:tabs>
          <w:tab w:val="num" w:pos="540"/>
        </w:tabs>
        <w:ind w:left="540" w:hanging="54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Vykázané dane – slovenské daňové právo je relatívne mladé s nedostatkom existujúcich precedensov a podlieha neustálym novelizáciám. Nakoľko existujú rôzne interpretácie daňových </w:t>
      </w:r>
      <w:r w:rsidRPr="008D1531">
        <w:rPr>
          <w:rFonts w:ascii="Verdana" w:hAnsi="Verdana"/>
          <w:sz w:val="17"/>
          <w:szCs w:val="17"/>
          <w:lang w:eastAsia="en-US"/>
        </w:rPr>
        <w:lastRenderedPageBreak/>
        <w:t>zákonov a predpisov pri uplatňovaní v rôznych typoch transakcií, sumy vykázané v účtovnej závierke sa môžu neskôr zmeniť podľa konečného stanoviska daňových úradov.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keepNext/>
        <w:numPr>
          <w:ilvl w:val="1"/>
          <w:numId w:val="8"/>
        </w:numPr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bookmarkStart w:id="6" w:name="_Ref150575436"/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Spôsob ocenenia jednotlivých zložiek majetku a záväzkov – prvé ocenenie</w:t>
      </w:r>
      <w:bookmarkEnd w:id="6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Pri obstaraní majetku sa uplatňuje princíp obstarávacích cien (t. j. historických cien). Ocenenie jednotlivých položiek majetku a záväzkov je takéto: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Majetok obstaraný v rámci finančného prenájmu sa účtuje do majetku vo výške svojej reálnej hodnoty ku dňu obstarania (celková suma dohodnutých platieb znížená o nerealizované finančné náklady). Súvisiaci záväzok voči prenajímateľovi je v súvahe vykázaný v ostatných dlhodobých záväzkoch (r. 103 súvahy) a krátkodobá časť v ostatných záväzkoch (r. 114 súvahy). Nerealizované finančné náklady, ktoré predstavujú rozdiel medzi celkovou sumou dohodnutých platieb a reálnou 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i/>
          <w:color w:val="FF0000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Majetok prenajímaný formou finančného prenájmu sa v súvahe vykazuje ako dlhodobé iné pohľadávky (r. 045 súvahy) a krátkodobá časť v krátkodobých iných pohľadávkach (r. 054 súvahy) vo výške istiny (celková suma dohodnutých platieb znížená o nerealizované finančné výnosy). Nerealizované finančné výnosy, ktoré predstavujú rozdiel medzi celkovou sumou dohodnutých platieb a istinou, sa účtujú vo výkaze ziskov a strát počas doby trvania prenájmu použitím metódy efektívnej úrokovej miery.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Zásoby obstarané kúpou:</w:t>
      </w:r>
    </w:p>
    <w:p w:rsidR="00EB2C99" w:rsidRPr="008D1531" w:rsidRDefault="00EB2C99" w:rsidP="00EB2C99">
      <w:pPr>
        <w:numPr>
          <w:ilvl w:val="0"/>
          <w:numId w:val="11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Nakupovaný materiál – obstarávacou cenou. Pri úbytku rovnakého druhu zásob sa používa metóda FIFO. Do vedľajších nákladov vstupuje clo, prepravné a provízie. Vedľajšie náklady sa rozvrhujú ako odchýlka podľa podielu súčtu stavu a prírastku odchýlky na súčte stavu a prírastku zásob.</w:t>
      </w:r>
    </w:p>
    <w:p w:rsidR="00EB2C99" w:rsidRPr="008D1531" w:rsidRDefault="00EB2C99" w:rsidP="00EB2C99">
      <w:pPr>
        <w:numPr>
          <w:ilvl w:val="0"/>
          <w:numId w:val="11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Nakupovaný tovar – obstarávacou cenou. Pri úbytku rovnakého druhu zásob sa používa metóda váženého aritmetického priemeru. Do vedľajších nákladov patrí prepravné, clo a provízie.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Zásoby vytvorené vlastnou činnosťou:</w:t>
      </w:r>
    </w:p>
    <w:p w:rsidR="00EB2C99" w:rsidRPr="008D1531" w:rsidRDefault="00EB2C99" w:rsidP="00EB2C99">
      <w:pPr>
        <w:numPr>
          <w:ilvl w:val="0"/>
          <w:numId w:val="12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Zákazková výroba – v zmluvách o zákazkách sa určujú podmienky a vzťahy jednotlivých zmlúv, ktoré sa uzatvárajú vo fixných cenách alebo v skutočných nákladoch plus fixná marža.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napríklad správna réžia, náklady na výskum a vývoj, ktoré sa dajú priradiť k zákazke odo dňa zabezpečenia zmluvy až po jej úplné splnenie. 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Na účely účtovania o zákazke sa zostavuje jej rozpočet. Ak sa z uskutočnenia zákazky očakáva strata, pretože rozpočtované náklady na zákazku sú vyššie ako rozpočtované výnosy zo zákazky, zohľadní sa táto strata v účtovnom období, v ktorom sa zákazka začala uskutočňovať, a to vytvorením opravnej položky (do výšky aktivovaných zásob) a rezervy (vo výške straty nad výšku aktivovaných zásob). 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Výnosy zo zákazky sa účtujú podľa metódy percenta dokončenia zákazky bez ohľadu na to, či doteraz uskutočnené práce už boli fakturované a v akej výške. Percento dokončenia zákazky sa zisťuje ako pomer skutočne vynaložených nákladov na zákazku k celkovým rozpočtovaným nákladom na zákazku.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Pohľadávky:</w:t>
      </w:r>
    </w:p>
    <w:p w:rsidR="00EB2C99" w:rsidRPr="008D1531" w:rsidRDefault="00EB2C99" w:rsidP="00EB2C99">
      <w:pPr>
        <w:numPr>
          <w:ilvl w:val="0"/>
          <w:numId w:val="13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ich vzniku alebo bezodplatnom nadobudnutí – menovitou hodnotou,</w:t>
      </w:r>
    </w:p>
    <w:p w:rsidR="00EB2C99" w:rsidRPr="008D1531" w:rsidRDefault="00EB2C99" w:rsidP="00EB2C99">
      <w:pPr>
        <w:numPr>
          <w:ilvl w:val="0"/>
          <w:numId w:val="13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odplatnom nadobudnutí (postúpení) alebo nadobudnutí vkladom do základného imania – obstarávacou cenou.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Pri dlhodobých pohľadávkach a dlhodobých pôžičkách sa uvádza opravná položka v stĺpci korekcia, čím sa upravuje hodnota tejto pohľadávky a pôžičky na jej súčasnú hodnotu, napríklad metódou efektívnej úrokovej miery. 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Časové rozlíšenie na strane aktív súvahy – očakávanou menovitou hodnotou.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Záväzky:</w:t>
      </w:r>
    </w:p>
    <w:p w:rsidR="00EB2C99" w:rsidRPr="008D1531" w:rsidRDefault="00EB2C99" w:rsidP="00EB2C99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ich vzniku – menovitou hodnotou,</w:t>
      </w:r>
    </w:p>
    <w:p w:rsidR="00EB2C99" w:rsidRPr="008D1531" w:rsidRDefault="00EB2C99" w:rsidP="00EB2C99">
      <w:pPr>
        <w:numPr>
          <w:ilvl w:val="0"/>
          <w:numId w:val="14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prevzatí – obstarávacou cenou.</w:t>
      </w: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Rezervy – v očakávanej výške záväzku alebo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poistnomatematickými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metódami.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Dlhopisy, pôžičky, úvery: </w:t>
      </w:r>
    </w:p>
    <w:p w:rsidR="00EB2C99" w:rsidRPr="008D1531" w:rsidRDefault="00EB2C99" w:rsidP="00EB2C99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ich vzniku – menovitou hodnotou,</w:t>
      </w:r>
    </w:p>
    <w:p w:rsidR="00EB2C99" w:rsidRPr="008D1531" w:rsidRDefault="00EB2C99" w:rsidP="00EB2C99">
      <w:pPr>
        <w:numPr>
          <w:ilvl w:val="0"/>
          <w:numId w:val="15"/>
        </w:num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pri prevzatí – obstarávacou cenou.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Úroky z dlhopisov, pôžičiek a úverov sa účtujú do obdobia, s ktorým časovo a vecne súvisia.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Časové rozlíšenie na strane pasív súvahy – očakávanou menovitou hodnotou.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Deriváty – nakúpené deriváty sa oceňujú obstarávacou cenou.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Prenajatý majetok a majetok obstaraný na základe zmluvy o kúpe prenajatej veci uzatvorenej do 31. decembra 2003 sa v súvahe nevykazuje, je vedený na podsúvahovom účte v obstarávacej cene. Akontácia pri finančnom lízingu sa časovo rozlišuje a rozpúšťa do nákladov počas doby prenájmu.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Majetok obstaraný v privatizácii – zostatkovou cenou z účtovníctva privatizovaného subjektu. Rozdiel medzi vydraženou cenou a účtovnou hodnotou majetku sa zaúčtoval na účet 097 – Opravná položka k nadobudnutému majetku, ktorá sa odpisuje do nákladov pravidelne počas 15 rokov od nadobudnutia majetku.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bookmarkStart w:id="7" w:name="_Ref150575442"/>
      <w:r w:rsidRPr="008D1531">
        <w:rPr>
          <w:rFonts w:ascii="Verdana" w:hAnsi="Verdana"/>
          <w:sz w:val="17"/>
          <w:szCs w:val="17"/>
          <w:lang w:eastAsia="en-US"/>
        </w:rPr>
        <w:t>Emisné kvóty – pridelené emisné kvóty sa účtujú do krátkodobého finančného majetku so súvzťažným zápisom v prospech výnosov budúcich období, a to v ocenení reprodukčnou obstarávacou cenou v deň ich pripísania na účet kvót v registri. Zúčtovanie výnosov budúcich období sa účtuje v prospech ostatných výnosov z hospodárskej činnosti v časovej a vecnej súvislosti s použitím bezodplatne pridelených emisných kvót.</w:t>
      </w:r>
      <w:bookmarkEnd w:id="7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lastRenderedPageBreak/>
        <w:t>Daň z príjmov splatná – podľa slovenského zákona o daniach z príjmov sa splatné dane z príjmov určujú z účtovného zisku pri sadzbe 19 % po úpravách o niektoré položky na daňové účely.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19 %.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9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Dotácie poskytnuté na obstaranie dlhodobého majetku sa účtujú ako výnosy budúcich období a rozpúšťajú sa do výnosov v časovej a vecnej súvislosti so zaúčtovaním odpisov z dlhodobého hmotného majetku, na obstaranie ktorého bola dotácia poskytnutá, od doby zaradenia tohto majetku do užívania. Uvedením do užívania sa rozumie aj vydanie povolenia na predčasné užívanie stavby alebo rozhodnutia o dočasnom užívaní stavby na skúšobnú prevádzku.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pStyle w:val="Nadpis2"/>
        <w:tabs>
          <w:tab w:val="num" w:pos="539"/>
        </w:tabs>
        <w:ind w:left="539" w:hanging="539"/>
        <w:jc w:val="both"/>
        <w:rPr>
          <w:rFonts w:ascii="Verdana" w:hAnsi="Verdana" w:cs="Arial"/>
          <w:iCs/>
          <w:sz w:val="17"/>
          <w:szCs w:val="17"/>
          <w:lang w:eastAsia="en-US"/>
        </w:rPr>
      </w:pPr>
      <w:bookmarkStart w:id="8" w:name="_Ref150575465"/>
      <w:r w:rsidRPr="008D1531">
        <w:rPr>
          <w:rFonts w:ascii="Verdana" w:hAnsi="Verdana" w:cs="Arial"/>
          <w:bCs w:val="0"/>
          <w:iCs/>
          <w:sz w:val="17"/>
          <w:szCs w:val="17"/>
          <w:lang w:eastAsia="en-US"/>
        </w:rPr>
        <w:t>10.</w:t>
      </w:r>
      <w:r w:rsidRPr="008D1531">
        <w:rPr>
          <w:rFonts w:ascii="Verdana" w:hAnsi="Verdana" w:cs="Arial"/>
          <w:iCs/>
          <w:sz w:val="17"/>
          <w:szCs w:val="17"/>
          <w:lang w:eastAsia="en-US"/>
        </w:rPr>
        <w:t>Spôsob ocenenia jednotlivých zložiek majetku a záväzkov – nasledujúce ocenenie</w:t>
      </w:r>
      <w:bookmarkEnd w:id="8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bookmarkStart w:id="9" w:name="_Ref150575467"/>
      <w:r w:rsidRPr="008D1531">
        <w:rPr>
          <w:rFonts w:ascii="Verdana" w:hAnsi="Verdana"/>
          <w:sz w:val="17"/>
          <w:szCs w:val="17"/>
          <w:lang w:eastAsia="en-US"/>
        </w:rPr>
        <w:t>Predpokladané riziká, straty a zníženia hodnoty, ktoré sa týkajú majetku a záväzkov, sa vyjadrujú prostredníctvom rezerv, opravných položiek a odpisov.</w:t>
      </w:r>
      <w:bookmarkEnd w:id="9"/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6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  <w:u w:val="single"/>
        </w:rPr>
        <w:t>Rezervy</w:t>
      </w:r>
      <w:r w:rsidRPr="008D1531">
        <w:rPr>
          <w:rFonts w:ascii="Verdana" w:hAnsi="Verdana"/>
          <w:snapToGrid w:val="0"/>
          <w:sz w:val="17"/>
          <w:szCs w:val="17"/>
        </w:rPr>
        <w:t xml:space="preserve"> – účtujú sa v očakávanej výške záväzku. Spoločnosť vytvára rezervu na súdne spory, rezervu na environmentálne záväzky, emisné kvóty a rezervu na odchodné a iné dlhodobé zamestnanecké požitky. Ku dňu, ku ktorému sa zostavuje účtovná závierka, sa posudzuje ich výška a odôvodnenosť. 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90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Spoločnosť má dlhodobý program zamestnaneckých požitkov pozostávajúcich z jednorazového príspevku pri odchode do dôchodku, vernostného príspevku za odpracované roky a odmeny pri životných jubileách, na ktoré neboli vyčlenené samostatné finančné zdroje. Náklady na zamestnanecké požitky sú stanovené prírastkovou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poistnomatematickou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metódou, tzv. „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ProjectedUnitCreditMethod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“. Podľa tejto metódy sa náklady na poskytovanie dôchodkov účtujú do výkazu ziskov a strát tak, aby pravidelne sa opakujúce náklady boli rozložené na dobu trvania pracovného pomeru. Záväzky z poskytovania požitkov sú ocenené v súčasnej hodnote predpokladaných budúcich peňažných výdavkov diskontovaných sadzbou vo výške úrokového výnosu z cenných papierov s fixnou úrokovou mierou, ktorých doba splatnosti sa približne zhoduje s dobou splatnosti daného záväzku. Spoločnosť odvodzuje diskontnú sadzbu od predpokladanej reálnej úrokovej miery 4 % p. a. a očakávanej inflácie slovenskej koruny. Časť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poistnomatematických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ziskov a strát prevyšujúca 10 % definovaného záväzku z poskytovania zamestnaneckých požitkov sa odpisuje počas zostávajúcej doby trvania pracovného pomeru zamestnancov skupiny, počnúc nasledujúcim účtovným obdobím.</w:t>
      </w: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numPr>
          <w:ilvl w:val="0"/>
          <w:numId w:val="17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  <w:u w:val="single"/>
        </w:rPr>
        <w:t>Opravné položky</w:t>
      </w:r>
      <w:r w:rsidRPr="008D1531">
        <w:rPr>
          <w:rFonts w:ascii="Verdana" w:hAnsi="Verdana"/>
          <w:snapToGrid w:val="0"/>
          <w:sz w:val="17"/>
          <w:szCs w:val="17"/>
        </w:rPr>
        <w:t xml:space="preserve"> – účtujú sa v sume opodstatneného predpokladu zníženia hodnoty majetku oproti jeho oceneniu v účtovníctve, a to: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 xml:space="preserve">k zastaveným investíciám na základe zhodnotenia ich účtovnej hodnoty vo vzťahu k možnej realizovateľnej cene, 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 podielom na základnom imaní v obchodných spoločnostiach na základe metódy vlastného imania,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 zásobám bez obratu nad 360 dní vo výške 80 % podľa posúdenia ich využiteľnosti v spoločnosti alebo možného odpredaja,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 zásobám materiálu, nedokončenej výroby a výrobkov, ktorých trhová cena klesla pod obstarávaciu cenu, resp. pod ocenenie vlastnými nákladmi podľa prepočtu podielu obstarávacej ceny alebo vlastných nákladov na možnej trhovej cene,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 nedokončenej výrobe predstavujúcej zákazkovú výrobu v súvislosti s vyjadrením strát zákazky,</w:t>
      </w:r>
    </w:p>
    <w:p w:rsidR="00EB2C99" w:rsidRPr="008D1531" w:rsidRDefault="00EB2C99" w:rsidP="00EB2C99">
      <w:pPr>
        <w:numPr>
          <w:ilvl w:val="1"/>
          <w:numId w:val="19"/>
        </w:numPr>
        <w:tabs>
          <w:tab w:val="num" w:pos="1260"/>
        </w:tabs>
        <w:ind w:left="126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k pohľadávkam po lehote splatnosti nad 360 dní 100 %, nad 180 dní 70 %, z ostatných pohľadávok po lehote splatnosti 5 %.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18"/>
        </w:numPr>
        <w:tabs>
          <w:tab w:val="num" w:pos="900"/>
        </w:tabs>
        <w:ind w:left="900" w:hanging="360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  <w:u w:val="single"/>
        </w:rPr>
        <w:t xml:space="preserve">Plán odpisov </w:t>
      </w:r>
    </w:p>
    <w:p w:rsidR="00EB2C99" w:rsidRPr="008D1531" w:rsidRDefault="00EB2C99" w:rsidP="00EB2C99">
      <w:pPr>
        <w:ind w:left="900"/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ind w:left="900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8D1531" w:rsidRDefault="008D1531" w:rsidP="00EB2C99">
      <w:pPr>
        <w:ind w:left="900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900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Priemerné životnosti podľa plánu odpisov sú:</w:t>
      </w:r>
    </w:p>
    <w:p w:rsidR="00EB2C99" w:rsidRPr="008D1531" w:rsidRDefault="00EB2C99" w:rsidP="00EB2C99">
      <w:pPr>
        <w:ind w:left="539"/>
        <w:jc w:val="both"/>
        <w:rPr>
          <w:rFonts w:ascii="Verdana" w:hAnsi="Verdana"/>
          <w:b/>
          <w:snapToGrid w:val="0"/>
          <w:sz w:val="17"/>
          <w:szCs w:val="17"/>
        </w:rPr>
      </w:pPr>
    </w:p>
    <w:tbl>
      <w:tblPr>
        <w:tblpPr w:leftFromText="141" w:rightFromText="141" w:vertAnchor="text" w:tblpX="970" w:tblpY="1"/>
        <w:tblOverlap w:val="never"/>
        <w:tblW w:w="81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EB2C99" w:rsidRPr="008D1531" w:rsidTr="00291740">
        <w:trPr>
          <w:trHeight w:val="257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lastRenderedPageBreak/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Ročná sadzba odpisov</w:t>
            </w:r>
          </w:p>
        </w:tc>
      </w:tr>
      <w:tr w:rsidR="00EB2C99" w:rsidRPr="008D1531" w:rsidTr="00291740">
        <w:trPr>
          <w:trHeight w:val="257"/>
        </w:trPr>
        <w:tc>
          <w:tcPr>
            <w:tcW w:w="32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2C99" w:rsidRPr="008D1531" w:rsidRDefault="00291740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C</w:t>
            </w:r>
          </w:p>
        </w:tc>
      </w:tr>
      <w:tr w:rsidR="00EB2C99" w:rsidRPr="008D1531" w:rsidTr="00291740">
        <w:trPr>
          <w:trHeight w:val="246"/>
        </w:trPr>
        <w:tc>
          <w:tcPr>
            <w:tcW w:w="321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5,0 %</w:t>
            </w:r>
          </w:p>
        </w:tc>
      </w:tr>
      <w:tr w:rsidR="00EB2C99" w:rsidRPr="008D1531" w:rsidTr="00291740">
        <w:trPr>
          <w:trHeight w:val="261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16,7 %</w:t>
            </w:r>
          </w:p>
        </w:tc>
      </w:tr>
      <w:tr w:rsidR="00EB2C99" w:rsidRPr="008D1531" w:rsidTr="00291740">
        <w:trPr>
          <w:trHeight w:val="27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25,0 %</w:t>
            </w:r>
          </w:p>
        </w:tc>
      </w:tr>
      <w:tr w:rsidR="00EB2C99" w:rsidRPr="008D1531" w:rsidTr="00291740">
        <w:trPr>
          <w:trHeight w:val="255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napToGrid w:val="0"/>
                <w:sz w:val="17"/>
                <w:szCs w:val="17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16,7 %</w:t>
            </w:r>
          </w:p>
        </w:tc>
      </w:tr>
      <w:tr w:rsidR="00EB2C99" w:rsidRPr="008D1531" w:rsidTr="00291740">
        <w:trPr>
          <w:trHeight w:val="259"/>
        </w:trPr>
        <w:tc>
          <w:tcPr>
            <w:tcW w:w="3211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both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EB2C99" w:rsidRPr="008D1531" w:rsidRDefault="00EB2C99" w:rsidP="00291740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25,0 %</w:t>
            </w:r>
          </w:p>
        </w:tc>
      </w:tr>
    </w:tbl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ind w:left="900" w:hanging="333"/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80C3F" w:rsidP="00E80C3F">
      <w:pPr>
        <w:ind w:left="567"/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S</w:t>
      </w:r>
      <w:r w:rsidR="00EB2C99" w:rsidRPr="008D1531">
        <w:rPr>
          <w:rFonts w:ascii="Verdana" w:hAnsi="Verdana"/>
          <w:snapToGrid w:val="0"/>
          <w:sz w:val="17"/>
          <w:szCs w:val="17"/>
        </w:rPr>
        <w:t xml:space="preserve">poločnosť uplatňuje v niektorých prípadoch </w:t>
      </w:r>
      <w:proofErr w:type="spellStart"/>
      <w:r w:rsidR="00EB2C99" w:rsidRPr="008D1531">
        <w:rPr>
          <w:rFonts w:ascii="Verdana" w:hAnsi="Verdana"/>
          <w:snapToGrid w:val="0"/>
          <w:sz w:val="17"/>
          <w:szCs w:val="17"/>
        </w:rPr>
        <w:t>komponentný</w:t>
      </w:r>
      <w:proofErr w:type="spellEnd"/>
      <w:r w:rsidR="00EB2C99" w:rsidRPr="008D1531">
        <w:rPr>
          <w:rFonts w:ascii="Verdana" w:hAnsi="Verdana"/>
          <w:snapToGrid w:val="0"/>
          <w:sz w:val="17"/>
          <w:szCs w:val="17"/>
        </w:rPr>
        <w:t xml:space="preserve"> spôsob odpisovania, t.j. pri tvorbe odpisového plánu sa zohľadnila rôzna doba použiteľnosti a rôzny priebeh opotrebenia jednotlivých oddeliteľných súčastí dlhodobého majetku. </w:t>
      </w:r>
    </w:p>
    <w:p w:rsidR="00EB2C99" w:rsidRPr="008D1531" w:rsidRDefault="00EB2C99" w:rsidP="00E80C3F">
      <w:pPr>
        <w:ind w:left="567"/>
        <w:jc w:val="both"/>
        <w:rPr>
          <w:rFonts w:ascii="Verdana" w:hAnsi="Verdana"/>
          <w:snapToGrid w:val="0"/>
          <w:color w:val="FF0000"/>
          <w:sz w:val="17"/>
          <w:szCs w:val="17"/>
        </w:rPr>
      </w:pPr>
    </w:p>
    <w:p w:rsidR="00EB2C99" w:rsidRPr="008D1531" w:rsidRDefault="00EB2C99" w:rsidP="00E80C3F">
      <w:pPr>
        <w:ind w:left="567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napToGrid w:val="0"/>
          <w:sz w:val="17"/>
          <w:szCs w:val="17"/>
          <w:lang w:eastAsia="en-US"/>
        </w:rPr>
        <w:t>Daňové odpisy sa uplatňujú podľa sadzieb uvedených v zákone o daniach z príjmov platných pre zrýchlené</w:t>
      </w:r>
      <w:r w:rsidRPr="008D1531">
        <w:rPr>
          <w:rFonts w:ascii="Verdana" w:hAnsi="Verdana"/>
          <w:sz w:val="17"/>
          <w:szCs w:val="17"/>
          <w:lang w:eastAsia="en-US"/>
        </w:rPr>
        <w:t xml:space="preserve"> odpisovanie.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Podiely na základnom imaní v obchodných spoločnostiach sa ponechávajú v pôvodnom ocenení. Metóda vlastného imania sa použila iba pre potrebu výpočtu opravnej položky.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ind w:left="540"/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Pri cenných papieroch držaných do splatnosti sa ich ocenenie odo dňa vyrovnania nákupu do dňa splatnosti postupne zvyšuje o úrokové výnosy (amortizované náklady).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Cenné papiere určené na obchodovanie a realizovateľné cenné papiere sa oceňujú trhovou cenou.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Deriváty sa oceňujú trhovou cenou.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Majetok a záväzky zabezpečené derivátmi sa oceňujú trhovou cenou.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0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Emisné kvóty, s ktorými sa obchoduje na verejnom trhu a ktoré spoločnosť nadobudla za účelom ich ďalšieho predaja na verejnom trhu sa účtujú v ocenení reálnou hodnotou. Zmena reálnej hodnoty emisných kvót sa účtuje do výkazu ziskov a strát.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Prepočet údajov v cudzích menách na slovenskú menu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 xml:space="preserve">Majetok a záväzky vyjadrené v cudzej mene sa prepočítavajú na eurá referenčným výmenným kurzom určeným a vyhláseným Európskou centrálnou bankou (ECB) alebo Národnou bankou Slovenska (NBS) v deň predchádzajúci dňu uskutočnenia účtovného prípadu a v deň, ku ktorému sa zostavuje účtovná závierka. Prijaté a poskytnuté preddavky v cudzej mene sa ku dňu, ku ktorému sa zostavuje účtovná závierka neprepočítavajú. Pri kúpe a predaji cudzej meny za menu euro a pri  prevode peňažných prostriedkov z účtu zriadeného v cudzej mene na účet zriadený v eurách a z účtu zriadeného v eurách na účet zriadený v cudzej mene sa použil kurz, za ktorý boli tieto hodnoty nakúpené alebo predané. Ak sa predaj alebo kúpa cudzej meny uskutoční za iný kurz ako ponúka komerčná banka v kurzovom lístku, použije sa kurz, ktorý komerčná banka v deň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vysporiadania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obchodu ponúka v kurzovom lístku. Ak sa kúpa alebo predaj neuskutočňuje s komerčnou bankou, použije sa referenčný výmenný určený a vyhlásený ECB alebo NBS v deň predchádzajúci dňu </w:t>
      </w:r>
      <w:proofErr w:type="spellStart"/>
      <w:r w:rsidRPr="008D1531">
        <w:rPr>
          <w:rFonts w:ascii="Verdana" w:hAnsi="Verdana"/>
          <w:sz w:val="17"/>
          <w:szCs w:val="17"/>
          <w:lang w:eastAsia="en-US"/>
        </w:rPr>
        <w:t>vysporiadania</w:t>
      </w:r>
      <w:proofErr w:type="spellEnd"/>
      <w:r w:rsidRPr="008D1531">
        <w:rPr>
          <w:rFonts w:ascii="Verdana" w:hAnsi="Verdana"/>
          <w:sz w:val="17"/>
          <w:szCs w:val="17"/>
          <w:lang w:eastAsia="en-US"/>
        </w:rPr>
        <w:t xml:space="preserve"> obchodu.</w:t>
      </w:r>
    </w:p>
    <w:p w:rsidR="00EB2C99" w:rsidRPr="008D1531" w:rsidRDefault="00EB2C99" w:rsidP="00EB2C99">
      <w:pPr>
        <w:ind w:left="567"/>
        <w:jc w:val="both"/>
        <w:rPr>
          <w:rFonts w:ascii="Verdana" w:hAnsi="Verdana"/>
          <w:b/>
          <w:snapToGrid w:val="0"/>
          <w:sz w:val="17"/>
          <w:szCs w:val="17"/>
        </w:rPr>
      </w:pPr>
    </w:p>
    <w:p w:rsidR="00EB2C99" w:rsidRPr="008D1531" w:rsidRDefault="00EB2C99" w:rsidP="00EB2C99">
      <w:pPr>
        <w:ind w:left="567"/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 xml:space="preserve">Zmeny účtovných zásad a účtovných metód 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numPr>
          <w:ilvl w:val="0"/>
          <w:numId w:val="21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Zmeny postupov účtovania rezerv a opravných položiek</w:t>
      </w:r>
    </w:p>
    <w:p w:rsidR="00EB2C99" w:rsidRPr="008D1531" w:rsidRDefault="00EB2C99" w:rsidP="00EB2C99">
      <w:pPr>
        <w:numPr>
          <w:ilvl w:val="0"/>
          <w:numId w:val="21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Zmeny metódy oceňovania nedokončenej výroby, polotovarov a výrobkov z dôvodov presnejšieho ocenenia.</w:t>
      </w:r>
    </w:p>
    <w:p w:rsidR="00EB2C99" w:rsidRPr="008D1531" w:rsidRDefault="00EB2C99" w:rsidP="00EB2C99">
      <w:pPr>
        <w:numPr>
          <w:ilvl w:val="0"/>
          <w:numId w:val="21"/>
        </w:num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Zmeny postupov účtovania o výskume a vývoji.</w:t>
      </w:r>
    </w:p>
    <w:p w:rsidR="00FA5372" w:rsidRPr="008D1531" w:rsidRDefault="00EB2C99" w:rsidP="00EB2C99">
      <w:pPr>
        <w:pStyle w:val="Nadpis2"/>
        <w:jc w:val="both"/>
        <w:rPr>
          <w:rFonts w:ascii="Verdana" w:hAnsi="Verdana" w:cs="Arial"/>
          <w:b w:val="0"/>
          <w:sz w:val="17"/>
          <w:szCs w:val="17"/>
        </w:rPr>
      </w:pPr>
      <w:r w:rsidRPr="008D1531">
        <w:rPr>
          <w:rFonts w:ascii="Verdana" w:hAnsi="Verdana"/>
          <w:b w:val="0"/>
          <w:sz w:val="17"/>
          <w:szCs w:val="17"/>
          <w:lang w:eastAsia="en-US"/>
        </w:rPr>
        <w:t>b)     Zmeny postupov účtovania o zákazkovej výrobe.</w:t>
      </w:r>
    </w:p>
    <w:p w:rsidR="005031B8" w:rsidRPr="008D1531" w:rsidRDefault="005031B8" w:rsidP="0075484E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EB2C99" w:rsidRPr="008D1531" w:rsidRDefault="00EB2C99" w:rsidP="00EB2C99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ÚDAJE VYKÁZANÉ NA STRANE AKTÍV SÚVAHY</w:t>
      </w:r>
    </w:p>
    <w:p w:rsidR="00EB2C99" w:rsidRPr="008D1531" w:rsidRDefault="00EB2C99" w:rsidP="00EB2C99">
      <w:pPr>
        <w:jc w:val="both"/>
        <w:rPr>
          <w:rFonts w:ascii="Verdana" w:hAnsi="Verdana"/>
          <w:b/>
          <w:snapToGrid w:val="0"/>
          <w:sz w:val="17"/>
          <w:szCs w:val="17"/>
          <w:u w:val="single"/>
        </w:rPr>
      </w:pPr>
    </w:p>
    <w:p w:rsidR="00EB2C99" w:rsidRPr="008D1531" w:rsidRDefault="00EB2C99" w:rsidP="00EB2C99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Dlhodobý nehmotný a hmotný majetok (r. 003 a 011 súvahy)</w:t>
      </w: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 xml:space="preserve">Pohyby na účtoch dlhodobého nehmotného majetku, oprávok, opravných položiek a zostatkovej hodnoty </w:t>
      </w: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B2C99" w:rsidRPr="008D1531" w:rsidRDefault="00EB2C99" w:rsidP="00EB2C99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Netýka sa spoločnosti.</w:t>
      </w:r>
    </w:p>
    <w:p w:rsidR="00EB2C99" w:rsidRPr="008D1531" w:rsidRDefault="00EB2C99" w:rsidP="00EB2C99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  <w:sectPr w:rsidR="00EB2C99" w:rsidRPr="008D1531" w:rsidSect="00EB2C99">
          <w:headerReference w:type="default" r:id="rId11"/>
          <w:footerReference w:type="default" r:id="rId12"/>
          <w:headerReference w:type="first" r:id="rId13"/>
          <w:pgSz w:w="11907" w:h="16840" w:code="9"/>
          <w:pgMar w:top="1418" w:right="1418" w:bottom="1418" w:left="1418" w:header="567" w:footer="567" w:gutter="0"/>
          <w:cols w:space="708"/>
          <w:docGrid w:linePitch="326"/>
        </w:sectPr>
      </w:pPr>
    </w:p>
    <w:p w:rsidR="00EB2C99" w:rsidRPr="008D1531" w:rsidRDefault="00EB2C99" w:rsidP="00EB2C99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lastRenderedPageBreak/>
        <w:t>Pohyby na účtoch dlhodobého hmotného majetku, oprávok, opravných položiek a zostatkovej hodnoty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10" w:name="_MON_1389011222"/>
    <w:bookmarkStart w:id="11" w:name="_MON_1389011443"/>
    <w:bookmarkStart w:id="12" w:name="_MON_1389077686"/>
    <w:bookmarkStart w:id="13" w:name="_MON_1389767637"/>
    <w:bookmarkStart w:id="14" w:name="_MON_1389767944"/>
    <w:bookmarkStart w:id="15" w:name="_MON_1388992557"/>
    <w:bookmarkStart w:id="16" w:name="_MON_1388992577"/>
    <w:bookmarkStart w:id="17" w:name="_MON_1388992763"/>
    <w:bookmarkStart w:id="18" w:name="_MON_1388993494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Start w:id="19" w:name="_MON_1388993518"/>
    <w:bookmarkEnd w:id="19"/>
    <w:p w:rsidR="00EB2C99" w:rsidRPr="008D1531" w:rsidRDefault="00C57C67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object w:dxaOrig="14190" w:dyaOrig="7407">
          <v:shape id="_x0000_i1026" type="#_x0000_t75" style="width:709.85pt;height:370.15pt" o:ole="" o:bordertopcolor="this" o:borderleftcolor="this">
            <v:imagedata r:id="rId14" o:title=""/>
            <w10:bordertop type="single" width="4"/>
            <w10:borderleft type="single" width="4"/>
          </v:shape>
          <o:OLEObject Type="Embed" ProgID="Excel.Sheet.8" ShapeID="_x0000_i1026" DrawAspect="Content" ObjectID="_1465367334" r:id="rId15"/>
        </w:objec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20" w:name="_MON_1389767952"/>
    <w:bookmarkEnd w:id="20"/>
    <w:bookmarkStart w:id="21" w:name="_MON_1389011493"/>
    <w:bookmarkEnd w:id="21"/>
    <w:p w:rsidR="00EB2C99" w:rsidRPr="008D1531" w:rsidRDefault="00CE4827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object w:dxaOrig="14217" w:dyaOrig="7421">
          <v:shape id="_x0000_i1027" type="#_x0000_t75" style="width:701.35pt;height:365.95pt" o:ole="" o:bordertopcolor="this" o:borderleftcolor="this">
            <v:imagedata r:id="rId16" o:title=""/>
            <w10:bordertop type="single" width="4"/>
            <w10:borderleft type="single" width="4"/>
          </v:shape>
          <o:OLEObject Type="Embed" ProgID="Excel.Sheet.8" ShapeID="_x0000_i1027" DrawAspect="Content" ObjectID="_1465367335" r:id="rId17"/>
        </w:objec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80C3F" w:rsidRPr="008D1531" w:rsidRDefault="00E80C3F" w:rsidP="00EB2C99">
      <w:pPr>
        <w:jc w:val="both"/>
        <w:rPr>
          <w:rFonts w:ascii="Verdana" w:hAnsi="Verdana"/>
          <w:b/>
          <w:sz w:val="17"/>
          <w:szCs w:val="17"/>
          <w:lang w:eastAsia="en-US"/>
        </w:rPr>
      </w:pPr>
      <w:r w:rsidRPr="008D1531">
        <w:rPr>
          <w:rFonts w:ascii="Verdana" w:hAnsi="Verdana"/>
          <w:b/>
          <w:sz w:val="17"/>
          <w:szCs w:val="17"/>
          <w:lang w:eastAsia="en-US"/>
        </w:rPr>
        <w:t>Poistenie maj</w:t>
      </w:r>
      <w:r w:rsidR="00352A7A">
        <w:rPr>
          <w:rFonts w:ascii="Verdana" w:hAnsi="Verdana"/>
          <w:b/>
          <w:sz w:val="17"/>
          <w:szCs w:val="17"/>
          <w:lang w:eastAsia="en-US"/>
        </w:rPr>
        <w:t>e</w:t>
      </w:r>
      <w:r w:rsidRPr="008D1531">
        <w:rPr>
          <w:rFonts w:ascii="Verdana" w:hAnsi="Verdana"/>
          <w:b/>
          <w:sz w:val="17"/>
          <w:szCs w:val="17"/>
          <w:lang w:eastAsia="en-US"/>
        </w:rPr>
        <w:t>tku</w:t>
      </w:r>
    </w:p>
    <w:p w:rsidR="00E80C3F" w:rsidRPr="008D1531" w:rsidRDefault="00E80C3F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80C3F" w:rsidRPr="008D1531" w:rsidRDefault="00CE4827" w:rsidP="00EB2C99">
      <w:pPr>
        <w:jc w:val="both"/>
        <w:rPr>
          <w:rFonts w:ascii="Verdana" w:hAnsi="Verdana"/>
          <w:sz w:val="17"/>
          <w:szCs w:val="17"/>
          <w:lang w:eastAsia="en-US"/>
        </w:rPr>
      </w:pPr>
      <w:r>
        <w:rPr>
          <w:rFonts w:ascii="Verdana" w:hAnsi="Verdana"/>
          <w:sz w:val="17"/>
          <w:szCs w:val="17"/>
          <w:lang w:eastAsia="en-US"/>
        </w:rPr>
        <w:t>Spoločnosť má poistené tri motorové vozidlá.</w:t>
      </w:r>
    </w:p>
    <w:p w:rsidR="00EB2C99" w:rsidRPr="008D1531" w:rsidRDefault="00EB2C99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291740" w:rsidRPr="008D1531" w:rsidRDefault="00291740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291740" w:rsidRPr="008D1531" w:rsidRDefault="00291740" w:rsidP="00EB2C99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291740" w:rsidRPr="008D1531" w:rsidRDefault="00291740" w:rsidP="00291740">
      <w:pPr>
        <w:pStyle w:val="Nadpis2"/>
        <w:jc w:val="left"/>
        <w:rPr>
          <w:rFonts w:ascii="Verdana" w:hAnsi="Verdana"/>
          <w:sz w:val="17"/>
          <w:szCs w:val="17"/>
        </w:rPr>
      </w:pPr>
      <w:r w:rsidRPr="008D1531">
        <w:rPr>
          <w:rFonts w:ascii="Verdana" w:hAnsi="Verdana"/>
          <w:sz w:val="17"/>
          <w:szCs w:val="17"/>
        </w:rPr>
        <w:t>Dlhodobý finančný majetok (r. 021 súvahy)</w:t>
      </w:r>
    </w:p>
    <w:p w:rsidR="00291740" w:rsidRPr="008D1531" w:rsidRDefault="00291740" w:rsidP="00291740">
      <w:pPr>
        <w:pStyle w:val="Nadpis3"/>
        <w:rPr>
          <w:rFonts w:ascii="Verdana" w:hAnsi="Verdana"/>
          <w:b w:val="0"/>
          <w:color w:val="auto"/>
          <w:sz w:val="17"/>
          <w:szCs w:val="17"/>
        </w:rPr>
      </w:pPr>
      <w:r w:rsidRPr="008D1531">
        <w:rPr>
          <w:rFonts w:ascii="Verdana" w:hAnsi="Verdana"/>
          <w:b w:val="0"/>
          <w:color w:val="auto"/>
          <w:sz w:val="17"/>
          <w:szCs w:val="17"/>
        </w:rPr>
        <w:t>Pohyby na účtoch dlhodobého finančného majetku</w:t>
      </w: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bookmarkStart w:id="22" w:name="_MON_1465220658"/>
    <w:bookmarkEnd w:id="22"/>
    <w:p w:rsidR="00291740" w:rsidRPr="008D1531" w:rsidRDefault="00CE4827" w:rsidP="00291740">
      <w:pPr>
        <w:rPr>
          <w:rFonts w:ascii="Verdana" w:hAnsi="Verdana"/>
          <w:sz w:val="17"/>
          <w:szCs w:val="17"/>
        </w:rPr>
      </w:pPr>
      <w:r w:rsidRPr="008D1531">
        <w:rPr>
          <w:rFonts w:ascii="Verdana" w:hAnsi="Verdana"/>
          <w:sz w:val="17"/>
          <w:szCs w:val="17"/>
        </w:rPr>
        <w:object w:dxaOrig="14441" w:dyaOrig="5981">
          <v:shape id="_x0000_i1028" type="#_x0000_t75" style="width:702.2pt;height:294.8pt" o:ole="" o:bordertopcolor="this" o:borderleftcolor="this">
            <v:imagedata r:id="rId18" o:title=""/>
            <w10:bordertop type="single" width="4"/>
            <w10:borderleft type="single" width="4"/>
          </v:shape>
          <o:OLEObject Type="Embed" ProgID="Excel.Sheet.8" ShapeID="_x0000_i1028" DrawAspect="Content" ObjectID="_1465367336" r:id="rId19"/>
        </w:object>
      </w: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1D0B2D" w:rsidRPr="008D1531" w:rsidRDefault="001D0B2D" w:rsidP="00291740">
      <w:pPr>
        <w:rPr>
          <w:rFonts w:ascii="Verdana" w:hAnsi="Verdana"/>
          <w:sz w:val="17"/>
          <w:szCs w:val="17"/>
        </w:rPr>
      </w:pPr>
    </w:p>
    <w:p w:rsidR="001D0B2D" w:rsidRPr="008D1531" w:rsidRDefault="001D0B2D" w:rsidP="00291740">
      <w:pPr>
        <w:rPr>
          <w:rFonts w:ascii="Verdana" w:hAnsi="Verdana"/>
          <w:sz w:val="17"/>
          <w:szCs w:val="17"/>
        </w:rPr>
      </w:pPr>
    </w:p>
    <w:p w:rsidR="001D0B2D" w:rsidRPr="008D1531" w:rsidRDefault="001D0B2D" w:rsidP="00291740">
      <w:pPr>
        <w:rPr>
          <w:rFonts w:ascii="Verdana" w:hAnsi="Verdana"/>
          <w:sz w:val="17"/>
          <w:szCs w:val="17"/>
        </w:rPr>
      </w:pPr>
    </w:p>
    <w:p w:rsidR="00291740" w:rsidRPr="008D1531" w:rsidRDefault="00CE4827" w:rsidP="00291740">
      <w:pPr>
        <w:rPr>
          <w:rFonts w:ascii="Verdana" w:hAnsi="Verdana"/>
          <w:sz w:val="17"/>
          <w:szCs w:val="17"/>
        </w:rPr>
      </w:pPr>
      <w:r w:rsidRPr="008D1531">
        <w:rPr>
          <w:rFonts w:ascii="Verdana" w:hAnsi="Verdana"/>
          <w:sz w:val="17"/>
          <w:szCs w:val="17"/>
        </w:rPr>
        <w:object w:dxaOrig="14441" w:dyaOrig="5981">
          <v:shape id="_x0000_i1029" type="#_x0000_t75" style="width:702.2pt;height:294.8pt" o:ole="" o:bordertopcolor="this" o:borderleftcolor="this">
            <v:imagedata r:id="rId20" o:title=""/>
            <w10:bordertop type="single" width="4"/>
            <w10:borderleft type="single" width="4"/>
          </v:shape>
          <o:OLEObject Type="Embed" ProgID="Excel.Sheet.8" ShapeID="_x0000_i1029" DrawAspect="Content" ObjectID="_1465367337" r:id="rId21"/>
        </w:object>
      </w:r>
    </w:p>
    <w:p w:rsidR="00291740" w:rsidRPr="008D1531" w:rsidRDefault="00291740" w:rsidP="00291740">
      <w:pPr>
        <w:rPr>
          <w:rFonts w:ascii="Verdana" w:hAnsi="Verdana"/>
          <w:sz w:val="17"/>
          <w:szCs w:val="17"/>
        </w:rPr>
      </w:pPr>
    </w:p>
    <w:p w:rsidR="001D0B2D" w:rsidRPr="008D1531" w:rsidRDefault="001D0B2D" w:rsidP="00291740">
      <w:pPr>
        <w:rPr>
          <w:rFonts w:ascii="Verdana" w:hAnsi="Verdana"/>
          <w:sz w:val="17"/>
          <w:szCs w:val="17"/>
        </w:rPr>
        <w:sectPr w:rsidR="001D0B2D" w:rsidRPr="008D1531" w:rsidSect="001D0B2D">
          <w:footerReference w:type="default" r:id="rId22"/>
          <w:headerReference w:type="first" r:id="rId23"/>
          <w:pgSz w:w="16840" w:h="11907" w:orient="landscape" w:code="9"/>
          <w:pgMar w:top="1418" w:right="1418" w:bottom="1418" w:left="1418" w:header="567" w:footer="567" w:gutter="0"/>
          <w:cols w:space="708"/>
          <w:docGrid w:linePitch="326"/>
        </w:sectPr>
      </w:pPr>
    </w:p>
    <w:p w:rsidR="00AD1402" w:rsidRPr="008D1531" w:rsidRDefault="00AD1402" w:rsidP="001A5D58">
      <w:pPr>
        <w:ind w:right="-468"/>
        <w:jc w:val="both"/>
        <w:rPr>
          <w:rFonts w:ascii="Verdana" w:hAnsi="Verdana" w:cs="Arial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Zásoby (r. 031 súvahy)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BE300C" w:rsidRPr="00BE300C" w:rsidRDefault="00BE300C" w:rsidP="00BE300C">
      <w:pPr>
        <w:pStyle w:val="Zkladntext0"/>
        <w:ind w:left="0"/>
        <w:rPr>
          <w:rFonts w:ascii="Verdana" w:hAnsi="Verdana"/>
          <w:sz w:val="17"/>
          <w:szCs w:val="17"/>
        </w:rPr>
      </w:pPr>
      <w:r w:rsidRPr="00BE300C">
        <w:rPr>
          <w:rFonts w:ascii="Verdana" w:hAnsi="Verdana"/>
          <w:sz w:val="17"/>
          <w:szCs w:val="17"/>
        </w:rPr>
        <w:t xml:space="preserve">K zásobám v roku 2013 neboli tvorené žiadne opravné položky. </w:t>
      </w:r>
    </w:p>
    <w:p w:rsidR="00BE300C" w:rsidRPr="00BE300C" w:rsidRDefault="00BE300C" w:rsidP="00BE300C">
      <w:pPr>
        <w:pStyle w:val="Zkladntext0"/>
        <w:ind w:left="0"/>
        <w:rPr>
          <w:rFonts w:ascii="Verdana" w:hAnsi="Verdana"/>
          <w:sz w:val="17"/>
          <w:szCs w:val="17"/>
        </w:rPr>
      </w:pPr>
      <w:r w:rsidRPr="00BE300C">
        <w:rPr>
          <w:rFonts w:ascii="Verdana" w:hAnsi="Verdana"/>
          <w:sz w:val="17"/>
          <w:szCs w:val="17"/>
        </w:rPr>
        <w:t>Prehľad o zásobách je uvedený v nasledovnej tabuľke:</w:t>
      </w:r>
    </w:p>
    <w:p w:rsidR="00BE300C" w:rsidRPr="00BE300C" w:rsidRDefault="00BE300C" w:rsidP="00BE300C">
      <w:pPr>
        <w:pStyle w:val="Zkladntext0"/>
        <w:rPr>
          <w:rFonts w:ascii="Verdana" w:hAnsi="Verdana"/>
          <w:sz w:val="17"/>
          <w:szCs w:val="17"/>
        </w:rPr>
      </w:pPr>
    </w:p>
    <w:p w:rsidR="00BE300C" w:rsidRPr="00BE300C" w:rsidRDefault="00BE300C" w:rsidP="00BE300C">
      <w:pPr>
        <w:pStyle w:val="Zkladntext0"/>
        <w:rPr>
          <w:rFonts w:ascii="Verdana" w:hAnsi="Verdana"/>
          <w:sz w:val="17"/>
          <w:szCs w:val="17"/>
        </w:rPr>
      </w:pPr>
    </w:p>
    <w:tbl>
      <w:tblPr>
        <w:tblW w:w="8300" w:type="dxa"/>
        <w:tblInd w:w="4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00"/>
        <w:gridCol w:w="3300"/>
        <w:gridCol w:w="2800"/>
      </w:tblGrid>
      <w:tr w:rsidR="00BE300C" w:rsidRPr="00BE300C" w:rsidTr="00C57C67">
        <w:trPr>
          <w:trHeight w:val="270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rPr>
                <w:rFonts w:ascii="Verdana" w:hAnsi="Verdana" w:cs="Arial"/>
                <w:sz w:val="17"/>
                <w:szCs w:val="17"/>
              </w:rPr>
            </w:pPr>
            <w:r w:rsidRPr="00BE300C">
              <w:rPr>
                <w:rFonts w:ascii="Verdana" w:hAnsi="Verdana" w:cs="Arial"/>
                <w:sz w:val="17"/>
                <w:szCs w:val="17"/>
              </w:rPr>
              <w:t> </w:t>
            </w:r>
          </w:p>
        </w:tc>
        <w:tc>
          <w:tcPr>
            <w:tcW w:w="3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 w:rsidRPr="00BE300C">
              <w:rPr>
                <w:rFonts w:ascii="Verdana" w:hAnsi="Verdana" w:cs="Arial"/>
                <w:sz w:val="17"/>
                <w:szCs w:val="17"/>
              </w:rPr>
              <w:t>stav k  31.12.2013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 w:rsidRPr="00BE300C">
              <w:rPr>
                <w:rFonts w:ascii="Verdana" w:hAnsi="Verdana" w:cs="Arial"/>
                <w:sz w:val="17"/>
                <w:szCs w:val="17"/>
              </w:rPr>
              <w:t>stav k  31.12.2012</w:t>
            </w:r>
          </w:p>
        </w:tc>
      </w:tr>
      <w:tr w:rsidR="00BE300C" w:rsidRPr="00BE300C" w:rsidTr="00C57C67">
        <w:trPr>
          <w:trHeight w:val="255"/>
        </w:trPr>
        <w:tc>
          <w:tcPr>
            <w:tcW w:w="22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rPr>
                <w:rFonts w:ascii="Verdana" w:hAnsi="Verdana" w:cs="Arial"/>
                <w:sz w:val="17"/>
                <w:szCs w:val="17"/>
              </w:rPr>
            </w:pPr>
            <w:r>
              <w:rPr>
                <w:rFonts w:ascii="Verdana" w:hAnsi="Verdana" w:cs="Arial"/>
                <w:sz w:val="17"/>
                <w:szCs w:val="17"/>
              </w:rPr>
              <w:t>Tovar</w:t>
            </w:r>
          </w:p>
        </w:tc>
        <w:tc>
          <w:tcPr>
            <w:tcW w:w="3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>
              <w:rPr>
                <w:rFonts w:ascii="Verdana" w:hAnsi="Verdana" w:cs="Arial"/>
                <w:sz w:val="17"/>
                <w:szCs w:val="17"/>
              </w:rPr>
              <w:t>2762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>
              <w:rPr>
                <w:rFonts w:ascii="Verdana" w:hAnsi="Verdana" w:cs="Arial"/>
                <w:sz w:val="17"/>
                <w:szCs w:val="17"/>
              </w:rPr>
              <w:t>3161</w:t>
            </w:r>
          </w:p>
        </w:tc>
      </w:tr>
      <w:tr w:rsidR="00BE300C" w:rsidRPr="00BE300C" w:rsidTr="00BE300C">
        <w:trPr>
          <w:trHeight w:val="122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rPr>
                <w:rFonts w:ascii="Verdana" w:hAnsi="Verdana" w:cs="Arial"/>
                <w:sz w:val="17"/>
                <w:szCs w:val="17"/>
              </w:rPr>
            </w:pP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</w:p>
        </w:tc>
      </w:tr>
      <w:tr w:rsidR="00BE300C" w:rsidRPr="00BE300C" w:rsidTr="00C57C67">
        <w:trPr>
          <w:trHeight w:val="270"/>
        </w:trPr>
        <w:tc>
          <w:tcPr>
            <w:tcW w:w="2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rPr>
                <w:rFonts w:ascii="Verdana" w:hAnsi="Verdana" w:cs="Arial"/>
                <w:sz w:val="17"/>
                <w:szCs w:val="17"/>
              </w:rPr>
            </w:pPr>
            <w:r w:rsidRPr="00BE300C">
              <w:rPr>
                <w:rFonts w:ascii="Verdana" w:hAnsi="Verdana" w:cs="Arial"/>
                <w:sz w:val="17"/>
                <w:szCs w:val="17"/>
              </w:rPr>
              <w:t>spolu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C57C67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>
              <w:rPr>
                <w:rFonts w:ascii="Verdana" w:hAnsi="Verdana" w:cs="Arial"/>
                <w:sz w:val="17"/>
                <w:szCs w:val="17"/>
              </w:rPr>
              <w:t>2762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BE300C" w:rsidRPr="00BE300C" w:rsidRDefault="00BE300C" w:rsidP="00BE300C">
            <w:pPr>
              <w:jc w:val="center"/>
              <w:rPr>
                <w:rFonts w:ascii="Verdana" w:hAnsi="Verdana" w:cs="Arial"/>
                <w:sz w:val="17"/>
                <w:szCs w:val="17"/>
              </w:rPr>
            </w:pPr>
            <w:r>
              <w:rPr>
                <w:rFonts w:ascii="Verdana" w:hAnsi="Verdana" w:cs="Arial"/>
                <w:sz w:val="17"/>
                <w:szCs w:val="17"/>
              </w:rPr>
              <w:t>3161</w:t>
            </w:r>
          </w:p>
        </w:tc>
      </w:tr>
    </w:tbl>
    <w:p w:rsidR="00E80C3F" w:rsidRPr="00BE300C" w:rsidRDefault="00E80C3F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E80C3F" w:rsidRPr="008D1531" w:rsidRDefault="001D0B2D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</w:t>
      </w:r>
      <w:r w:rsidR="00E80C3F"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ohľadávky (r. 038 a 046 súvahy)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Členenie pohľadávok celkom, vrátane skupiny:</w:t>
      </w:r>
    </w:p>
    <w:p w:rsidR="00E80C3F" w:rsidRPr="008D1531" w:rsidRDefault="00E80C3F" w:rsidP="00E80C3F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23" w:name="_MON_1389000367"/>
    <w:bookmarkStart w:id="24" w:name="_MON_1389000388"/>
    <w:bookmarkStart w:id="25" w:name="_MON_1389000608"/>
    <w:bookmarkEnd w:id="23"/>
    <w:bookmarkEnd w:id="24"/>
    <w:bookmarkEnd w:id="25"/>
    <w:bookmarkStart w:id="26" w:name="_MON_1389768268"/>
    <w:bookmarkEnd w:id="26"/>
    <w:p w:rsidR="00E80C3F" w:rsidRPr="008D1531" w:rsidRDefault="00CF75DD" w:rsidP="00E80C3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270" w:dyaOrig="7266">
          <v:shape id="_x0000_i1030" type="#_x0000_t75" style="width:452.35pt;height:363.4pt" o:ole="" o:bordertopcolor="this" o:borderleftcolor="this">
            <v:imagedata r:id="rId24" o:title=""/>
            <w10:bordertop type="single" width="4"/>
            <w10:borderleft type="single" width="4"/>
          </v:shape>
          <o:OLEObject Type="Embed" ProgID="Excel.Sheet.8" ShapeID="_x0000_i1030" DrawAspect="Content" ObjectID="_1465367338" r:id="rId25"/>
        </w:objec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 xml:space="preserve">Bežná lehota splatnosti pohľadávok je </w:t>
      </w:r>
      <w:r w:rsidR="00BE300C">
        <w:rPr>
          <w:rFonts w:ascii="Verdana" w:hAnsi="Verdana"/>
          <w:snapToGrid w:val="0"/>
          <w:sz w:val="17"/>
          <w:szCs w:val="17"/>
        </w:rPr>
        <w:t>30</w:t>
      </w:r>
      <w:r w:rsidRPr="008D1531">
        <w:rPr>
          <w:rFonts w:ascii="Verdana" w:hAnsi="Verdana"/>
          <w:snapToGrid w:val="0"/>
          <w:sz w:val="17"/>
          <w:szCs w:val="17"/>
        </w:rPr>
        <w:t xml:space="preserve"> dní. 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bookmarkStart w:id="27" w:name="_MON_1389001153"/>
    <w:bookmarkStart w:id="28" w:name="_MON_1389768287"/>
    <w:bookmarkStart w:id="29" w:name="_MON_1389000897"/>
    <w:bookmarkStart w:id="30" w:name="_MON_1389001018"/>
    <w:bookmarkStart w:id="31" w:name="_MON_1389001043"/>
    <w:bookmarkEnd w:id="27"/>
    <w:bookmarkEnd w:id="28"/>
    <w:bookmarkEnd w:id="29"/>
    <w:bookmarkEnd w:id="30"/>
    <w:bookmarkEnd w:id="31"/>
    <w:bookmarkStart w:id="32" w:name="_MON_1389001129"/>
    <w:bookmarkEnd w:id="32"/>
    <w:p w:rsidR="00E80C3F" w:rsidRPr="008D1531" w:rsidRDefault="00F92E36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319" w:dyaOrig="3084">
          <v:shape id="_x0000_i1031" type="#_x0000_t75" style="width:452.35pt;height:154.15pt" o:ole="" o:bordertopcolor="this" o:borderleftcolor="this">
            <v:imagedata r:id="rId26" o:title=""/>
            <w10:bordertop type="single" width="4"/>
            <w10:borderleft type="single" width="4"/>
          </v:shape>
          <o:OLEObject Type="Embed" ProgID="Excel.Sheet.8" ShapeID="_x0000_i1031" DrawAspect="Content" ObjectID="_1465367339" r:id="rId27"/>
        </w:objec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E80C3F" w:rsidRPr="008D1531" w:rsidRDefault="00E80C3F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Finančné účty (r. 055 súvahy)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Spoločnosť má finančný majetok v štruktúre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33" w:name="_MON_1389002136"/>
    <w:bookmarkStart w:id="34" w:name="_MON_1389002251"/>
    <w:bookmarkStart w:id="35" w:name="_MON_1389002272"/>
    <w:bookmarkEnd w:id="33"/>
    <w:bookmarkEnd w:id="34"/>
    <w:bookmarkEnd w:id="35"/>
    <w:bookmarkStart w:id="36" w:name="_MON_1389768316"/>
    <w:bookmarkEnd w:id="36"/>
    <w:p w:rsidR="00E80C3F" w:rsidRPr="008D1531" w:rsidRDefault="00BE300C" w:rsidP="00E80C3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203" w:dyaOrig="2129">
          <v:shape id="_x0000_i1032" type="#_x0000_t75" style="width:454.85pt;height:106.75pt" o:ole="" o:bordertopcolor="this" o:borderleftcolor="this">
            <v:imagedata r:id="rId28" o:title=""/>
            <w10:bordertop type="single" width="4"/>
            <w10:borderleft type="single" width="4"/>
          </v:shape>
          <o:OLEObject Type="Embed" ProgID="Excel.Sheet.8" ShapeID="_x0000_i1032" DrawAspect="Content" ObjectID="_1465367340" r:id="rId29"/>
        </w:objec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Časové rozlíšenie (r. 061 súvahy)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tbl>
      <w:tblPr>
        <w:tblW w:w="492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9"/>
        <w:gridCol w:w="2533"/>
        <w:gridCol w:w="2398"/>
      </w:tblGrid>
      <w:tr w:rsidR="00E80C3F" w:rsidRPr="008D1531" w:rsidTr="0075062E">
        <w:trPr>
          <w:trHeight w:val="659"/>
          <w:jc w:val="center"/>
        </w:trPr>
        <w:tc>
          <w:tcPr>
            <w:tcW w:w="41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Opis položky časového rozlíšenia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23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0C3F" w:rsidRPr="008D1531" w:rsidRDefault="00E80C3F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E80C3F" w:rsidRPr="008D1531" w:rsidTr="0075062E">
        <w:trPr>
          <w:trHeight w:val="243"/>
          <w:jc w:val="center"/>
        </w:trPr>
        <w:tc>
          <w:tcPr>
            <w:tcW w:w="41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jc w:val="center"/>
              <w:rPr>
                <w:rFonts w:ascii="Verdana" w:hAnsi="Verdana"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Cs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2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jc w:val="center"/>
              <w:rPr>
                <w:rFonts w:ascii="Verdana" w:hAnsi="Verdana"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Cs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23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jc w:val="center"/>
              <w:rPr>
                <w:rFonts w:ascii="Verdana" w:hAnsi="Verdana"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Cs/>
                <w:sz w:val="17"/>
                <w:szCs w:val="17"/>
                <w:lang w:eastAsia="en-US"/>
              </w:rPr>
              <w:t>c</w:t>
            </w: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  <w:lang w:eastAsia="en-US"/>
              </w:rPr>
              <w:t xml:space="preserve">Náklady budúcich období dlhodobé,  z toho: 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  <w:lang w:eastAsia="en-US"/>
              </w:rPr>
              <w:t>Náklady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F83485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  <w:r>
              <w:rPr>
                <w:rFonts w:ascii="Verdana" w:hAnsi="Verdana" w:cs="Arial"/>
                <w:sz w:val="17"/>
                <w:szCs w:val="17"/>
                <w:lang w:eastAsia="en-US"/>
              </w:rPr>
              <w:t>3690</w:t>
            </w: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F83485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  <w:r>
              <w:rPr>
                <w:rFonts w:ascii="Verdana" w:hAnsi="Verdana" w:cs="Arial"/>
                <w:sz w:val="17"/>
                <w:szCs w:val="17"/>
                <w:lang w:eastAsia="en-US"/>
              </w:rPr>
              <w:t>4143</w:t>
            </w: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F83485" w:rsidP="0075062E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  <w:r>
              <w:rPr>
                <w:rFonts w:ascii="Verdana" w:hAnsi="Verdana" w:cs="Arial"/>
                <w:sz w:val="17"/>
                <w:szCs w:val="17"/>
                <w:lang w:eastAsia="en-US"/>
              </w:rPr>
              <w:t>Poistné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0C3F" w:rsidRPr="008D1531" w:rsidRDefault="00F83485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  <w:r>
              <w:rPr>
                <w:rFonts w:ascii="Verdana" w:hAnsi="Verdana" w:cs="Arial"/>
                <w:sz w:val="17"/>
                <w:szCs w:val="17"/>
                <w:lang w:eastAsia="en-US"/>
              </w:rPr>
              <w:t>3178</w:t>
            </w: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E80C3F" w:rsidRPr="008D1531" w:rsidRDefault="00F83485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  <w:r>
              <w:rPr>
                <w:rFonts w:ascii="Verdana" w:hAnsi="Verdana" w:cs="Arial"/>
                <w:sz w:val="17"/>
                <w:szCs w:val="17"/>
                <w:lang w:eastAsia="en-US"/>
              </w:rPr>
              <w:t>3995</w:t>
            </w: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F83485" w:rsidP="0075062E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  <w:r>
              <w:rPr>
                <w:rFonts w:ascii="Verdana" w:hAnsi="Verdana" w:cs="Arial"/>
                <w:sz w:val="17"/>
                <w:szCs w:val="17"/>
                <w:lang w:eastAsia="en-US"/>
              </w:rPr>
              <w:t>Doména, telefón</w:t>
            </w: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F83485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  <w:r>
              <w:rPr>
                <w:rFonts w:ascii="Verdana" w:hAnsi="Verdana" w:cs="Arial"/>
                <w:sz w:val="17"/>
                <w:szCs w:val="17"/>
                <w:lang w:eastAsia="en-US"/>
              </w:rPr>
              <w:t>512</w:t>
            </w: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E80C3F" w:rsidRPr="008D1531" w:rsidRDefault="00F83485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  <w:r>
              <w:rPr>
                <w:rFonts w:ascii="Verdana" w:hAnsi="Verdana" w:cs="Arial"/>
                <w:sz w:val="17"/>
                <w:szCs w:val="17"/>
                <w:lang w:eastAsia="en-US"/>
              </w:rPr>
              <w:t>148</w:t>
            </w: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  <w:lang w:eastAsia="en-US"/>
              </w:rPr>
              <w:t>Príjmy budúcich období dlhodobé,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 w:cs="Arial"/>
                <w:b/>
                <w:sz w:val="17"/>
                <w:szCs w:val="17"/>
                <w:lang w:eastAsia="en-US"/>
              </w:rPr>
              <w:t>Príjmy budúcich období krátkodobé, z toho:</w:t>
            </w: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top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  <w:tr w:rsidR="00E80C3F" w:rsidRPr="008D1531" w:rsidTr="0075062E">
        <w:trPr>
          <w:trHeight w:val="340"/>
          <w:jc w:val="center"/>
        </w:trPr>
        <w:tc>
          <w:tcPr>
            <w:tcW w:w="41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0C3F" w:rsidRPr="008D1531" w:rsidRDefault="00E80C3F" w:rsidP="0075062E">
            <w:pPr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53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  <w:tc>
          <w:tcPr>
            <w:tcW w:w="2398" w:type="dxa"/>
            <w:tcBorders>
              <w:bottom w:val="single" w:sz="12" w:space="0" w:color="auto"/>
            </w:tcBorders>
            <w:vAlign w:val="center"/>
          </w:tcPr>
          <w:p w:rsidR="00E80C3F" w:rsidRPr="008D1531" w:rsidRDefault="00E80C3F" w:rsidP="0075062E">
            <w:pPr>
              <w:spacing w:line="360" w:lineRule="auto"/>
              <w:jc w:val="right"/>
              <w:rPr>
                <w:rFonts w:ascii="Verdana" w:hAnsi="Verdana" w:cs="Arial"/>
                <w:sz w:val="17"/>
                <w:szCs w:val="17"/>
                <w:lang w:eastAsia="en-US"/>
              </w:rPr>
            </w:pPr>
          </w:p>
        </w:tc>
      </w:tr>
    </w:tbl>
    <w:p w:rsidR="00E80C3F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407585" w:rsidRPr="008D1531" w:rsidRDefault="00407585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ÚDAJE VYKÁZANÉ NA STRANE PASÍV SÚVAHY</w:t>
      </w:r>
    </w:p>
    <w:p w:rsidR="00E80C3F" w:rsidRPr="008D1531" w:rsidRDefault="00E80C3F" w:rsidP="00E80C3F">
      <w:pPr>
        <w:jc w:val="both"/>
        <w:rPr>
          <w:rFonts w:ascii="Verdana" w:hAnsi="Verdana"/>
          <w:b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lastRenderedPageBreak/>
        <w:t xml:space="preserve">Vlastné imanie (r. 067 súvahy) 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Informácie o vlastnom imaní</w:t>
      </w:r>
    </w:p>
    <w:p w:rsidR="00E80C3F" w:rsidRPr="008D1531" w:rsidRDefault="00E80C3F" w:rsidP="00E80C3F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E80C3F" w:rsidRPr="008D1531" w:rsidRDefault="00E80C3F" w:rsidP="00E80C3F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Základné imanie bolo celé upísané a splatené.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  <w:lang w:eastAsia="en-US"/>
        </w:rPr>
      </w:pPr>
    </w:p>
    <w:p w:rsidR="00E80C3F" w:rsidRPr="00407585" w:rsidRDefault="00407585" w:rsidP="00E80C3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407585">
        <w:rPr>
          <w:rFonts w:ascii="Verdana" w:hAnsi="Verdana" w:cs="Arial"/>
          <w:bCs/>
          <w:sz w:val="17"/>
          <w:szCs w:val="17"/>
          <w:u w:val="single"/>
          <w:lang w:eastAsia="en-US"/>
        </w:rPr>
        <w:t>V</w:t>
      </w:r>
      <w:r w:rsidR="00E80C3F" w:rsidRPr="00407585">
        <w:rPr>
          <w:rFonts w:ascii="Verdana" w:hAnsi="Verdana" w:cs="Arial"/>
          <w:bCs/>
          <w:sz w:val="17"/>
          <w:szCs w:val="17"/>
          <w:u w:val="single"/>
          <w:lang w:eastAsia="en-US"/>
        </w:rPr>
        <w:t>yrovnanie straty za rok 2012</w:t>
      </w: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E80C3F" w:rsidRPr="008D1531" w:rsidRDefault="00E80C3F" w:rsidP="00E80C3F">
      <w:pPr>
        <w:jc w:val="both"/>
        <w:rPr>
          <w:rFonts w:ascii="Verdana" w:hAnsi="Verdana"/>
          <w:snapToGrid w:val="0"/>
          <w:sz w:val="17"/>
          <w:szCs w:val="17"/>
        </w:rPr>
      </w:pPr>
      <w:bookmarkStart w:id="37" w:name="_MON_1389768393"/>
      <w:bookmarkStart w:id="38" w:name="_MON_1389004638"/>
      <w:bookmarkStart w:id="39" w:name="_MON_1389004781"/>
      <w:bookmarkEnd w:id="37"/>
      <w:bookmarkEnd w:id="38"/>
      <w:bookmarkEnd w:id="39"/>
    </w:p>
    <w:bookmarkStart w:id="40" w:name="_MON_1389004838"/>
    <w:bookmarkStart w:id="41" w:name="_MON_1389004849"/>
    <w:bookmarkStart w:id="42" w:name="_MON_1389005038"/>
    <w:bookmarkEnd w:id="40"/>
    <w:bookmarkEnd w:id="41"/>
    <w:bookmarkEnd w:id="42"/>
    <w:bookmarkStart w:id="43" w:name="_MON_1389768405"/>
    <w:bookmarkEnd w:id="43"/>
    <w:p w:rsidR="00E80C3F" w:rsidRPr="008D1531" w:rsidRDefault="00407585" w:rsidP="00E80C3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821" w:dyaOrig="3047">
          <v:shape id="_x0000_i1033" type="#_x0000_t75" style="width:454.85pt;height:152.45pt" o:ole="" o:bordertopcolor="this" o:borderleftcolor="this">
            <v:imagedata r:id="rId30" o:title=""/>
            <w10:bordertop type="single" width="4"/>
            <w10:borderleft type="single" width="4"/>
          </v:shape>
          <o:OLEObject Type="Embed" ProgID="Excel.Sheet.8" ShapeID="_x0000_i1033" DrawAspect="Content" ObjectID="_1465367341" r:id="rId31"/>
        </w:object>
      </w:r>
    </w:p>
    <w:p w:rsidR="004523D3" w:rsidRPr="008D1531" w:rsidRDefault="004523D3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4523D3" w:rsidRPr="008D1531" w:rsidRDefault="004523D3" w:rsidP="00E80C3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4523D3" w:rsidRPr="008D1531" w:rsidRDefault="004523D3" w:rsidP="004523D3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Rezervy (r. 089 súvahy)</w:t>
      </w:r>
    </w:p>
    <w:p w:rsidR="004523D3" w:rsidRPr="008D1531" w:rsidRDefault="004523D3" w:rsidP="004523D3">
      <w:pPr>
        <w:jc w:val="both"/>
        <w:rPr>
          <w:rFonts w:ascii="Verdana" w:hAnsi="Verdana"/>
          <w:snapToGrid w:val="0"/>
          <w:sz w:val="17"/>
          <w:szCs w:val="17"/>
        </w:rPr>
      </w:pPr>
    </w:p>
    <w:p w:rsidR="004523D3" w:rsidRPr="008D1531" w:rsidRDefault="007A752F" w:rsidP="004523D3">
      <w:pPr>
        <w:jc w:val="both"/>
        <w:rPr>
          <w:rFonts w:ascii="Verdana" w:hAnsi="Verdana"/>
          <w:snapToGrid w:val="0"/>
          <w:sz w:val="17"/>
          <w:szCs w:val="17"/>
        </w:rPr>
      </w:pPr>
      <w:bookmarkStart w:id="44" w:name="_MON_1389768421"/>
      <w:bookmarkStart w:id="45" w:name="_MON_1389005097"/>
      <w:bookmarkEnd w:id="44"/>
      <w:bookmarkEnd w:id="45"/>
      <w:r w:rsidRPr="008D1531">
        <w:rPr>
          <w:rFonts w:ascii="Verdana" w:hAnsi="Verdana"/>
          <w:snapToGrid w:val="0"/>
          <w:sz w:val="17"/>
          <w:szCs w:val="17"/>
        </w:rPr>
        <w:t>Spoločnosť nevytvára rezervy.</w:t>
      </w: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Záväzky (r. 094 a 106 súvahy)</w: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7A752F" w:rsidRPr="008D1531" w:rsidRDefault="007A752F" w:rsidP="007A752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Členenie záväzkov celkom, vrátane skupiny:</w: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bookmarkStart w:id="46" w:name="_MON_1389016163"/>
    <w:bookmarkStart w:id="47" w:name="_MON_1389174470"/>
    <w:bookmarkStart w:id="48" w:name="_MON_1389768457"/>
    <w:bookmarkStart w:id="49" w:name="_MON_1389768487"/>
    <w:bookmarkStart w:id="50" w:name="_MON_1389005635"/>
    <w:bookmarkStart w:id="51" w:name="_MON_1389005908"/>
    <w:bookmarkStart w:id="52" w:name="_MON_1389006057"/>
    <w:bookmarkEnd w:id="46"/>
    <w:bookmarkEnd w:id="47"/>
    <w:bookmarkEnd w:id="48"/>
    <w:bookmarkEnd w:id="49"/>
    <w:bookmarkEnd w:id="50"/>
    <w:bookmarkEnd w:id="51"/>
    <w:bookmarkEnd w:id="52"/>
    <w:bookmarkStart w:id="53" w:name="_MON_1389006123"/>
    <w:bookmarkEnd w:id="53"/>
    <w:p w:rsidR="007A752F" w:rsidRPr="008D1531" w:rsidRDefault="00407585" w:rsidP="007A752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302" w:dyaOrig="9282">
          <v:shape id="_x0000_i1034" type="#_x0000_t75" style="width:454pt;height:464.2pt" o:ole="" o:bordertopcolor="this" o:borderleftcolor="this">
            <v:imagedata r:id="rId32" o:title=""/>
            <w10:bordertop type="single" width="4"/>
            <w10:borderleft type="single" width="4"/>
          </v:shape>
          <o:OLEObject Type="Embed" ProgID="Excel.Sheet.8" ShapeID="_x0000_i1034" DrawAspect="Content" ObjectID="_1465367342" r:id="rId33"/>
        </w:objec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 xml:space="preserve">Bežná lehota splatnosti záväzkov je 14 dní. </w: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  <w:u w:val="single"/>
        </w:rPr>
        <w:br w:type="page"/>
      </w:r>
      <w:bookmarkStart w:id="54" w:name="_MON_1389016315"/>
      <w:bookmarkStart w:id="55" w:name="_MON_1389768474"/>
      <w:bookmarkStart w:id="56" w:name="_MON_1389006230"/>
      <w:bookmarkStart w:id="57" w:name="_MON_1389006285"/>
      <w:bookmarkStart w:id="58" w:name="_MON_1389006413"/>
      <w:bookmarkEnd w:id="54"/>
      <w:bookmarkEnd w:id="55"/>
      <w:bookmarkEnd w:id="56"/>
      <w:bookmarkEnd w:id="57"/>
      <w:bookmarkEnd w:id="58"/>
      <w:bookmarkStart w:id="59" w:name="_MON_1389016276"/>
      <w:bookmarkEnd w:id="59"/>
      <w:r w:rsidR="005D6E7A" w:rsidRPr="008D1531">
        <w:rPr>
          <w:rFonts w:ascii="Verdana" w:hAnsi="Verdana"/>
          <w:snapToGrid w:val="0"/>
          <w:sz w:val="17"/>
          <w:szCs w:val="17"/>
        </w:rPr>
        <w:object w:dxaOrig="9412" w:dyaOrig="2954">
          <v:shape id="_x0000_i1035" type="#_x0000_t75" style="width:452.35pt;height:147.4pt" o:ole="" o:bordertopcolor="this" o:borderleftcolor="this">
            <v:imagedata r:id="rId34" o:title=""/>
            <w10:bordertop type="single" width="4"/>
            <w10:borderleft type="single" width="4"/>
          </v:shape>
          <o:OLEObject Type="Embed" ProgID="Excel.Sheet.8" ShapeID="_x0000_i1035" DrawAspect="Content" ObjectID="_1465367343" r:id="rId35"/>
        </w:object>
      </w:r>
    </w:p>
    <w:p w:rsidR="007A752F" w:rsidRPr="008D1531" w:rsidRDefault="007A752F" w:rsidP="007A752F">
      <w:pPr>
        <w:jc w:val="both"/>
        <w:rPr>
          <w:rFonts w:ascii="Verdana" w:hAnsi="Verdana"/>
          <w:snapToGrid w:val="0"/>
          <w:sz w:val="17"/>
          <w:szCs w:val="17"/>
          <w:u w:val="single"/>
          <w:lang w:eastAsia="en-US"/>
        </w:rPr>
      </w:pPr>
    </w:p>
    <w:p w:rsidR="007A752F" w:rsidRPr="008D1531" w:rsidRDefault="007A752F" w:rsidP="007A752F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Záväzky zo sociálneho fondu</w:t>
      </w:r>
    </w:p>
    <w:p w:rsidR="007A752F" w:rsidRPr="008D1531" w:rsidRDefault="007A752F" w:rsidP="007A752F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60" w:name="_MON_1389016405"/>
    <w:bookmarkStart w:id="61" w:name="_MON_1389016462"/>
    <w:bookmarkStart w:id="62" w:name="_MON_1389016498"/>
    <w:bookmarkStart w:id="63" w:name="_MON_1389768509"/>
    <w:bookmarkStart w:id="64" w:name="_MON_1389006672"/>
    <w:bookmarkStart w:id="65" w:name="_MON_1389006838"/>
    <w:bookmarkStart w:id="66" w:name="_MON_1389006893"/>
    <w:bookmarkEnd w:id="60"/>
    <w:bookmarkEnd w:id="61"/>
    <w:bookmarkEnd w:id="62"/>
    <w:bookmarkEnd w:id="63"/>
    <w:bookmarkEnd w:id="64"/>
    <w:bookmarkEnd w:id="65"/>
    <w:bookmarkEnd w:id="66"/>
    <w:bookmarkStart w:id="67" w:name="_MON_1389006904"/>
    <w:bookmarkEnd w:id="67"/>
    <w:p w:rsidR="007A752F" w:rsidRPr="008D1531" w:rsidRDefault="00407585" w:rsidP="007A752F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object w:dxaOrig="9836" w:dyaOrig="3146">
          <v:shape id="_x0000_i1036" type="#_x0000_t75" style="width:454pt;height:157.55pt" o:ole="" o:bordertopcolor="this" o:borderleftcolor="this">
            <v:imagedata r:id="rId36" o:title=""/>
            <w10:bordertop type="single" width="4"/>
            <w10:borderleft type="single" width="4"/>
          </v:shape>
          <o:OLEObject Type="Embed" ProgID="Excel.Sheet.8" ShapeID="_x0000_i1036" DrawAspect="Content" ObjectID="_1465367344" r:id="rId37"/>
        </w:object>
      </w:r>
    </w:p>
    <w:p w:rsidR="007A752F" w:rsidRPr="008D1531" w:rsidRDefault="007A752F" w:rsidP="007A752F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7A752F" w:rsidRPr="008D1531" w:rsidRDefault="007A752F" w:rsidP="007A752F">
      <w:pPr>
        <w:keepNext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Pôžičky a krátkodobé finančné výpomoci</w:t>
      </w:r>
    </w:p>
    <w:p w:rsidR="007A752F" w:rsidRPr="008D1531" w:rsidRDefault="007A752F" w:rsidP="007A752F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7A752F" w:rsidRPr="008D1531" w:rsidRDefault="00407585" w:rsidP="007A752F">
      <w:pPr>
        <w:jc w:val="both"/>
        <w:rPr>
          <w:rFonts w:ascii="Verdana" w:hAnsi="Verdana"/>
          <w:snapToGrid w:val="0"/>
          <w:sz w:val="17"/>
          <w:szCs w:val="17"/>
        </w:rPr>
      </w:pPr>
      <w:r>
        <w:rPr>
          <w:rFonts w:ascii="Verdana" w:hAnsi="Verdana"/>
          <w:snapToGrid w:val="0"/>
          <w:sz w:val="17"/>
          <w:szCs w:val="17"/>
        </w:rPr>
        <w:t>Netýka sa spoločnosti.</w:t>
      </w:r>
    </w:p>
    <w:p w:rsidR="00BB69DC" w:rsidRPr="008D1531" w:rsidRDefault="00BB69DC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BB69DC" w:rsidRPr="008D1531" w:rsidRDefault="00BB69DC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7A752F" w:rsidRPr="008D1531" w:rsidRDefault="007A752F" w:rsidP="007A752F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Časové rozlíšenie (r. 121 súvahy)</w:t>
      </w:r>
    </w:p>
    <w:p w:rsidR="007A752F" w:rsidRPr="00E65EB1" w:rsidRDefault="007A752F" w:rsidP="007A752F">
      <w:pPr>
        <w:jc w:val="both"/>
        <w:rPr>
          <w:rFonts w:ascii="Verdana" w:hAnsi="Verdana"/>
          <w:snapToGrid w:val="0"/>
          <w:sz w:val="17"/>
          <w:szCs w:val="17"/>
        </w:rPr>
      </w:pPr>
    </w:p>
    <w:p w:rsidR="007A752F" w:rsidRPr="008D153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  <w:r>
        <w:rPr>
          <w:rFonts w:ascii="Verdana" w:hAnsi="Verdana"/>
          <w:snapToGrid w:val="0"/>
          <w:sz w:val="17"/>
          <w:szCs w:val="17"/>
        </w:rPr>
        <w:t>Netýka sa spoločnosti.</w:t>
      </w:r>
    </w:p>
    <w:p w:rsidR="007A752F" w:rsidRDefault="007A752F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5D6E7A" w:rsidRDefault="005D6E7A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E65EB1" w:rsidRPr="008D1531" w:rsidRDefault="00E65EB1" w:rsidP="007A752F">
      <w:pPr>
        <w:jc w:val="both"/>
        <w:rPr>
          <w:rFonts w:ascii="Verdana" w:hAnsi="Verdana"/>
          <w:bCs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lastRenderedPageBreak/>
        <w:t>Výnosy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Výnosy z hospodárskej činnosti</w:t>
      </w:r>
    </w:p>
    <w:p w:rsidR="00BB69DC" w:rsidRPr="008D1531" w:rsidRDefault="00BB69DC" w:rsidP="00BB69DC">
      <w:pPr>
        <w:jc w:val="both"/>
        <w:rPr>
          <w:rFonts w:ascii="Verdana" w:hAnsi="Verdana"/>
          <w:b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Cs/>
          <w:sz w:val="17"/>
          <w:szCs w:val="17"/>
          <w:u w:val="single"/>
          <w:lang w:eastAsia="en-US"/>
        </w:rPr>
        <w:t>Tržby z predaja tovaru, vlastných výrobkov a služieb (r. 01 a 05 výkazu ziskov a strát)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bookmarkStart w:id="68" w:name="_MON_1389768599"/>
    <w:bookmarkStart w:id="69" w:name="_MON_1389007952"/>
    <w:bookmarkStart w:id="70" w:name="_MON_1389008160"/>
    <w:bookmarkStart w:id="71" w:name="_MON_1389008176"/>
    <w:bookmarkEnd w:id="68"/>
    <w:bookmarkEnd w:id="69"/>
    <w:bookmarkEnd w:id="70"/>
    <w:bookmarkEnd w:id="71"/>
    <w:bookmarkStart w:id="72" w:name="_MON_1389768574"/>
    <w:bookmarkEnd w:id="72"/>
    <w:p w:rsidR="00BB69DC" w:rsidRPr="008D1531" w:rsidRDefault="0006497D" w:rsidP="00BB69DC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object w:dxaOrig="9553" w:dyaOrig="3028">
          <v:shape id="_x0000_i1037" type="#_x0000_t75" style="width:453.2pt;height:151.6pt" o:ole="" o:bordertopcolor="this" o:borderleftcolor="this">
            <v:imagedata r:id="rId38" o:title=""/>
            <w10:bordertop type="single" width="4"/>
            <w10:borderleft type="single" width="4"/>
          </v:shape>
          <o:OLEObject Type="Embed" ProgID="Excel.Sheet.8" ShapeID="_x0000_i1037" DrawAspect="Content" ObjectID="_1465367345" r:id="rId39"/>
        </w:objec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CA0C83">
        <w:rPr>
          <w:rFonts w:ascii="Verdana" w:hAnsi="Verdana" w:cs="Arial"/>
          <w:b/>
          <w:bCs/>
          <w:iCs/>
          <w:sz w:val="17"/>
          <w:szCs w:val="17"/>
          <w:lang w:eastAsia="en-US"/>
        </w:rPr>
        <w:t>Výnosy pri aktivácií nákladov, ostatné výnosy z hospodárskej činnosti, výnosy z finančnej a mimoriadnej činnosti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tbl>
      <w:tblPr>
        <w:tblW w:w="4897" w:type="pct"/>
        <w:tblInd w:w="108" w:type="dxa"/>
        <w:tblLook w:val="04A0" w:firstRow="1" w:lastRow="0" w:firstColumn="1" w:lastColumn="0" w:noHBand="0" w:noVBand="1"/>
      </w:tblPr>
      <w:tblGrid>
        <w:gridCol w:w="6543"/>
        <w:gridCol w:w="956"/>
        <w:gridCol w:w="1680"/>
      </w:tblGrid>
      <w:tr w:rsidR="00BB69DC" w:rsidRPr="008D1531" w:rsidTr="0075062E">
        <w:trPr>
          <w:trHeight w:val="884"/>
        </w:trPr>
        <w:tc>
          <w:tcPr>
            <w:tcW w:w="327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Názov položky</w:t>
            </w:r>
          </w:p>
        </w:tc>
        <w:tc>
          <w:tcPr>
            <w:tcW w:w="84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Významné položky pri aktivácii nákladov, z toho:</w:t>
            </w: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Ostatné významné položky výnosov z hospodárskej činnosti,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Default="00A06C9B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400</w:t>
            </w:r>
          </w:p>
          <w:p w:rsidR="00A06C9B" w:rsidRPr="008D1531" w:rsidRDefault="00A06C9B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2C5F04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Poistné plnenie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Finančné výnosy,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Kurzové zisky, z toho:</w:t>
            </w: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2C5F04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i/>
                <w:sz w:val="17"/>
                <w:szCs w:val="17"/>
                <w:lang w:eastAsia="en-US"/>
              </w:rPr>
              <w:t>67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kurzové zisky ku dňu, ku ktorému sa zostavuje účtovná závierka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2C5F04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67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Ostatné významné položky finančných výnosov, z toho: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2C5F04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i/>
                <w:sz w:val="17"/>
                <w:szCs w:val="17"/>
                <w:lang w:eastAsia="en-US"/>
              </w:rPr>
              <w:t>2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Výnosové úroky</w:t>
            </w: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2C5F04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2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Mimoriadne výnosy, z toho:</w:t>
            </w: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45"/>
        </w:trPr>
        <w:tc>
          <w:tcPr>
            <w:tcW w:w="327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</w:p>
        </w:tc>
        <w:tc>
          <w:tcPr>
            <w:tcW w:w="84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</w:tbl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napToGrid w:val="0"/>
          <w:sz w:val="17"/>
          <w:szCs w:val="17"/>
        </w:rPr>
      </w:pPr>
      <w:r w:rsidRPr="008D1531">
        <w:rPr>
          <w:rFonts w:ascii="Verdana" w:hAnsi="Verdana" w:cs="Arial"/>
          <w:b/>
          <w:bCs/>
          <w:iCs/>
          <w:snapToGrid w:val="0"/>
          <w:sz w:val="17"/>
          <w:szCs w:val="17"/>
        </w:rPr>
        <w:t>Čistý obrat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</w:rPr>
      </w:pPr>
    </w:p>
    <w:bookmarkStart w:id="73" w:name="_MON_1389008348"/>
    <w:bookmarkStart w:id="74" w:name="_MON_1389768630"/>
    <w:bookmarkStart w:id="75" w:name="_MON_1389768639"/>
    <w:bookmarkEnd w:id="73"/>
    <w:bookmarkEnd w:id="74"/>
    <w:bookmarkEnd w:id="75"/>
    <w:bookmarkStart w:id="76" w:name="_MON_1389768644"/>
    <w:bookmarkEnd w:id="76"/>
    <w:p w:rsidR="00BB69DC" w:rsidRPr="008D1531" w:rsidRDefault="00A06C9B" w:rsidP="00BB69DC">
      <w:pPr>
        <w:jc w:val="both"/>
        <w:rPr>
          <w:rFonts w:ascii="Verdana" w:hAnsi="Verdana"/>
          <w:sz w:val="17"/>
          <w:szCs w:val="17"/>
        </w:rPr>
      </w:pPr>
      <w:r w:rsidRPr="008D1531">
        <w:rPr>
          <w:rFonts w:ascii="Verdana" w:hAnsi="Verdana"/>
          <w:sz w:val="17"/>
          <w:szCs w:val="17"/>
        </w:rPr>
        <w:object w:dxaOrig="9177" w:dyaOrig="2796">
          <v:shape id="_x0000_i1038" type="#_x0000_t75" style="width:452.35pt;height:139.75pt" o:ole="" o:bordertopcolor="this" o:borderleftcolor="this">
            <v:imagedata r:id="rId40" o:title=""/>
            <w10:bordertop type="single" width="4"/>
            <w10:borderleft type="single" width="4"/>
          </v:shape>
          <o:OLEObject Type="Embed" ProgID="Excel.Sheet.8" ShapeID="_x0000_i1038" DrawAspect="Content" ObjectID="_1465367346" r:id="rId41"/>
        </w:objec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F466D" w:rsidRDefault="00BB69DC" w:rsidP="008F466D">
      <w:pPr>
        <w:pStyle w:val="Odsekzoznamu"/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F466D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br w:type="page"/>
      </w:r>
      <w:r w:rsidRPr="008F466D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lastRenderedPageBreak/>
        <w:t>NÁKLADY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BB69DC" w:rsidRPr="008D1531" w:rsidTr="0075062E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BB69DC" w:rsidRPr="008D1531" w:rsidTr="0075062E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Náklady voči audítorovi, audítorskej spoločnosti,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náklady za overenie individuálnej účtovnej závierky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 xml:space="preserve">iné </w:t>
            </w:r>
            <w:proofErr w:type="spellStart"/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uisťovacie</w:t>
            </w:r>
            <w:proofErr w:type="spellEnd"/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 xml:space="preserve"> audítorské služby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súvisiace 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daňové poradenstvo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ostatné neaudítorské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C57C67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3583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E65EB1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2356</w:t>
            </w: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Ostatné významné položky nákladov za poskytnuté služby,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A60930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i/>
                <w:sz w:val="17"/>
                <w:szCs w:val="17"/>
                <w:lang w:eastAsia="en-US"/>
              </w:rPr>
              <w:t>59 916</w:t>
            </w: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E65EB1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Prenájom priestorov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A60930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9122</w:t>
            </w: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E65EB1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Tanečníčky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E65EB1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Videoklipy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4525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Opravy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4525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9630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E65EB1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6F7672" w:rsidRDefault="00A60930" w:rsidP="00A60930">
            <w:pPr>
              <w:rPr>
                <w:rFonts w:ascii="Verdana" w:hAnsi="Verdana"/>
                <w:sz w:val="17"/>
                <w:szCs w:val="17"/>
                <w:highlight w:val="yellow"/>
                <w:lang w:eastAsia="en-US"/>
              </w:rPr>
            </w:pPr>
            <w:r w:rsidRPr="00A60930">
              <w:rPr>
                <w:rFonts w:ascii="Verdana" w:hAnsi="Verdana"/>
                <w:sz w:val="17"/>
                <w:szCs w:val="17"/>
                <w:lang w:eastAsia="en-US"/>
              </w:rPr>
              <w:t>Reprezentácia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6F7672" w:rsidRDefault="0064525C" w:rsidP="0075062E">
            <w:pPr>
              <w:jc w:val="right"/>
              <w:rPr>
                <w:rFonts w:ascii="Verdana" w:hAnsi="Verdana"/>
                <w:sz w:val="17"/>
                <w:szCs w:val="17"/>
                <w:highlight w:val="yellow"/>
                <w:lang w:eastAsia="en-US"/>
              </w:rPr>
            </w:pPr>
            <w:r w:rsidRPr="00A60930">
              <w:rPr>
                <w:rFonts w:ascii="Verdana" w:hAnsi="Verdana"/>
                <w:sz w:val="17"/>
                <w:szCs w:val="17"/>
                <w:lang w:eastAsia="en-US"/>
              </w:rPr>
              <w:t>2559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Ostatné významné položky nákladov z hospodárskej činnosti</w:t>
            </w: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4525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60545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A60930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62777</w:t>
            </w: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E65EB1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Odpisy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4525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60545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0930" w:rsidRPr="008D1531" w:rsidRDefault="00A60930" w:rsidP="00A60930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62777</w:t>
            </w: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Kurzové straty,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29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kurzové straty ku dňu, ku ktorému sa zostavuje účtovná závierka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4525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326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64525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441</w:t>
            </w: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i/>
                <w:sz w:val="17"/>
                <w:szCs w:val="17"/>
                <w:lang w:eastAsia="en-US"/>
              </w:rPr>
              <w:t>Ostatné významné položky finančných nákladov, z toho:</w:t>
            </w:r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i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Nákladové úroky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Bankové poplatky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67FF3" w:rsidRPr="008D1531" w:rsidRDefault="00B67FF3" w:rsidP="00B67FF3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Mimoriadne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</w:tbl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lastRenderedPageBreak/>
        <w:t>DAŇ Z PRÍJMOV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Sadzba dane z príjmov pre rok 2013 je 23 %. Spoločnosť nemala žiadne úľavy z daní. Štruktúra výpočtu spl</w:t>
      </w:r>
      <w:r w:rsidR="0064525C">
        <w:rPr>
          <w:rFonts w:ascii="Verdana" w:hAnsi="Verdana"/>
          <w:snapToGrid w:val="0"/>
          <w:sz w:val="17"/>
          <w:szCs w:val="17"/>
        </w:rPr>
        <w:t>atnej dane z príjmov za rok 2013</w:t>
      </w:r>
      <w:r w:rsidRPr="008D1531">
        <w:rPr>
          <w:rFonts w:ascii="Verdana" w:hAnsi="Verdana"/>
          <w:snapToGrid w:val="0"/>
          <w:sz w:val="17"/>
          <w:szCs w:val="17"/>
        </w:rPr>
        <w:t xml:space="preserve"> je uvedená v prílohe v tabuľke č. 2. </w:t>
      </w:r>
    </w:p>
    <w:p w:rsidR="00BB69DC" w:rsidRPr="008D1531" w:rsidRDefault="00BB69DC" w:rsidP="00BB69DC">
      <w:pPr>
        <w:jc w:val="right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  <w:r w:rsidRPr="00A60930">
        <w:rPr>
          <w:rFonts w:ascii="Verdana" w:hAnsi="Verdana"/>
          <w:snapToGrid w:val="0"/>
          <w:sz w:val="17"/>
          <w:szCs w:val="17"/>
          <w:u w:val="single"/>
        </w:rPr>
        <w:t>Odsúhlasenie dane z príjmov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tbl>
      <w:tblPr>
        <w:tblW w:w="4961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2"/>
        <w:gridCol w:w="1516"/>
        <w:gridCol w:w="1145"/>
        <w:gridCol w:w="712"/>
        <w:gridCol w:w="1548"/>
        <w:gridCol w:w="1047"/>
        <w:gridCol w:w="835"/>
      </w:tblGrid>
      <w:tr w:rsidR="00BB69DC" w:rsidRPr="008D1531" w:rsidTr="0075062E">
        <w:trPr>
          <w:trHeight w:val="642"/>
        </w:trPr>
        <w:tc>
          <w:tcPr>
            <w:tcW w:w="24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343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BB69DC" w:rsidRPr="008D1531" w:rsidTr="0075062E">
        <w:trPr>
          <w:trHeight w:val="345"/>
        </w:trPr>
        <w:tc>
          <w:tcPr>
            <w:tcW w:w="241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Daň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z w:val="17"/>
                <w:szCs w:val="17"/>
                <w:lang w:eastAsia="en-US"/>
              </w:rPr>
              <w:t>Daň v %</w:t>
            </w:r>
          </w:p>
        </w:tc>
      </w:tr>
      <w:tr w:rsidR="00BB69DC" w:rsidRPr="008D1531" w:rsidTr="0075062E">
        <w:trPr>
          <w:trHeight w:val="330"/>
        </w:trPr>
        <w:tc>
          <w:tcPr>
            <w:tcW w:w="241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f</w:t>
            </w:r>
          </w:p>
        </w:tc>
        <w:tc>
          <w:tcPr>
            <w:tcW w:w="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67FF3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G</w:t>
            </w:r>
          </w:p>
        </w:tc>
      </w:tr>
      <w:tr w:rsidR="00BB69DC" w:rsidRPr="008D1531" w:rsidTr="0075062E">
        <w:trPr>
          <w:trHeight w:val="330"/>
        </w:trPr>
        <w:tc>
          <w:tcPr>
            <w:tcW w:w="24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64525C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-</w:t>
            </w:r>
            <w:r w:rsidR="006F7672">
              <w:rPr>
                <w:rFonts w:ascii="Verdana" w:hAnsi="Verdana"/>
                <w:sz w:val="17"/>
                <w:szCs w:val="17"/>
                <w:lang w:eastAsia="en-US"/>
              </w:rPr>
              <w:t>113 040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D07EF5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-</w:t>
            </w:r>
            <w:r w:rsidR="00D07EF5">
              <w:rPr>
                <w:rFonts w:ascii="Verdana" w:hAnsi="Verdana"/>
                <w:sz w:val="17"/>
                <w:szCs w:val="17"/>
                <w:lang w:eastAsia="en-US"/>
              </w:rPr>
              <w:t>136 377</w:t>
            </w: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8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67FF3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</w:tr>
      <w:tr w:rsidR="00BB69DC" w:rsidRPr="008D1531" w:rsidTr="0075062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750575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-</w:t>
            </w:r>
            <w:r w:rsidR="006F7672">
              <w:rPr>
                <w:rFonts w:ascii="Verdana" w:hAnsi="Verdana"/>
                <w:sz w:val="17"/>
                <w:szCs w:val="17"/>
                <w:lang w:eastAsia="en-US"/>
              </w:rPr>
              <w:t>25 999</w:t>
            </w: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6F7672" w:rsidP="00D07EF5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-</w:t>
            </w:r>
            <w:r w:rsidR="00D07EF5">
              <w:rPr>
                <w:rFonts w:ascii="Verdana" w:hAnsi="Verdana"/>
                <w:sz w:val="17"/>
                <w:szCs w:val="17"/>
                <w:lang w:eastAsia="en-US"/>
              </w:rPr>
              <w:t>25 912</w:t>
            </w:r>
          </w:p>
        </w:tc>
        <w:tc>
          <w:tcPr>
            <w:tcW w:w="83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67FF3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19</w:t>
            </w:r>
          </w:p>
        </w:tc>
      </w:tr>
      <w:tr w:rsidR="00BB69DC" w:rsidRPr="008D1531" w:rsidTr="0075062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6C5EF4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2994</w:t>
            </w:r>
            <w:r w:rsidR="00BB69DC"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D07EF5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966</w:t>
            </w: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24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Default="00D07EF5" w:rsidP="006F7672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  <w:p w:rsidR="00D07EF5" w:rsidRPr="008D1531" w:rsidRDefault="00D07EF5" w:rsidP="006F7672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B67FF3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</w:tr>
      <w:tr w:rsidR="00BB69DC" w:rsidRPr="008D1531" w:rsidTr="0075062E">
        <w:trPr>
          <w:trHeight w:val="330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</w:tr>
      <w:tr w:rsidR="00BB69DC" w:rsidRPr="008D1531" w:rsidTr="0075062E">
        <w:trPr>
          <w:trHeight w:val="345"/>
        </w:trPr>
        <w:tc>
          <w:tcPr>
            <w:tcW w:w="24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 xml:space="preserve">Celková daň z príjmov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67FF3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0 </w:t>
            </w:r>
          </w:p>
        </w:tc>
        <w:tc>
          <w:tcPr>
            <w:tcW w:w="83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z w:val="17"/>
                <w:szCs w:val="17"/>
                <w:lang w:eastAsia="en-US"/>
              </w:rPr>
              <w:t>0</w:t>
            </w:r>
          </w:p>
        </w:tc>
      </w:tr>
    </w:tbl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B67FF3" w:rsidRPr="008D1531" w:rsidRDefault="00B67FF3" w:rsidP="00BB69DC">
      <w:pPr>
        <w:jc w:val="both"/>
        <w:rPr>
          <w:rFonts w:ascii="Verdana" w:hAnsi="Verdana"/>
          <w:snapToGrid w:val="0"/>
          <w:sz w:val="17"/>
          <w:szCs w:val="17"/>
          <w:u w:val="single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PODSÚVAHOVÉ ÚČTY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Spoločnosť nemá.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INÉ AKTÍVA A INÉ PASÍVA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Podmienené záväzky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F06FA3" w:rsidP="00BB69DC">
      <w:pPr>
        <w:jc w:val="both"/>
        <w:rPr>
          <w:rFonts w:ascii="Verdana" w:hAnsi="Verdana"/>
          <w:snapToGrid w:val="0"/>
          <w:sz w:val="17"/>
          <w:szCs w:val="17"/>
          <w:lang w:eastAsia="en-US"/>
        </w:rPr>
      </w:pPr>
      <w:r w:rsidRPr="008D1531">
        <w:rPr>
          <w:rFonts w:ascii="Verdana" w:hAnsi="Verdana" w:cs="Arial"/>
          <w:color w:val="000000" w:themeColor="text1"/>
          <w:sz w:val="17"/>
          <w:szCs w:val="17"/>
          <w:lang w:eastAsia="en-US"/>
        </w:rPr>
        <w:t>Netýka sa spoločnosti.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Emisné kvóty</w:t>
      </w: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Cs/>
          <w:iCs/>
          <w:sz w:val="17"/>
          <w:szCs w:val="17"/>
          <w:lang w:eastAsia="en-US"/>
        </w:rPr>
        <w:t xml:space="preserve">Spoločnosť nemá. </w:t>
      </w: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Budúce práva a povinnosti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jc w:val="both"/>
        <w:rPr>
          <w:rFonts w:ascii="Verdana" w:hAnsi="Verdana" w:cs="Arial"/>
          <w:color w:val="000000" w:themeColor="text1"/>
          <w:sz w:val="17"/>
          <w:szCs w:val="17"/>
          <w:lang w:eastAsia="en-US"/>
        </w:rPr>
      </w:pPr>
      <w:r w:rsidRPr="008D1531">
        <w:rPr>
          <w:rFonts w:ascii="Verdana" w:hAnsi="Verdana" w:cs="Arial"/>
          <w:color w:val="000000" w:themeColor="text1"/>
          <w:sz w:val="17"/>
          <w:szCs w:val="17"/>
          <w:lang w:eastAsia="en-US"/>
        </w:rPr>
        <w:t>Netýka sa spoločnosti</w:t>
      </w:r>
      <w:r w:rsidRPr="008D1531">
        <w:rPr>
          <w:rFonts w:ascii="Verdana" w:hAnsi="Verdana" w:cs="Arial"/>
          <w:i/>
          <w:color w:val="000000" w:themeColor="text1"/>
          <w:sz w:val="17"/>
          <w:szCs w:val="17"/>
          <w:lang w:eastAsia="en-US"/>
        </w:rPr>
        <w:t>.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Verdana" w:hAnsi="Verdana" w:cs="Arial"/>
          <w:b/>
          <w:bCs/>
          <w:iCs/>
          <w:sz w:val="17"/>
          <w:szCs w:val="17"/>
          <w:lang w:eastAsia="en-US"/>
        </w:rPr>
      </w:pPr>
      <w:r w:rsidRPr="008D1531">
        <w:rPr>
          <w:rFonts w:ascii="Verdana" w:hAnsi="Verdana" w:cs="Arial"/>
          <w:b/>
          <w:bCs/>
          <w:iCs/>
          <w:sz w:val="17"/>
          <w:szCs w:val="17"/>
          <w:lang w:eastAsia="en-US"/>
        </w:rPr>
        <w:t>Podmienený majetok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 w:cs="Arial"/>
          <w:color w:val="000000" w:themeColor="text1"/>
          <w:sz w:val="17"/>
          <w:szCs w:val="17"/>
          <w:lang w:eastAsia="en-US"/>
        </w:rPr>
      </w:pPr>
      <w:r w:rsidRPr="008D1531">
        <w:rPr>
          <w:rFonts w:ascii="Verdana" w:hAnsi="Verdana" w:cs="Arial"/>
          <w:i/>
          <w:color w:val="000000" w:themeColor="text1"/>
          <w:sz w:val="17"/>
          <w:szCs w:val="17"/>
          <w:lang w:eastAsia="en-US"/>
        </w:rPr>
        <w:t>Netýka sa spoločnosti.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PRÍJMY A VÝHODY ČLENOV ŠTATUTÁRNYCH, DOZORNÝCH A INÝCH ORGÁNOV SPOLOČNOSTI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 w:cs="Arial"/>
          <w:color w:val="000000" w:themeColor="text1"/>
          <w:sz w:val="17"/>
          <w:szCs w:val="17"/>
          <w:lang w:eastAsia="en-US"/>
        </w:rPr>
      </w:pPr>
      <w:r w:rsidRPr="008D1531">
        <w:rPr>
          <w:rFonts w:ascii="Verdana" w:hAnsi="Verdana" w:cs="Arial"/>
          <w:i/>
          <w:color w:val="000000" w:themeColor="text1"/>
          <w:sz w:val="17"/>
          <w:szCs w:val="17"/>
          <w:lang w:eastAsia="en-US"/>
        </w:rPr>
        <w:t>Netýka sa spoločnosti.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color w:val="00000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SPRIAZNENÉ OSOBY</w:t>
      </w:r>
    </w:p>
    <w:p w:rsidR="00BB69DC" w:rsidRPr="008D1531" w:rsidRDefault="00BB69DC" w:rsidP="00BB69DC">
      <w:pPr>
        <w:jc w:val="both"/>
        <w:rPr>
          <w:rFonts w:ascii="Verdana" w:hAnsi="Verdana"/>
          <w:b/>
          <w:snapToGrid w:val="0"/>
          <w:color w:val="000000"/>
          <w:sz w:val="17"/>
          <w:szCs w:val="17"/>
        </w:rPr>
      </w:pPr>
    </w:p>
    <w:p w:rsidR="00BB69DC" w:rsidRPr="008D1531" w:rsidRDefault="00F06FA3" w:rsidP="00BB69DC">
      <w:pPr>
        <w:jc w:val="both"/>
        <w:rPr>
          <w:rFonts w:ascii="Verdana" w:hAnsi="Verdana"/>
          <w:snapToGrid w:val="0"/>
          <w:color w:val="000000"/>
          <w:sz w:val="17"/>
          <w:szCs w:val="17"/>
        </w:rPr>
      </w:pPr>
      <w:r w:rsidRPr="008D1531">
        <w:rPr>
          <w:rFonts w:ascii="Verdana" w:hAnsi="Verdana" w:cs="Arial"/>
          <w:i/>
          <w:color w:val="000000" w:themeColor="text1"/>
          <w:sz w:val="17"/>
          <w:szCs w:val="17"/>
          <w:lang w:eastAsia="en-US"/>
        </w:rPr>
        <w:t>Netýka sa spoločnosti</w:t>
      </w:r>
      <w:r w:rsidR="00BB69DC" w:rsidRPr="008D1531">
        <w:rPr>
          <w:rFonts w:ascii="Verdana" w:hAnsi="Verdana"/>
          <w:snapToGrid w:val="0"/>
          <w:color w:val="000000"/>
          <w:sz w:val="17"/>
          <w:szCs w:val="17"/>
        </w:rPr>
        <w:t>.</w:t>
      </w:r>
    </w:p>
    <w:p w:rsidR="00BB69DC" w:rsidRPr="008D1531" w:rsidRDefault="00BB69DC" w:rsidP="00BB69DC">
      <w:pPr>
        <w:jc w:val="both"/>
        <w:rPr>
          <w:rFonts w:ascii="Verdana" w:hAnsi="Verdana"/>
          <w:b/>
          <w:snapToGrid w:val="0"/>
          <w:color w:val="000000"/>
          <w:sz w:val="17"/>
          <w:szCs w:val="17"/>
        </w:rPr>
      </w:pPr>
    </w:p>
    <w:p w:rsidR="00F06FA3" w:rsidRPr="008D1531" w:rsidRDefault="00F06FA3" w:rsidP="00BB69DC">
      <w:pPr>
        <w:jc w:val="both"/>
        <w:rPr>
          <w:rFonts w:ascii="Verdana" w:hAnsi="Verdana"/>
          <w:b/>
          <w:snapToGrid w:val="0"/>
          <w:color w:val="000000"/>
          <w:sz w:val="17"/>
          <w:szCs w:val="17"/>
        </w:rPr>
      </w:pPr>
    </w:p>
    <w:p w:rsidR="00F06FA3" w:rsidRPr="008D1531" w:rsidRDefault="00F06FA3" w:rsidP="00BB69DC">
      <w:pPr>
        <w:jc w:val="both"/>
        <w:rPr>
          <w:rFonts w:ascii="Verdana" w:hAnsi="Verdana"/>
          <w:b/>
          <w:snapToGrid w:val="0"/>
          <w:color w:val="00000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lastRenderedPageBreak/>
        <w:t>SKUTOČNOSTI, KTORÉ NASTALI PO DNI, KU KTORÉMU SA ZOSTAVUJE ÚČTOVNÁ ZÁVIERKA, A DO DŇA ZOSTAVENIA ÚČTOVNEJ ZÁVIERKY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u w:val="single"/>
          <w:lang w:eastAsia="en-US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Po 31. decembri 2013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PREHĽAD ZMIEN VLASTNÉHO IMANIA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</w:p>
    <w:bookmarkStart w:id="77" w:name="_MON_1389609372"/>
    <w:bookmarkStart w:id="78" w:name="_MON_1389609379"/>
    <w:bookmarkStart w:id="79" w:name="_MON_1389608253"/>
    <w:bookmarkStart w:id="80" w:name="_MON_1389608483"/>
    <w:bookmarkStart w:id="81" w:name="_MON_1389608588"/>
    <w:bookmarkEnd w:id="77"/>
    <w:bookmarkEnd w:id="78"/>
    <w:bookmarkEnd w:id="79"/>
    <w:bookmarkEnd w:id="80"/>
    <w:bookmarkEnd w:id="81"/>
    <w:bookmarkStart w:id="82" w:name="_MON_1389609220"/>
    <w:bookmarkEnd w:id="82"/>
    <w:p w:rsidR="00BB69DC" w:rsidRPr="008D1531" w:rsidRDefault="006A23B4" w:rsidP="00BB69DC">
      <w:pPr>
        <w:jc w:val="both"/>
        <w:rPr>
          <w:rFonts w:ascii="Verdana" w:hAnsi="Verdana"/>
          <w:snapToGrid w:val="0"/>
          <w:color w:val="000000"/>
          <w:sz w:val="17"/>
          <w:szCs w:val="17"/>
        </w:rPr>
      </w:pPr>
      <w:r w:rsidRPr="008D1531">
        <w:rPr>
          <w:rFonts w:ascii="Verdana" w:hAnsi="Verdana"/>
          <w:snapToGrid w:val="0"/>
          <w:color w:val="000000"/>
          <w:sz w:val="17"/>
          <w:szCs w:val="17"/>
        </w:rPr>
        <w:object w:dxaOrig="9632" w:dyaOrig="7745">
          <v:shape id="_x0000_i1040" type="#_x0000_t75" style="width:451.5pt;height:387.1pt" o:ole="">
            <v:imagedata r:id="rId42" o:title=""/>
            <w10:bordertop type="single" width="4"/>
            <w10:borderleft type="single" width="4"/>
          </v:shape>
          <o:OLEObject Type="Embed" ProgID="Excel.Sheet.8" ShapeID="_x0000_i1040" DrawAspect="Content" ObjectID="_1465367347" r:id="rId43"/>
        </w:object>
      </w:r>
    </w:p>
    <w:bookmarkStart w:id="83" w:name="_MON_1389609402"/>
    <w:bookmarkStart w:id="84" w:name="_MON_1389609428"/>
    <w:bookmarkEnd w:id="83"/>
    <w:bookmarkEnd w:id="84"/>
    <w:bookmarkStart w:id="85" w:name="_MON_1389608632"/>
    <w:bookmarkEnd w:id="85"/>
    <w:p w:rsidR="00BB69DC" w:rsidRPr="008D1531" w:rsidRDefault="00DD1FAE" w:rsidP="00BB69DC">
      <w:pPr>
        <w:jc w:val="both"/>
        <w:rPr>
          <w:rFonts w:ascii="Verdana" w:hAnsi="Verdana"/>
          <w:snapToGrid w:val="0"/>
          <w:color w:val="000000"/>
          <w:sz w:val="17"/>
          <w:szCs w:val="17"/>
          <w:u w:val="single"/>
        </w:rPr>
      </w:pPr>
      <w:r w:rsidRPr="008D1531">
        <w:rPr>
          <w:rFonts w:ascii="Verdana" w:hAnsi="Verdana"/>
          <w:snapToGrid w:val="0"/>
          <w:color w:val="000000"/>
          <w:sz w:val="17"/>
          <w:szCs w:val="17"/>
        </w:rPr>
        <w:object w:dxaOrig="9694" w:dyaOrig="7745">
          <v:shape id="_x0000_i1039" type="#_x0000_t75" style="width:454pt;height:387.1pt" o:ole="" o:bordertopcolor="this" o:borderleftcolor="this">
            <v:imagedata r:id="rId44" o:title=""/>
            <w10:bordertop type="single" width="4"/>
            <w10:borderleft type="single" width="4"/>
          </v:shape>
          <o:OLEObject Type="Embed" ProgID="Excel.Sheet.8" ShapeID="_x0000_i1039" DrawAspect="Content" ObjectID="_1465367348" r:id="rId45"/>
        </w:objec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color w:val="000000"/>
          <w:sz w:val="17"/>
          <w:szCs w:val="17"/>
          <w:u w:val="single"/>
        </w:rPr>
      </w:pPr>
    </w:p>
    <w:p w:rsidR="00BB69DC" w:rsidRPr="008D1531" w:rsidRDefault="00BB69DC" w:rsidP="00BB69DC">
      <w:pPr>
        <w:keepNext/>
        <w:numPr>
          <w:ilvl w:val="0"/>
          <w:numId w:val="23"/>
        </w:numPr>
        <w:jc w:val="both"/>
        <w:outlineLvl w:val="0"/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</w:pPr>
      <w:r w:rsidRPr="008D1531">
        <w:rPr>
          <w:rFonts w:ascii="Verdana" w:hAnsi="Verdana" w:cs="Arial"/>
          <w:b/>
          <w:bCs/>
          <w:caps/>
          <w:kern w:val="32"/>
          <w:sz w:val="17"/>
          <w:szCs w:val="17"/>
          <w:u w:val="single"/>
          <w:lang w:eastAsia="en-US"/>
        </w:rPr>
        <w:t>PREHĽAD PEŇAŽNÝCH TOKOV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color w:val="000000"/>
          <w:sz w:val="17"/>
          <w:szCs w:val="17"/>
          <w:u w:val="single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  <w:r w:rsidRPr="008D1531">
        <w:rPr>
          <w:rFonts w:ascii="Verdana" w:hAnsi="Verdana"/>
          <w:snapToGrid w:val="0"/>
          <w:sz w:val="17"/>
          <w:szCs w:val="17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BB69DC" w:rsidRPr="008D1531" w:rsidRDefault="00BB69DC" w:rsidP="00BB69DC">
      <w:pPr>
        <w:jc w:val="both"/>
        <w:rPr>
          <w:rFonts w:ascii="Verdana" w:hAnsi="Verdana"/>
          <w:sz w:val="17"/>
          <w:szCs w:val="17"/>
          <w:lang w:eastAsia="en-US"/>
        </w:rPr>
      </w:pPr>
      <w:r w:rsidRPr="008D1531">
        <w:rPr>
          <w:rFonts w:ascii="Verdana" w:hAnsi="Verdana"/>
          <w:sz w:val="17"/>
          <w:szCs w:val="17"/>
          <w:lang w:eastAsia="en-US"/>
        </w:rPr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</w:rPr>
      </w:pP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lang w:eastAsia="en-US"/>
        </w:rPr>
      </w:pPr>
      <w:r w:rsidRPr="008D1531">
        <w:rPr>
          <w:rFonts w:ascii="Verdana" w:hAnsi="Verdana"/>
          <w:snapToGrid w:val="0"/>
          <w:sz w:val="17"/>
          <w:szCs w:val="17"/>
          <w:lang w:eastAsia="en-US"/>
        </w:rPr>
        <w:t>Štruktúra peňažných prostriedkov a peňažných ekvivalentov:</w:t>
      </w:r>
    </w:p>
    <w:p w:rsidR="00BB69DC" w:rsidRPr="008D1531" w:rsidRDefault="00BB69DC" w:rsidP="00BB69DC">
      <w:pPr>
        <w:jc w:val="both"/>
        <w:rPr>
          <w:rFonts w:ascii="Verdana" w:hAnsi="Verdana"/>
          <w:snapToGrid w:val="0"/>
          <w:sz w:val="17"/>
          <w:szCs w:val="17"/>
          <w:lang w:eastAsia="en-US"/>
        </w:rPr>
      </w:pPr>
    </w:p>
    <w:tbl>
      <w:tblPr>
        <w:tblW w:w="9284" w:type="dxa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65"/>
        <w:gridCol w:w="992"/>
        <w:gridCol w:w="1843"/>
        <w:gridCol w:w="1984"/>
      </w:tblGrid>
      <w:tr w:rsidR="00BB69DC" w:rsidRPr="008D1531" w:rsidTr="0075062E">
        <w:trPr>
          <w:trHeight w:val="305"/>
        </w:trPr>
        <w:tc>
          <w:tcPr>
            <w:tcW w:w="44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Položka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Účet</w:t>
            </w:r>
          </w:p>
        </w:tc>
        <w:tc>
          <w:tcPr>
            <w:tcW w:w="1843" w:type="dxa"/>
            <w:tcBorders>
              <w:top w:val="single" w:sz="12" w:space="0" w:color="auto"/>
              <w:bottom w:val="nil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sz w:val="17"/>
                <w:szCs w:val="17"/>
                <w:lang w:val="en-GB"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Bežné účtovné obdobie</w:t>
            </w:r>
          </w:p>
        </w:tc>
        <w:tc>
          <w:tcPr>
            <w:tcW w:w="1984" w:type="dxa"/>
            <w:tcBorders>
              <w:top w:val="single" w:sz="12" w:space="0" w:color="auto"/>
              <w:bottom w:val="nil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sz w:val="17"/>
                <w:szCs w:val="17"/>
                <w:lang w:val="en-GB"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Bezprostredne predchádzajúce účtovné obdobie</w:t>
            </w:r>
          </w:p>
        </w:tc>
      </w:tr>
      <w:tr w:rsidR="00BB69DC" w:rsidRPr="008D1531" w:rsidTr="0075062E">
        <w:trPr>
          <w:trHeight w:val="305"/>
        </w:trPr>
        <w:tc>
          <w:tcPr>
            <w:tcW w:w="446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a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eastAsia="en-US"/>
              </w:rPr>
              <w:t>b</w:t>
            </w:r>
          </w:p>
        </w:tc>
        <w:tc>
          <w:tcPr>
            <w:tcW w:w="1843" w:type="dxa"/>
            <w:tcBorders>
              <w:top w:val="nil"/>
              <w:bottom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sz w:val="17"/>
                <w:szCs w:val="17"/>
                <w:lang w:val="en-GB"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val="en-GB" w:eastAsia="en-US"/>
              </w:rPr>
              <w:t>c</w:t>
            </w:r>
          </w:p>
        </w:tc>
        <w:tc>
          <w:tcPr>
            <w:tcW w:w="1984" w:type="dxa"/>
            <w:tcBorders>
              <w:top w:val="nil"/>
              <w:bottom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sz w:val="17"/>
                <w:szCs w:val="17"/>
                <w:lang w:val="en-GB" w:eastAsia="en-US"/>
              </w:rPr>
            </w:pPr>
            <w:r w:rsidRPr="008D1531">
              <w:rPr>
                <w:rFonts w:ascii="Verdana" w:hAnsi="Verdana"/>
                <w:b/>
                <w:sz w:val="17"/>
                <w:szCs w:val="17"/>
                <w:lang w:val="en-GB" w:eastAsia="en-US"/>
              </w:rPr>
              <w:t>d</w:t>
            </w:r>
          </w:p>
        </w:tc>
      </w:tr>
      <w:tr w:rsidR="00BB69DC" w:rsidRPr="008D1531" w:rsidTr="0075062E">
        <w:trPr>
          <w:trHeight w:val="263"/>
        </w:trPr>
        <w:tc>
          <w:tcPr>
            <w:tcW w:w="44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Peniaze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B69DC" w:rsidRPr="008D1531" w:rsidRDefault="00DD1FAE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6A23B4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</w:t>
            </w:r>
            <w:r w:rsidR="006A23B4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00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69DC" w:rsidRPr="008D1531" w:rsidRDefault="00DD1FAE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3 222</w:t>
            </w:r>
          </w:p>
        </w:tc>
      </w:tr>
      <w:tr w:rsidR="00BB69DC" w:rsidRPr="008D1531" w:rsidTr="0075062E">
        <w:trPr>
          <w:trHeight w:val="253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Ceniny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213</w:t>
            </w:r>
          </w:p>
        </w:tc>
        <w:tc>
          <w:tcPr>
            <w:tcW w:w="1843" w:type="dxa"/>
            <w:vAlign w:val="center"/>
          </w:tcPr>
          <w:p w:rsidR="00BB69DC" w:rsidRPr="008D1531" w:rsidRDefault="006A23B4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-180</w:t>
            </w:r>
          </w:p>
        </w:tc>
        <w:tc>
          <w:tcPr>
            <w:tcW w:w="1984" w:type="dxa"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270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Účty v bankách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BB69DC" w:rsidRPr="008D1531" w:rsidRDefault="00DD1FAE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7 180</w:t>
            </w:r>
          </w:p>
        </w:tc>
        <w:tc>
          <w:tcPr>
            <w:tcW w:w="1984" w:type="dxa"/>
            <w:vAlign w:val="center"/>
          </w:tcPr>
          <w:p w:rsidR="00BB69DC" w:rsidRPr="008D1531" w:rsidRDefault="00DD1FAE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3 664</w:t>
            </w:r>
          </w:p>
        </w:tc>
        <w:bookmarkStart w:id="86" w:name="_GoBack"/>
        <w:bookmarkEnd w:id="86"/>
      </w:tr>
      <w:tr w:rsidR="00BB69DC" w:rsidRPr="008D1531" w:rsidTr="0075062E">
        <w:trPr>
          <w:trHeight w:val="275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Kontokorentný účet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221</w:t>
            </w:r>
          </w:p>
        </w:tc>
        <w:tc>
          <w:tcPr>
            <w:tcW w:w="1843" w:type="dxa"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251"/>
        </w:trPr>
        <w:tc>
          <w:tcPr>
            <w:tcW w:w="4465" w:type="dxa"/>
            <w:tcBorders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Krátkodobý finančný majetok – akcie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251</w:t>
            </w:r>
          </w:p>
        </w:tc>
        <w:tc>
          <w:tcPr>
            <w:tcW w:w="1843" w:type="dxa"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  <w:tc>
          <w:tcPr>
            <w:tcW w:w="1984" w:type="dxa"/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269"/>
        </w:trPr>
        <w:tc>
          <w:tcPr>
            <w:tcW w:w="44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Krátkodobý finančný majetok – dlhopisy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right"/>
              <w:rPr>
                <w:rFonts w:ascii="Verdana" w:hAnsi="Verdana"/>
                <w:snapToGrid w:val="0"/>
                <w:sz w:val="17"/>
                <w:szCs w:val="17"/>
                <w:lang w:eastAsia="en-US"/>
              </w:rPr>
            </w:pPr>
          </w:p>
        </w:tc>
      </w:tr>
      <w:tr w:rsidR="00BB69DC" w:rsidRPr="008D1531" w:rsidTr="0075062E">
        <w:trPr>
          <w:trHeight w:val="258"/>
        </w:trPr>
        <w:tc>
          <w:tcPr>
            <w:tcW w:w="446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B69DC" w:rsidRPr="008D1531" w:rsidRDefault="00BB69DC" w:rsidP="0075062E">
            <w:pPr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  <w:t>Spolu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BB69DC" w:rsidP="0075062E">
            <w:pPr>
              <w:jc w:val="center"/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</w:pPr>
            <w:r w:rsidRPr="008D1531"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  <w:t>x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DD1FAE" w:rsidP="00DD1FAE">
            <w:pPr>
              <w:jc w:val="right"/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  <w:t>7 182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B69DC" w:rsidRPr="008D1531" w:rsidRDefault="00DD1FAE" w:rsidP="00DD1FAE">
            <w:pPr>
              <w:jc w:val="right"/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</w:pPr>
            <w:r>
              <w:rPr>
                <w:rFonts w:ascii="Verdana" w:hAnsi="Verdana"/>
                <w:b/>
                <w:bCs/>
                <w:snapToGrid w:val="0"/>
                <w:sz w:val="17"/>
                <w:szCs w:val="17"/>
                <w:lang w:eastAsia="en-US"/>
              </w:rPr>
              <w:t>6 886</w:t>
            </w:r>
          </w:p>
        </w:tc>
      </w:tr>
    </w:tbl>
    <w:p w:rsidR="00E80C3F" w:rsidRPr="008D1531" w:rsidRDefault="00E80C3F" w:rsidP="00EF289B">
      <w:pPr>
        <w:tabs>
          <w:tab w:val="left" w:pos="5387"/>
        </w:tabs>
        <w:ind w:right="-468"/>
        <w:jc w:val="both"/>
        <w:rPr>
          <w:rFonts w:ascii="Verdana" w:hAnsi="Verdana" w:cs="Arial"/>
          <w:sz w:val="17"/>
          <w:szCs w:val="17"/>
        </w:rPr>
      </w:pPr>
      <w:bookmarkStart w:id="87" w:name="_MON_1389768438"/>
      <w:bookmarkStart w:id="88" w:name="_MON_1389768493"/>
      <w:bookmarkStart w:id="89" w:name="_MON_1389768499"/>
      <w:bookmarkStart w:id="90" w:name="_MON_1389016115"/>
      <w:bookmarkEnd w:id="87"/>
      <w:bookmarkEnd w:id="88"/>
      <w:bookmarkEnd w:id="89"/>
      <w:bookmarkEnd w:id="90"/>
    </w:p>
    <w:sectPr w:rsidR="00E80C3F" w:rsidRPr="008D1531" w:rsidSect="00EF289B"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C036F" w:rsidRDefault="003C036F">
      <w:r>
        <w:separator/>
      </w:r>
    </w:p>
  </w:endnote>
  <w:endnote w:type="continuationSeparator" w:id="0">
    <w:p w:rsidR="003C036F" w:rsidRDefault="003C03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B4" w:rsidRDefault="006A23B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0FB3">
      <w:rPr>
        <w:noProof/>
      </w:rPr>
      <w:t>6</w:t>
    </w:r>
    <w:r>
      <w:rPr>
        <w:noProof/>
      </w:rPr>
      <w:fldChar w:fldCharType="end"/>
    </w:r>
  </w:p>
  <w:p w:rsidR="006A23B4" w:rsidRDefault="006A23B4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A23B4" w:rsidRDefault="006A23B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70FB3">
      <w:rPr>
        <w:noProof/>
      </w:rPr>
      <w:t>19</w:t>
    </w:r>
    <w:r>
      <w:rPr>
        <w:noProof/>
      </w:rPr>
      <w:fldChar w:fldCharType="end"/>
    </w:r>
  </w:p>
  <w:p w:rsidR="006A23B4" w:rsidRDefault="006A23B4">
    <w:pPr>
      <w:pStyle w:val="Pta"/>
    </w:pPr>
  </w:p>
  <w:p w:rsidR="006A23B4" w:rsidRDefault="006A23B4"/>
  <w:p w:rsidR="006A23B4" w:rsidRDefault="006A23B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C036F" w:rsidRDefault="003C036F">
      <w:r>
        <w:separator/>
      </w:r>
    </w:p>
  </w:footnote>
  <w:footnote w:type="continuationSeparator" w:id="0">
    <w:p w:rsidR="003C036F" w:rsidRDefault="003C036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79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6A23B4" w:rsidRPr="0093379F" w:rsidTr="0075062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23B4" w:rsidRPr="0093379F" w:rsidRDefault="006A23B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23B4" w:rsidRPr="0093379F" w:rsidRDefault="006A23B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519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23B4" w:rsidRPr="0093379F" w:rsidRDefault="006A23B4" w:rsidP="0075062E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93379F" w:rsidRDefault="006A23B4" w:rsidP="0075062E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</w:tr>
  </w:tbl>
  <w:p w:rsidR="006A23B4" w:rsidRPr="0093379F" w:rsidRDefault="006A23B4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A23B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23B4" w:rsidRPr="003F477D" w:rsidRDefault="006A23B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23B4" w:rsidRPr="003F477D" w:rsidRDefault="006A23B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23B4" w:rsidRPr="003F477D" w:rsidRDefault="006A23B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A23B4" w:rsidRDefault="006A23B4" w:rsidP="002715D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6A23B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A23B4" w:rsidRPr="003F477D" w:rsidRDefault="006A23B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23B4" w:rsidRPr="003F477D" w:rsidRDefault="006A23B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A23B4" w:rsidRPr="003F477D" w:rsidRDefault="006A23B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A23B4" w:rsidRPr="003F477D" w:rsidRDefault="006A23B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6A23B4" w:rsidRDefault="006A23B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441E780E"/>
    <w:multiLevelType w:val="hybridMultilevel"/>
    <w:tmpl w:val="2AEC2A8E"/>
    <w:lvl w:ilvl="0" w:tplc="27984F00">
      <w:start w:val="2"/>
      <w:numFmt w:val="bullet"/>
      <w:lvlText w:val="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FAE0A37"/>
    <w:multiLevelType w:val="hybridMultilevel"/>
    <w:tmpl w:val="623282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7CA34EA"/>
    <w:multiLevelType w:val="hybridMultilevel"/>
    <w:tmpl w:val="FF24B516"/>
    <w:lvl w:ilvl="0" w:tplc="840EADDA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79686D7C"/>
    <w:multiLevelType w:val="multilevel"/>
    <w:tmpl w:val="67C8E190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"/>
  </w:num>
  <w:num w:numId="3">
    <w:abstractNumId w:val="9"/>
  </w:num>
  <w:num w:numId="4">
    <w:abstractNumId w:val="21"/>
  </w:num>
  <w:num w:numId="5">
    <w:abstractNumId w:val="11"/>
  </w:num>
  <w:num w:numId="6">
    <w:abstractNumId w:val="13"/>
  </w:num>
  <w:num w:numId="7">
    <w:abstractNumId w:val="15"/>
  </w:num>
  <w:num w:numId="8">
    <w:abstractNumId w:val="2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4"/>
  </w:num>
  <w:num w:numId="11">
    <w:abstractNumId w:val="12"/>
  </w:num>
  <w:num w:numId="12">
    <w:abstractNumId w:val="7"/>
  </w:num>
  <w:num w:numId="13">
    <w:abstractNumId w:val="6"/>
  </w:num>
  <w:num w:numId="14">
    <w:abstractNumId w:val="14"/>
  </w:num>
  <w:num w:numId="15">
    <w:abstractNumId w:val="10"/>
  </w:num>
  <w:num w:numId="16">
    <w:abstractNumId w:val="18"/>
  </w:num>
  <w:num w:numId="17">
    <w:abstractNumId w:val="0"/>
  </w:num>
  <w:num w:numId="18">
    <w:abstractNumId w:val="8"/>
  </w:num>
  <w:num w:numId="19">
    <w:abstractNumId w:val="19"/>
  </w:num>
  <w:num w:numId="20">
    <w:abstractNumId w:val="5"/>
  </w:num>
  <w:num w:numId="21">
    <w:abstractNumId w:val="2"/>
  </w:num>
  <w:num w:numId="22">
    <w:abstractNumId w:val="16"/>
  </w:num>
  <w:num w:numId="2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6497D"/>
    <w:rsid w:val="00066BE0"/>
    <w:rsid w:val="00070129"/>
    <w:rsid w:val="00070DC9"/>
    <w:rsid w:val="00080329"/>
    <w:rsid w:val="0009249A"/>
    <w:rsid w:val="000A46AB"/>
    <w:rsid w:val="000B1BA1"/>
    <w:rsid w:val="000B252C"/>
    <w:rsid w:val="000B2961"/>
    <w:rsid w:val="000B6B8E"/>
    <w:rsid w:val="000E0FA5"/>
    <w:rsid w:val="000E4475"/>
    <w:rsid w:val="000E57B5"/>
    <w:rsid w:val="000E7875"/>
    <w:rsid w:val="000F226D"/>
    <w:rsid w:val="000F2B0F"/>
    <w:rsid w:val="00105490"/>
    <w:rsid w:val="001126C4"/>
    <w:rsid w:val="001148AB"/>
    <w:rsid w:val="00117BEB"/>
    <w:rsid w:val="00124A2A"/>
    <w:rsid w:val="001550FB"/>
    <w:rsid w:val="00170FB3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D0B2D"/>
    <w:rsid w:val="001D5A76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1740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5F04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2A7A"/>
    <w:rsid w:val="00355441"/>
    <w:rsid w:val="00362212"/>
    <w:rsid w:val="0036452C"/>
    <w:rsid w:val="00391A1E"/>
    <w:rsid w:val="003974CA"/>
    <w:rsid w:val="003A68A0"/>
    <w:rsid w:val="003B22E0"/>
    <w:rsid w:val="003C036F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07585"/>
    <w:rsid w:val="0041493D"/>
    <w:rsid w:val="004233E2"/>
    <w:rsid w:val="004264CD"/>
    <w:rsid w:val="00434A9A"/>
    <w:rsid w:val="00445099"/>
    <w:rsid w:val="004523D3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4E6B05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6E7A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525C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23B4"/>
    <w:rsid w:val="006A48C9"/>
    <w:rsid w:val="006B69FE"/>
    <w:rsid w:val="006C5EF4"/>
    <w:rsid w:val="006C7BF2"/>
    <w:rsid w:val="006D2872"/>
    <w:rsid w:val="006D7398"/>
    <w:rsid w:val="006F5596"/>
    <w:rsid w:val="006F5A49"/>
    <w:rsid w:val="006F7672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0575"/>
    <w:rsid w:val="0075062E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A752F"/>
    <w:rsid w:val="007B6B6C"/>
    <w:rsid w:val="007C40F2"/>
    <w:rsid w:val="007D50DA"/>
    <w:rsid w:val="007E4948"/>
    <w:rsid w:val="007E7210"/>
    <w:rsid w:val="007F26F7"/>
    <w:rsid w:val="007F523F"/>
    <w:rsid w:val="0080258D"/>
    <w:rsid w:val="00806930"/>
    <w:rsid w:val="008119BF"/>
    <w:rsid w:val="00815AE4"/>
    <w:rsid w:val="00824623"/>
    <w:rsid w:val="00832FF0"/>
    <w:rsid w:val="0084070B"/>
    <w:rsid w:val="00861401"/>
    <w:rsid w:val="00861803"/>
    <w:rsid w:val="00867392"/>
    <w:rsid w:val="00884A8C"/>
    <w:rsid w:val="008863B4"/>
    <w:rsid w:val="00890711"/>
    <w:rsid w:val="008A1671"/>
    <w:rsid w:val="008A2E88"/>
    <w:rsid w:val="008B186E"/>
    <w:rsid w:val="008B19F2"/>
    <w:rsid w:val="008B4817"/>
    <w:rsid w:val="008B6609"/>
    <w:rsid w:val="008C4105"/>
    <w:rsid w:val="008C5C88"/>
    <w:rsid w:val="008D0B38"/>
    <w:rsid w:val="008D1531"/>
    <w:rsid w:val="008D6D25"/>
    <w:rsid w:val="008E18B3"/>
    <w:rsid w:val="008E6809"/>
    <w:rsid w:val="008F466D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4939"/>
    <w:rsid w:val="009F5D0D"/>
    <w:rsid w:val="009F65FA"/>
    <w:rsid w:val="009F6DA7"/>
    <w:rsid w:val="00A068D1"/>
    <w:rsid w:val="00A06C9B"/>
    <w:rsid w:val="00A06EA9"/>
    <w:rsid w:val="00A10E26"/>
    <w:rsid w:val="00A16C95"/>
    <w:rsid w:val="00A26876"/>
    <w:rsid w:val="00A3246D"/>
    <w:rsid w:val="00A35F64"/>
    <w:rsid w:val="00A40E0B"/>
    <w:rsid w:val="00A53820"/>
    <w:rsid w:val="00A6093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2F68"/>
    <w:rsid w:val="00B53B34"/>
    <w:rsid w:val="00B5432A"/>
    <w:rsid w:val="00B66313"/>
    <w:rsid w:val="00B67FF3"/>
    <w:rsid w:val="00B811C0"/>
    <w:rsid w:val="00B82176"/>
    <w:rsid w:val="00B87E21"/>
    <w:rsid w:val="00BB69DC"/>
    <w:rsid w:val="00BC3432"/>
    <w:rsid w:val="00BC3D4A"/>
    <w:rsid w:val="00BD2F98"/>
    <w:rsid w:val="00BD55A8"/>
    <w:rsid w:val="00BE2725"/>
    <w:rsid w:val="00BE300C"/>
    <w:rsid w:val="00BF1944"/>
    <w:rsid w:val="00BF51A4"/>
    <w:rsid w:val="00C035C7"/>
    <w:rsid w:val="00C0603C"/>
    <w:rsid w:val="00C07A05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57C67"/>
    <w:rsid w:val="00C61C50"/>
    <w:rsid w:val="00C63F44"/>
    <w:rsid w:val="00C73DCF"/>
    <w:rsid w:val="00C80FCD"/>
    <w:rsid w:val="00C86E91"/>
    <w:rsid w:val="00CA0C83"/>
    <w:rsid w:val="00CC2D31"/>
    <w:rsid w:val="00CC40E4"/>
    <w:rsid w:val="00CC4C71"/>
    <w:rsid w:val="00CD1BFB"/>
    <w:rsid w:val="00CD2EA4"/>
    <w:rsid w:val="00CD452D"/>
    <w:rsid w:val="00CD560B"/>
    <w:rsid w:val="00CD7556"/>
    <w:rsid w:val="00CE47B4"/>
    <w:rsid w:val="00CE4827"/>
    <w:rsid w:val="00CF092E"/>
    <w:rsid w:val="00CF75DD"/>
    <w:rsid w:val="00D004CC"/>
    <w:rsid w:val="00D07EF5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1FAE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5EB1"/>
    <w:rsid w:val="00E67116"/>
    <w:rsid w:val="00E70599"/>
    <w:rsid w:val="00E7088D"/>
    <w:rsid w:val="00E72E71"/>
    <w:rsid w:val="00E80C3F"/>
    <w:rsid w:val="00E81C52"/>
    <w:rsid w:val="00E90529"/>
    <w:rsid w:val="00EB2C99"/>
    <w:rsid w:val="00EB5BB2"/>
    <w:rsid w:val="00ED7779"/>
    <w:rsid w:val="00EF289B"/>
    <w:rsid w:val="00EF6214"/>
    <w:rsid w:val="00F06FA3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3485"/>
    <w:rsid w:val="00F86679"/>
    <w:rsid w:val="00F920DE"/>
    <w:rsid w:val="00F92E36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29174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0F2B0F"/>
  </w:style>
  <w:style w:type="paragraph" w:styleId="Odsekzoznamu">
    <w:name w:val="List Paragraph"/>
    <w:basedOn w:val="Normlny"/>
    <w:uiPriority w:val="34"/>
    <w:qFormat/>
    <w:rsid w:val="000F2B0F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semiHidden/>
    <w:rsid w:val="0029174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Zkladntext0">
    <w:name w:val="Body Text"/>
    <w:basedOn w:val="Normlny"/>
    <w:link w:val="ZkladntextChar"/>
    <w:rsid w:val="00BE300C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0"/>
    <w:rsid w:val="00BE300C"/>
    <w:rPr>
      <w:sz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semiHidden/>
    <w:unhideWhenUsed/>
    <w:qFormat/>
    <w:locked/>
    <w:rsid w:val="0029174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0F2B0F"/>
  </w:style>
  <w:style w:type="paragraph" w:styleId="Odsekzoznamu">
    <w:name w:val="List Paragraph"/>
    <w:basedOn w:val="Normlny"/>
    <w:uiPriority w:val="34"/>
    <w:qFormat/>
    <w:rsid w:val="000F2B0F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semiHidden/>
    <w:rsid w:val="0029174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paragraph" w:styleId="Zkladntext0">
    <w:name w:val="Body Text"/>
    <w:basedOn w:val="Normlny"/>
    <w:link w:val="ZkladntextChar"/>
    <w:rsid w:val="00BE300C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0"/>
    <w:rsid w:val="00BE300C"/>
    <w:rPr>
      <w:sz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6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image" Target="media/image4.emf"/><Relationship Id="rId26" Type="http://schemas.openxmlformats.org/officeDocument/2006/relationships/image" Target="media/image7.emf"/><Relationship Id="rId39" Type="http://schemas.openxmlformats.org/officeDocument/2006/relationships/oleObject" Target="embeddings/Microsoft_Excel_97-2003_Worksheet13.xls"/><Relationship Id="rId3" Type="http://schemas.openxmlformats.org/officeDocument/2006/relationships/styles" Target="styles.xml"/><Relationship Id="rId21" Type="http://schemas.openxmlformats.org/officeDocument/2006/relationships/oleObject" Target="embeddings/Microsoft_Excel_97-2003_Worksheet5.xls"/><Relationship Id="rId34" Type="http://schemas.openxmlformats.org/officeDocument/2006/relationships/image" Target="media/image11.emf"/><Relationship Id="rId42" Type="http://schemas.openxmlformats.org/officeDocument/2006/relationships/image" Target="media/image15.emf"/><Relationship Id="rId47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oleObject" Target="embeddings/Microsoft_Excel_97-2003_Worksheet3.xls"/><Relationship Id="rId25" Type="http://schemas.openxmlformats.org/officeDocument/2006/relationships/oleObject" Target="embeddings/Microsoft_Excel_97-2003_Worksheet6.xls"/><Relationship Id="rId33" Type="http://schemas.openxmlformats.org/officeDocument/2006/relationships/oleObject" Target="embeddings/Microsoft_Excel_97-2003_Worksheet10.xls"/><Relationship Id="rId38" Type="http://schemas.openxmlformats.org/officeDocument/2006/relationships/image" Target="media/image13.emf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29" Type="http://schemas.openxmlformats.org/officeDocument/2006/relationships/oleObject" Target="embeddings/Microsoft_Excel_97-2003_Worksheet8.xls"/><Relationship Id="rId41" Type="http://schemas.openxmlformats.org/officeDocument/2006/relationships/oleObject" Target="embeddings/Microsoft_Excel_97-2003_Worksheet14.xls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oleObject" Target="embeddings/Microsoft_Excel_97-2003_Worksheet12.xls"/><Relationship Id="rId40" Type="http://schemas.openxmlformats.org/officeDocument/2006/relationships/image" Target="media/image14.emf"/><Relationship Id="rId45" Type="http://schemas.openxmlformats.org/officeDocument/2006/relationships/oleObject" Target="embeddings/Microsoft_Excel_97-2003_Worksheet16.xls"/><Relationship Id="rId5" Type="http://schemas.openxmlformats.org/officeDocument/2006/relationships/settings" Target="settings.xml"/><Relationship Id="rId15" Type="http://schemas.openxmlformats.org/officeDocument/2006/relationships/oleObject" Target="embeddings/Microsoft_Excel_97-2003_Worksheet2.xls"/><Relationship Id="rId23" Type="http://schemas.openxmlformats.org/officeDocument/2006/relationships/header" Target="header3.xml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10" Type="http://schemas.openxmlformats.org/officeDocument/2006/relationships/oleObject" Target="embeddings/Microsoft_Excel_97-2003_Worksheet1.xls"/><Relationship Id="rId19" Type="http://schemas.openxmlformats.org/officeDocument/2006/relationships/oleObject" Target="embeddings/Microsoft_Excel_97-2003_Worksheet4.xls"/><Relationship Id="rId31" Type="http://schemas.openxmlformats.org/officeDocument/2006/relationships/oleObject" Target="embeddings/Microsoft_Excel_97-2003_Worksheet9.xls"/><Relationship Id="rId44" Type="http://schemas.openxmlformats.org/officeDocument/2006/relationships/image" Target="media/image16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image" Target="media/image2.emf"/><Relationship Id="rId22" Type="http://schemas.openxmlformats.org/officeDocument/2006/relationships/footer" Target="footer2.xml"/><Relationship Id="rId27" Type="http://schemas.openxmlformats.org/officeDocument/2006/relationships/oleObject" Target="embeddings/Microsoft_Excel_97-2003_Worksheet7.xls"/><Relationship Id="rId30" Type="http://schemas.openxmlformats.org/officeDocument/2006/relationships/image" Target="media/image9.emf"/><Relationship Id="rId35" Type="http://schemas.openxmlformats.org/officeDocument/2006/relationships/oleObject" Target="embeddings/Microsoft_Excel_97-2003_Worksheet11.xls"/><Relationship Id="rId43" Type="http://schemas.openxmlformats.org/officeDocument/2006/relationships/oleObject" Target="embeddings/Microsoft_Excel_97-2003_Worksheet15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035525-7118-4D0B-985E-935FE375DF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21</Pages>
  <Words>3670</Words>
  <Characters>20919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24540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</cp:lastModifiedBy>
  <cp:revision>12</cp:revision>
  <cp:lastPrinted>2010-04-22T15:02:00Z</cp:lastPrinted>
  <dcterms:created xsi:type="dcterms:W3CDTF">2014-06-26T19:08:00Z</dcterms:created>
  <dcterms:modified xsi:type="dcterms:W3CDTF">2014-06-27T07:42:00Z</dcterms:modified>
</cp:coreProperties>
</file>