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238B7">
        <w:rPr>
          <w:rFonts w:ascii="Times New Roman" w:hAnsi="Times New Roman" w:cs="Times New Roman"/>
          <w:b/>
          <w:sz w:val="28"/>
          <w:szCs w:val="28"/>
          <w:u w:val="single"/>
        </w:rPr>
        <w:t xml:space="preserve">KEY Office s.r.o., </w:t>
      </w:r>
      <w:proofErr w:type="spellStart"/>
      <w:r w:rsidRPr="00D238B7"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 w:rsidRPr="00D238B7"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07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DIČ: 2022815498, IČO: 44733071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15.07.2014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 Účtovná závierka zostavená k 27.06.2014, bola valným zhromaždením schválená 11.7.2014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Peter Lisý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Doulos SI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331CAE"/>
    <w:rsid w:val="00362247"/>
    <w:rsid w:val="00D238B7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3</cp:revision>
  <dcterms:created xsi:type="dcterms:W3CDTF">2014-07-14T11:44:00Z</dcterms:created>
  <dcterms:modified xsi:type="dcterms:W3CDTF">2014-07-15T08:16:00Z</dcterms:modified>
</cp:coreProperties>
</file>