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tblLayout w:type="fixed"/>
        <w:tblCellMar>
          <w:left w:w="30" w:type="dxa"/>
          <w:right w:w="30" w:type="dxa"/>
        </w:tblCellMar>
        <w:tblLook w:val="0000"/>
      </w:tblPr>
      <w:tblGrid>
        <w:gridCol w:w="2047"/>
        <w:gridCol w:w="1032"/>
        <w:gridCol w:w="1032"/>
        <w:gridCol w:w="1032"/>
        <w:gridCol w:w="1032"/>
        <w:gridCol w:w="1032"/>
        <w:gridCol w:w="1032"/>
        <w:gridCol w:w="1032"/>
        <w:gridCol w:w="1032"/>
      </w:tblGrid>
      <w:tr w:rsidR="00D63065" w:rsidTr="00D63065">
        <w:tblPrEx>
          <w:tblCellMar>
            <w:top w:w="0" w:type="dxa"/>
            <w:bottom w:w="0" w:type="dxa"/>
          </w:tblCellMar>
        </w:tblPrEx>
        <w:trPr>
          <w:trHeight w:val="290"/>
        </w:trPr>
        <w:tc>
          <w:tcPr>
            <w:tcW w:w="2047" w:type="dxa"/>
            <w:gridSpan w:val="7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b/>
                <w:bCs/>
                <w:color w:val="000000"/>
              </w:rPr>
            </w:pPr>
            <w:r>
              <w:rPr>
                <w:rFonts w:ascii="Calibri" w:hAnsi="Calibri" w:cs="Calibri"/>
                <w:b/>
                <w:bCs/>
                <w:color w:val="000000"/>
              </w:rPr>
              <w:t>B. Informácie o členoch štatutárnych orgánov, dozorných orgánov a iných orgánov</w:t>
            </w: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</w:tr>
      <w:tr w:rsidR="00D63065">
        <w:tblPrEx>
          <w:tblCellMar>
            <w:top w:w="0" w:type="dxa"/>
            <w:bottom w:w="0" w:type="dxa"/>
          </w:tblCellMar>
        </w:tblPrEx>
        <w:trPr>
          <w:trHeight w:val="290"/>
        </w:trPr>
        <w:tc>
          <w:tcPr>
            <w:tcW w:w="2047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b/>
                <w:bCs/>
                <w:color w:val="000000"/>
              </w:rPr>
            </w:pPr>
            <w:r>
              <w:rPr>
                <w:rFonts w:ascii="Calibri" w:hAnsi="Calibri" w:cs="Calibri"/>
                <w:b/>
                <w:bCs/>
                <w:color w:val="000000"/>
              </w:rPr>
              <w:t>účtovnej jednotky</w:t>
            </w: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b/>
                <w:bCs/>
                <w:color w:val="000000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</w:tr>
      <w:tr w:rsidR="00D63065">
        <w:tblPrEx>
          <w:tblCellMar>
            <w:top w:w="0" w:type="dxa"/>
            <w:bottom w:w="0" w:type="dxa"/>
          </w:tblCellMar>
        </w:tblPrEx>
        <w:trPr>
          <w:trHeight w:val="290"/>
        </w:trPr>
        <w:tc>
          <w:tcPr>
            <w:tcW w:w="2047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</w:tr>
      <w:tr w:rsidR="00D63065" w:rsidTr="00D63065">
        <w:tblPrEx>
          <w:tblCellMar>
            <w:top w:w="0" w:type="dxa"/>
            <w:bottom w:w="0" w:type="dxa"/>
          </w:tblCellMar>
        </w:tblPrEx>
        <w:trPr>
          <w:trHeight w:val="290"/>
        </w:trPr>
        <w:tc>
          <w:tcPr>
            <w:tcW w:w="2047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 xml:space="preserve">Yeon Kok </w:t>
            </w:r>
            <w:proofErr w:type="spellStart"/>
            <w:r>
              <w:rPr>
                <w:rFonts w:ascii="Calibri" w:hAnsi="Calibri" w:cs="Calibri"/>
                <w:color w:val="000000"/>
              </w:rPr>
              <w:t>Kuag</w:t>
            </w:r>
            <w:proofErr w:type="spellEnd"/>
            <w:r>
              <w:rPr>
                <w:rFonts w:ascii="Calibri" w:hAnsi="Calibri" w:cs="Calibri"/>
                <w:color w:val="000000"/>
              </w:rPr>
              <w:t xml:space="preserve">  - konateľ</w:t>
            </w: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</w:tr>
      <w:tr w:rsidR="00D63065">
        <w:tblPrEx>
          <w:tblCellMar>
            <w:top w:w="0" w:type="dxa"/>
            <w:bottom w:w="0" w:type="dxa"/>
          </w:tblCellMar>
        </w:tblPrEx>
        <w:trPr>
          <w:trHeight w:val="290"/>
        </w:trPr>
        <w:tc>
          <w:tcPr>
            <w:tcW w:w="2047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</w:tr>
      <w:tr w:rsidR="00D63065" w:rsidTr="00D63065">
        <w:tblPrEx>
          <w:tblCellMar>
            <w:top w:w="0" w:type="dxa"/>
            <w:bottom w:w="0" w:type="dxa"/>
          </w:tblCellMar>
        </w:tblPrEx>
        <w:trPr>
          <w:trHeight w:val="290"/>
        </w:trPr>
        <w:tc>
          <w:tcPr>
            <w:tcW w:w="2047" w:type="dxa"/>
            <w:gridSpan w:val="6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2. informácie k časti B písm. b) príloh č. 3 o štruktúre spoločníkov</w:t>
            </w: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</w:tr>
      <w:tr w:rsidR="00D63065">
        <w:tblPrEx>
          <w:tblCellMar>
            <w:top w:w="0" w:type="dxa"/>
            <w:bottom w:w="0" w:type="dxa"/>
          </w:tblCellMar>
        </w:tblPrEx>
        <w:trPr>
          <w:trHeight w:val="290"/>
        </w:trPr>
        <w:tc>
          <w:tcPr>
            <w:tcW w:w="2047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</w:tr>
      <w:tr w:rsidR="00D63065" w:rsidTr="00D63065">
        <w:tblPrEx>
          <w:tblCellMar>
            <w:top w:w="0" w:type="dxa"/>
            <w:bottom w:w="0" w:type="dxa"/>
          </w:tblCellMar>
        </w:tblPrEx>
        <w:trPr>
          <w:trHeight w:val="290"/>
        </w:trPr>
        <w:tc>
          <w:tcPr>
            <w:tcW w:w="2047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Spoločník, akcionár</w:t>
            </w:r>
          </w:p>
        </w:tc>
        <w:tc>
          <w:tcPr>
            <w:tcW w:w="1032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</w:rPr>
            </w:pPr>
            <w:proofErr w:type="spellStart"/>
            <w:r>
              <w:rPr>
                <w:rFonts w:ascii="Calibri" w:hAnsi="Calibri" w:cs="Calibri"/>
                <w:color w:val="000000"/>
              </w:rPr>
              <w:t>Triplus</w:t>
            </w:r>
            <w:proofErr w:type="spellEnd"/>
            <w:r>
              <w:rPr>
                <w:rFonts w:ascii="Calibri" w:hAnsi="Calibri" w:cs="Calibri"/>
                <w:color w:val="000000"/>
              </w:rPr>
              <w:t xml:space="preserve"> </w:t>
            </w:r>
            <w:proofErr w:type="spellStart"/>
            <w:r>
              <w:rPr>
                <w:rFonts w:ascii="Calibri" w:hAnsi="Calibri" w:cs="Calibri"/>
                <w:color w:val="000000"/>
              </w:rPr>
              <w:t>Industry</w:t>
            </w:r>
            <w:proofErr w:type="spellEnd"/>
            <w:r>
              <w:rPr>
                <w:rFonts w:ascii="Calibri" w:hAnsi="Calibri" w:cs="Calibri"/>
                <w:color w:val="000000"/>
              </w:rPr>
              <w:t xml:space="preserve"> SDN BHD</w:t>
            </w: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</w:tr>
      <w:tr w:rsidR="00D63065">
        <w:tblPrEx>
          <w:tblCellMar>
            <w:top w:w="0" w:type="dxa"/>
            <w:bottom w:w="0" w:type="dxa"/>
          </w:tblCellMar>
        </w:tblPrEx>
        <w:trPr>
          <w:trHeight w:val="290"/>
        </w:trPr>
        <w:tc>
          <w:tcPr>
            <w:tcW w:w="2047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Výška podielu na ZI</w:t>
            </w: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418907,3</w:t>
            </w: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100%</w:t>
            </w: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  <w:p w:rsidR="00837747" w:rsidRDefault="0083774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  <w:p w:rsidR="00837747" w:rsidRDefault="0083774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</w:tr>
      <w:tr w:rsidR="00D63065">
        <w:tblPrEx>
          <w:tblCellMar>
            <w:top w:w="0" w:type="dxa"/>
            <w:bottom w:w="0" w:type="dxa"/>
          </w:tblCellMar>
        </w:tblPrEx>
        <w:trPr>
          <w:trHeight w:val="290"/>
        </w:trPr>
        <w:tc>
          <w:tcPr>
            <w:tcW w:w="2047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</w:tr>
      <w:tr w:rsidR="00D63065" w:rsidTr="00D63065">
        <w:tblPrEx>
          <w:tblCellMar>
            <w:top w:w="0" w:type="dxa"/>
            <w:bottom w:w="0" w:type="dxa"/>
          </w:tblCellMar>
        </w:tblPrEx>
        <w:trPr>
          <w:trHeight w:val="290"/>
        </w:trPr>
        <w:tc>
          <w:tcPr>
            <w:tcW w:w="2047" w:type="dxa"/>
            <w:gridSpan w:val="6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b/>
                <w:bCs/>
                <w:color w:val="000000"/>
              </w:rPr>
            </w:pPr>
            <w:r>
              <w:rPr>
                <w:rFonts w:ascii="Calibri" w:hAnsi="Calibri" w:cs="Calibri"/>
                <w:b/>
                <w:bCs/>
                <w:color w:val="000000"/>
              </w:rPr>
              <w:t>E. Informácie o použitých účtovných zásadách a účtovných metódach</w:t>
            </w: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</w:tr>
      <w:tr w:rsidR="00D63065">
        <w:tblPrEx>
          <w:tblCellMar>
            <w:top w:w="0" w:type="dxa"/>
            <w:bottom w:w="0" w:type="dxa"/>
          </w:tblCellMar>
        </w:tblPrEx>
        <w:trPr>
          <w:trHeight w:val="290"/>
        </w:trPr>
        <w:tc>
          <w:tcPr>
            <w:tcW w:w="2047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</w:tr>
      <w:tr w:rsidR="00D63065" w:rsidTr="00D63065">
        <w:tblPrEx>
          <w:tblCellMar>
            <w:top w:w="0" w:type="dxa"/>
            <w:bottom w:w="0" w:type="dxa"/>
          </w:tblCellMar>
        </w:tblPrEx>
        <w:trPr>
          <w:trHeight w:val="290"/>
        </w:trPr>
        <w:tc>
          <w:tcPr>
            <w:tcW w:w="2047" w:type="dxa"/>
            <w:gridSpan w:val="6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 w:rsidP="00D63065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Účtovná jednotka bude nepretržite pokračovať vo svojej činnosti.</w:t>
            </w: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</w:tr>
      <w:tr w:rsidR="00D63065" w:rsidTr="00D63065">
        <w:tblPrEx>
          <w:tblCellMar>
            <w:top w:w="0" w:type="dxa"/>
            <w:bottom w:w="0" w:type="dxa"/>
          </w:tblCellMar>
        </w:tblPrEx>
        <w:trPr>
          <w:trHeight w:val="290"/>
        </w:trPr>
        <w:tc>
          <w:tcPr>
            <w:tcW w:w="2047" w:type="dxa"/>
            <w:gridSpan w:val="8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 w:rsidP="00D63065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Finančné výkazy boli zostavené na základe slovenských účtovných predpisov. Pre účtovnú</w:t>
            </w: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</w:tr>
      <w:tr w:rsidR="00D63065" w:rsidTr="00D63065">
        <w:tblPrEx>
          <w:tblCellMar>
            <w:top w:w="0" w:type="dxa"/>
            <w:bottom w:w="0" w:type="dxa"/>
          </w:tblCellMar>
        </w:tblPrEx>
        <w:trPr>
          <w:trHeight w:val="290"/>
        </w:trPr>
        <w:tc>
          <w:tcPr>
            <w:tcW w:w="2047" w:type="dxa"/>
            <w:gridSpan w:val="8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 w:rsidP="00D63065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jednotku začal  počnúc dňom 1.júna 2005 účtovným obdobím hospodársky rok, od 1 júna</w:t>
            </w: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</w:tr>
      <w:tr w:rsidR="00D63065" w:rsidTr="00D63065">
        <w:tblPrEx>
          <w:tblCellMar>
            <w:top w:w="0" w:type="dxa"/>
            <w:bottom w:w="0" w:type="dxa"/>
          </w:tblCellMar>
        </w:tblPrEx>
        <w:trPr>
          <w:trHeight w:val="290"/>
        </w:trPr>
        <w:tc>
          <w:tcPr>
            <w:tcW w:w="2047" w:type="dxa"/>
            <w:gridSpan w:val="4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bežného roka do 31. mája nasledujúceho roka.</w:t>
            </w: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</w:tr>
      <w:tr w:rsidR="00D63065" w:rsidTr="00D63065">
        <w:tblPrEx>
          <w:tblCellMar>
            <w:top w:w="0" w:type="dxa"/>
            <w:bottom w:w="0" w:type="dxa"/>
          </w:tblCellMar>
        </w:tblPrEx>
        <w:trPr>
          <w:trHeight w:val="290"/>
        </w:trPr>
        <w:tc>
          <w:tcPr>
            <w:tcW w:w="2047" w:type="dxa"/>
            <w:gridSpan w:val="8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Účtovná závierka bola vykonaná s rešpektovaním zásady "nepretržitého trvania" účtovnej</w:t>
            </w: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</w:tr>
      <w:tr w:rsidR="00D63065" w:rsidTr="00D63065">
        <w:tblPrEx>
          <w:tblCellMar>
            <w:top w:w="0" w:type="dxa"/>
            <w:bottom w:w="0" w:type="dxa"/>
          </w:tblCellMar>
        </w:tblPrEx>
        <w:trPr>
          <w:trHeight w:val="290"/>
        </w:trPr>
        <w:tc>
          <w:tcPr>
            <w:tcW w:w="2047" w:type="dxa"/>
            <w:gridSpan w:val="8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 w:rsidP="00D63065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jednotky. Účtovné zápisy boli vykonané s rešpektovaním zásady časového rozlíšenia.</w:t>
            </w: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</w:tr>
      <w:tr w:rsidR="00D63065" w:rsidTr="00D63065">
        <w:tblPrEx>
          <w:tblCellMar>
            <w:top w:w="0" w:type="dxa"/>
            <w:bottom w:w="0" w:type="dxa"/>
          </w:tblCellMar>
        </w:tblPrEx>
        <w:trPr>
          <w:trHeight w:val="290"/>
        </w:trPr>
        <w:tc>
          <w:tcPr>
            <w:tcW w:w="2047" w:type="dxa"/>
            <w:gridSpan w:val="8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 w:rsidP="00D63065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Aktíva a pasíva boli oceňované historickými cenami. Hospodárske operácie v cudzej mene</w:t>
            </w: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</w:tr>
      <w:tr w:rsidR="00D63065" w:rsidTr="00D63065">
        <w:tblPrEx>
          <w:tblCellMar>
            <w:top w:w="0" w:type="dxa"/>
            <w:bottom w:w="0" w:type="dxa"/>
          </w:tblCellMar>
        </w:tblPrEx>
        <w:trPr>
          <w:trHeight w:val="290"/>
        </w:trPr>
        <w:tc>
          <w:tcPr>
            <w:tcW w:w="2047" w:type="dxa"/>
            <w:gridSpan w:val="8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 w:rsidP="00D63065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 xml:space="preserve">boli zaúčtované kurzom cudzej meny ku dňu uskutočnenia transakcie.  Aktíva a pasíva </w:t>
            </w: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</w:tr>
      <w:tr w:rsidR="00D63065" w:rsidTr="00D63065">
        <w:tblPrEx>
          <w:tblCellMar>
            <w:top w:w="0" w:type="dxa"/>
            <w:bottom w:w="0" w:type="dxa"/>
          </w:tblCellMar>
        </w:tblPrEx>
        <w:trPr>
          <w:trHeight w:val="290"/>
        </w:trPr>
        <w:tc>
          <w:tcPr>
            <w:tcW w:w="2047" w:type="dxa"/>
            <w:gridSpan w:val="9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 w:rsidP="00D63065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v cudzej mene ku dňu účtovnej závierky boli prepočítané kurzom cudzej meny ku dňu zostavenia</w:t>
            </w:r>
          </w:p>
        </w:tc>
      </w:tr>
      <w:tr w:rsidR="00D63065" w:rsidTr="00D63065">
        <w:tblPrEx>
          <w:tblCellMar>
            <w:top w:w="0" w:type="dxa"/>
            <w:bottom w:w="0" w:type="dxa"/>
          </w:tblCellMar>
        </w:tblPrEx>
        <w:trPr>
          <w:trHeight w:val="290"/>
        </w:trPr>
        <w:tc>
          <w:tcPr>
            <w:tcW w:w="2047" w:type="dxa"/>
            <w:gridSpan w:val="7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 w:rsidP="00D63065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účtovnej závierky. Rozdiely z prepočtu kurzu sú zúčtované vo výkaze ziskov a strát.</w:t>
            </w:r>
          </w:p>
          <w:p w:rsidR="00837747" w:rsidRDefault="00837747" w:rsidP="00D63065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</w:rPr>
            </w:pPr>
          </w:p>
          <w:p w:rsidR="00837747" w:rsidRDefault="00837747" w:rsidP="00D63065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</w:rPr>
            </w:pPr>
          </w:p>
          <w:p w:rsidR="00D63065" w:rsidRDefault="00D63065" w:rsidP="00D63065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</w:rPr>
            </w:pPr>
          </w:p>
          <w:p w:rsidR="00D63065" w:rsidRDefault="00D63065" w:rsidP="00D63065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Metódy oceňovania aktív a pasív:</w:t>
            </w:r>
          </w:p>
          <w:p w:rsidR="00D63065" w:rsidRDefault="00D63065" w:rsidP="00D63065">
            <w:pPr>
              <w:pStyle w:val="Odsekzoznamu"/>
              <w:numPr>
                <w:ilvl w:val="0"/>
                <w:numId w:val="1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Dlhodobý majetok:</w:t>
            </w:r>
          </w:p>
          <w:p w:rsidR="00D63065" w:rsidRDefault="00D63065" w:rsidP="00D63065">
            <w:pPr>
              <w:pStyle w:val="Odsekzoznamu"/>
              <w:numPr>
                <w:ilvl w:val="0"/>
                <w:numId w:val="2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Nakúpený                          obstarávacia cena a súvisiace náklady (preprava, clo a iné)</w:t>
            </w:r>
          </w:p>
          <w:p w:rsidR="00D63065" w:rsidRDefault="00D63065" w:rsidP="00D63065">
            <w:pPr>
              <w:pStyle w:val="Odsekzoznamu"/>
              <w:numPr>
                <w:ilvl w:val="0"/>
                <w:numId w:val="2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Vyrobený vlastnou činnosťou     vlastné náklady</w:t>
            </w:r>
          </w:p>
          <w:p w:rsidR="00D63065" w:rsidRDefault="00D63065" w:rsidP="00D63065">
            <w:pPr>
              <w:pStyle w:val="Odsekzoznamu"/>
              <w:numPr>
                <w:ilvl w:val="0"/>
                <w:numId w:val="1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Zásoby.</w:t>
            </w:r>
          </w:p>
          <w:p w:rsidR="00D63065" w:rsidRDefault="00D63065" w:rsidP="00D63065">
            <w:pPr>
              <w:pStyle w:val="Odsekzoznamu"/>
              <w:numPr>
                <w:ilvl w:val="0"/>
                <w:numId w:val="2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Nakúpené                          obstarávacia cena a súvisiace náklady (preprava, clo a iné)</w:t>
            </w:r>
          </w:p>
          <w:p w:rsidR="00D63065" w:rsidRDefault="00D63065" w:rsidP="00D63065">
            <w:pPr>
              <w:autoSpaceDE w:val="0"/>
              <w:autoSpaceDN w:val="0"/>
              <w:adjustRightInd w:val="0"/>
              <w:spacing w:after="0" w:line="240" w:lineRule="auto"/>
              <w:ind w:left="360"/>
              <w:jc w:val="both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Cenové odchýlky medzi skladovou cenou a cenou obstarania sú účtované do nákladov v pomere k spotrebe materiálu.</w:t>
            </w:r>
          </w:p>
          <w:p w:rsidR="00D63065" w:rsidRDefault="00D63065" w:rsidP="00D63065">
            <w:pPr>
              <w:autoSpaceDE w:val="0"/>
              <w:autoSpaceDN w:val="0"/>
              <w:adjustRightInd w:val="0"/>
              <w:spacing w:after="0" w:line="240" w:lineRule="auto"/>
              <w:ind w:left="360"/>
              <w:jc w:val="both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Postup pre zúčtovanie spotreby materiálu, nedokončenej výroby, polotovarov a hotových výrobkov:</w:t>
            </w:r>
          </w:p>
          <w:p w:rsidR="00D63065" w:rsidRDefault="00D63065" w:rsidP="00D63065">
            <w:pPr>
              <w:autoSpaceDE w:val="0"/>
              <w:autoSpaceDN w:val="0"/>
              <w:adjustRightInd w:val="0"/>
              <w:spacing w:after="0" w:line="240" w:lineRule="auto"/>
              <w:ind w:left="360"/>
              <w:jc w:val="both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Spotreba materiálu                  metóda FIFO</w:t>
            </w:r>
          </w:p>
          <w:p w:rsidR="00D63065" w:rsidRDefault="00D63065" w:rsidP="00D63065">
            <w:pPr>
              <w:autoSpaceDE w:val="0"/>
              <w:autoSpaceDN w:val="0"/>
              <w:adjustRightInd w:val="0"/>
              <w:spacing w:after="0" w:line="240" w:lineRule="auto"/>
              <w:ind w:left="360"/>
              <w:jc w:val="both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Nedokončená výroba              vlastné náklady</w:t>
            </w:r>
          </w:p>
          <w:p w:rsidR="00D63065" w:rsidRDefault="00D63065" w:rsidP="00D63065">
            <w:pPr>
              <w:autoSpaceDE w:val="0"/>
              <w:autoSpaceDN w:val="0"/>
              <w:adjustRightInd w:val="0"/>
              <w:spacing w:after="0" w:line="240" w:lineRule="auto"/>
              <w:ind w:left="360"/>
              <w:jc w:val="both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Hotové výrobky                        vlastné náklady</w:t>
            </w:r>
          </w:p>
          <w:p w:rsidR="00D63065" w:rsidRDefault="00D63065" w:rsidP="00D63065">
            <w:pPr>
              <w:pStyle w:val="Odsekzoznamu"/>
              <w:numPr>
                <w:ilvl w:val="0"/>
                <w:numId w:val="1"/>
              </w:num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Pohľadávky                         nominálna hodnota</w:t>
            </w:r>
          </w:p>
          <w:p w:rsidR="00D63065" w:rsidRDefault="00D63065" w:rsidP="00837747">
            <w:pPr>
              <w:pStyle w:val="Odsekzoznamu"/>
              <w:numPr>
                <w:ilvl w:val="0"/>
                <w:numId w:val="1"/>
              </w:num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Peňažné prostriedky        nominálna hodnota</w:t>
            </w:r>
          </w:p>
          <w:p w:rsidR="00837747" w:rsidRDefault="00837747" w:rsidP="00837747">
            <w:pPr>
              <w:pStyle w:val="Odsekzoznamu"/>
              <w:numPr>
                <w:ilvl w:val="0"/>
                <w:numId w:val="1"/>
              </w:num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Rezervy                               nominálna hodnota</w:t>
            </w:r>
          </w:p>
          <w:p w:rsidR="00837747" w:rsidRDefault="00837747" w:rsidP="00837747">
            <w:pPr>
              <w:pStyle w:val="Odsekzoznamu"/>
              <w:numPr>
                <w:ilvl w:val="0"/>
                <w:numId w:val="1"/>
              </w:num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Záväzky                                nominálna hodnota</w:t>
            </w:r>
          </w:p>
          <w:p w:rsidR="00837747" w:rsidRDefault="00837747" w:rsidP="00837747">
            <w:pPr>
              <w:pStyle w:val="Odsekzoznamu"/>
              <w:numPr>
                <w:ilvl w:val="0"/>
                <w:numId w:val="1"/>
              </w:num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Časové rozlíšenie na strane aktív a pasív                 nominálna hodnota</w:t>
            </w:r>
          </w:p>
          <w:p w:rsidR="00837747" w:rsidRDefault="00837747" w:rsidP="00837747">
            <w:pPr>
              <w:autoSpaceDE w:val="0"/>
              <w:autoSpaceDN w:val="0"/>
              <w:adjustRightInd w:val="0"/>
              <w:spacing w:after="0" w:line="240" w:lineRule="auto"/>
              <w:ind w:left="360"/>
              <w:jc w:val="both"/>
              <w:rPr>
                <w:rFonts w:ascii="Calibri" w:hAnsi="Calibri" w:cs="Calibri"/>
                <w:color w:val="000000"/>
              </w:rPr>
            </w:pPr>
          </w:p>
          <w:p w:rsidR="00837747" w:rsidRDefault="00837747" w:rsidP="00837747">
            <w:pPr>
              <w:autoSpaceDE w:val="0"/>
              <w:autoSpaceDN w:val="0"/>
              <w:adjustRightInd w:val="0"/>
              <w:spacing w:after="0" w:line="240" w:lineRule="auto"/>
              <w:ind w:left="360"/>
              <w:jc w:val="both"/>
              <w:rPr>
                <w:rFonts w:ascii="Calibri" w:hAnsi="Calibri" w:cs="Calibri"/>
                <w:color w:val="000000"/>
              </w:rPr>
            </w:pPr>
          </w:p>
          <w:p w:rsidR="00837747" w:rsidRDefault="00837747" w:rsidP="00837747">
            <w:pPr>
              <w:autoSpaceDE w:val="0"/>
              <w:autoSpaceDN w:val="0"/>
              <w:adjustRightInd w:val="0"/>
              <w:spacing w:after="0" w:line="240" w:lineRule="auto"/>
              <w:ind w:left="360"/>
              <w:jc w:val="both"/>
              <w:rPr>
                <w:rFonts w:ascii="Calibri" w:hAnsi="Calibri" w:cs="Calibri"/>
                <w:color w:val="000000"/>
              </w:rPr>
            </w:pPr>
          </w:p>
          <w:p w:rsidR="00837747" w:rsidRDefault="00837747" w:rsidP="00837747">
            <w:pPr>
              <w:autoSpaceDE w:val="0"/>
              <w:autoSpaceDN w:val="0"/>
              <w:adjustRightInd w:val="0"/>
              <w:spacing w:after="0" w:line="240" w:lineRule="auto"/>
              <w:ind w:left="360"/>
              <w:jc w:val="both"/>
              <w:rPr>
                <w:rFonts w:ascii="Calibri" w:hAnsi="Calibri" w:cs="Calibri"/>
                <w:color w:val="000000"/>
              </w:rPr>
            </w:pPr>
          </w:p>
          <w:p w:rsidR="00837747" w:rsidRDefault="00837747" w:rsidP="00837747">
            <w:pPr>
              <w:autoSpaceDE w:val="0"/>
              <w:autoSpaceDN w:val="0"/>
              <w:adjustRightInd w:val="0"/>
              <w:spacing w:after="0" w:line="240" w:lineRule="auto"/>
              <w:ind w:left="360"/>
              <w:jc w:val="both"/>
              <w:rPr>
                <w:rFonts w:ascii="Calibri" w:hAnsi="Calibri" w:cs="Calibri"/>
                <w:color w:val="000000"/>
              </w:rPr>
            </w:pPr>
          </w:p>
          <w:p w:rsidR="00837747" w:rsidRDefault="00837747" w:rsidP="00837747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lastRenderedPageBreak/>
              <w:t>Metódy odpisovania:</w:t>
            </w:r>
          </w:p>
          <w:p w:rsidR="00837747" w:rsidRDefault="00837747" w:rsidP="00837747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" w:hAnsi="Calibri" w:cs="Calibri"/>
                <w:color w:val="000000"/>
              </w:rPr>
            </w:pPr>
          </w:p>
          <w:p w:rsidR="00837747" w:rsidRDefault="00837747" w:rsidP="00837747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Majetok:                                   Doba odpisovania v rokoch                  Metóda odpisovania</w:t>
            </w:r>
          </w:p>
          <w:p w:rsidR="00837747" w:rsidRDefault="00837747" w:rsidP="00837747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 xml:space="preserve">                                                   Účtovné/daňové  odpisy </w:t>
            </w:r>
          </w:p>
          <w:p w:rsidR="00837747" w:rsidRDefault="00837747" w:rsidP="00837747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" w:hAnsi="Calibri" w:cs="Calibri"/>
                <w:color w:val="000000"/>
              </w:rPr>
            </w:pPr>
          </w:p>
          <w:p w:rsidR="00837747" w:rsidRDefault="00837747" w:rsidP="00837747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" w:hAnsi="Calibri" w:cs="Calibri"/>
                <w:color w:val="000000"/>
              </w:rPr>
            </w:pPr>
          </w:p>
          <w:p w:rsidR="00837747" w:rsidRDefault="00837747" w:rsidP="00837747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Software                                           5                                                    Lineárna</w:t>
            </w:r>
          </w:p>
          <w:p w:rsidR="00837747" w:rsidRDefault="00837747" w:rsidP="00837747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 xml:space="preserve">  </w:t>
            </w:r>
          </w:p>
          <w:p w:rsidR="00837747" w:rsidRDefault="00837747" w:rsidP="00837747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 xml:space="preserve">Budovy                                           20                                                     Lineárna, </w:t>
            </w:r>
            <w:proofErr w:type="spellStart"/>
            <w:r>
              <w:rPr>
                <w:rFonts w:ascii="Calibri" w:hAnsi="Calibri" w:cs="Calibri"/>
                <w:color w:val="000000"/>
              </w:rPr>
              <w:t>pdľa</w:t>
            </w:r>
            <w:proofErr w:type="spellEnd"/>
            <w:r>
              <w:rPr>
                <w:rFonts w:ascii="Calibri" w:hAnsi="Calibri" w:cs="Calibri"/>
                <w:color w:val="000000"/>
              </w:rPr>
              <w:t xml:space="preserve"> </w:t>
            </w:r>
            <w:proofErr w:type="spellStart"/>
            <w:r>
              <w:rPr>
                <w:rFonts w:ascii="Calibri" w:hAnsi="Calibri" w:cs="Calibri"/>
                <w:color w:val="000000"/>
              </w:rPr>
              <w:t>daň.odpisov</w:t>
            </w:r>
            <w:proofErr w:type="spellEnd"/>
          </w:p>
          <w:p w:rsidR="00837747" w:rsidRDefault="00837747" w:rsidP="00837747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" w:hAnsi="Calibri" w:cs="Calibri"/>
                <w:color w:val="000000"/>
              </w:rPr>
            </w:pPr>
          </w:p>
          <w:p w:rsidR="00837747" w:rsidRDefault="00837747" w:rsidP="00837747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 xml:space="preserve">Stroje a zariadenia                       6 ,  4                                                 Lineárna, </w:t>
            </w:r>
            <w:proofErr w:type="spellStart"/>
            <w:r>
              <w:rPr>
                <w:rFonts w:ascii="Calibri" w:hAnsi="Calibri" w:cs="Calibri"/>
                <w:color w:val="000000"/>
              </w:rPr>
              <w:t>pdľa</w:t>
            </w:r>
            <w:proofErr w:type="spellEnd"/>
            <w:r>
              <w:rPr>
                <w:rFonts w:ascii="Calibri" w:hAnsi="Calibri" w:cs="Calibri"/>
                <w:color w:val="000000"/>
              </w:rPr>
              <w:t xml:space="preserve"> </w:t>
            </w:r>
            <w:proofErr w:type="spellStart"/>
            <w:r>
              <w:rPr>
                <w:rFonts w:ascii="Calibri" w:hAnsi="Calibri" w:cs="Calibri"/>
                <w:color w:val="000000"/>
              </w:rPr>
              <w:t>daň.odpisov</w:t>
            </w:r>
            <w:proofErr w:type="spellEnd"/>
          </w:p>
          <w:p w:rsidR="00837747" w:rsidRDefault="00837747" w:rsidP="00837747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" w:hAnsi="Calibri" w:cs="Calibri"/>
                <w:color w:val="000000"/>
              </w:rPr>
            </w:pPr>
          </w:p>
          <w:p w:rsidR="00837747" w:rsidRDefault="00837747" w:rsidP="00837747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Technická linka                             8                                                       Lineárna</w:t>
            </w:r>
          </w:p>
          <w:p w:rsidR="00837747" w:rsidRDefault="00837747" w:rsidP="00837747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" w:hAnsi="Calibri" w:cs="Calibri"/>
                <w:color w:val="000000"/>
              </w:rPr>
            </w:pPr>
          </w:p>
          <w:p w:rsidR="00837747" w:rsidRDefault="00837747" w:rsidP="00837747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 xml:space="preserve">Dopravné prostriedky                 4 ,  6                                                 Lineárna, </w:t>
            </w:r>
            <w:proofErr w:type="spellStart"/>
            <w:r>
              <w:rPr>
                <w:rFonts w:ascii="Calibri" w:hAnsi="Calibri" w:cs="Calibri"/>
                <w:color w:val="000000"/>
              </w:rPr>
              <w:t>pdľa</w:t>
            </w:r>
            <w:proofErr w:type="spellEnd"/>
            <w:r>
              <w:rPr>
                <w:rFonts w:ascii="Calibri" w:hAnsi="Calibri" w:cs="Calibri"/>
                <w:color w:val="000000"/>
              </w:rPr>
              <w:t xml:space="preserve"> </w:t>
            </w:r>
            <w:proofErr w:type="spellStart"/>
            <w:r>
              <w:rPr>
                <w:rFonts w:ascii="Calibri" w:hAnsi="Calibri" w:cs="Calibri"/>
                <w:color w:val="000000"/>
              </w:rPr>
              <w:t>daň.odpisov</w:t>
            </w:r>
            <w:proofErr w:type="spellEnd"/>
          </w:p>
          <w:p w:rsidR="00837747" w:rsidRDefault="00837747" w:rsidP="00837747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" w:hAnsi="Calibri" w:cs="Calibri"/>
                <w:color w:val="000000"/>
              </w:rPr>
            </w:pPr>
          </w:p>
          <w:p w:rsidR="00837747" w:rsidRDefault="00837747" w:rsidP="00837747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 xml:space="preserve">Inventár                                          12                                                    Lineárna, </w:t>
            </w:r>
            <w:proofErr w:type="spellStart"/>
            <w:r>
              <w:rPr>
                <w:rFonts w:ascii="Calibri" w:hAnsi="Calibri" w:cs="Calibri"/>
                <w:color w:val="000000"/>
              </w:rPr>
              <w:t>pdľa</w:t>
            </w:r>
            <w:proofErr w:type="spellEnd"/>
            <w:r>
              <w:rPr>
                <w:rFonts w:ascii="Calibri" w:hAnsi="Calibri" w:cs="Calibri"/>
                <w:color w:val="000000"/>
              </w:rPr>
              <w:t xml:space="preserve"> </w:t>
            </w:r>
            <w:proofErr w:type="spellStart"/>
            <w:r>
              <w:rPr>
                <w:rFonts w:ascii="Calibri" w:hAnsi="Calibri" w:cs="Calibri"/>
                <w:color w:val="000000"/>
              </w:rPr>
              <w:t>daň.odpisov</w:t>
            </w:r>
            <w:proofErr w:type="spellEnd"/>
          </w:p>
          <w:p w:rsidR="00837747" w:rsidRDefault="00837747" w:rsidP="00837747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" w:hAnsi="Calibri" w:cs="Calibri"/>
                <w:color w:val="000000"/>
              </w:rPr>
            </w:pPr>
          </w:p>
          <w:p w:rsidR="00837747" w:rsidRDefault="00837747" w:rsidP="00837747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" w:hAnsi="Calibri" w:cs="Calibri"/>
                <w:color w:val="000000"/>
              </w:rPr>
            </w:pPr>
            <w:proofErr w:type="spellStart"/>
            <w:r>
              <w:rPr>
                <w:rFonts w:ascii="Calibri" w:hAnsi="Calibri" w:cs="Calibri"/>
                <w:color w:val="000000"/>
              </w:rPr>
              <w:t>Dlhod.hmotný</w:t>
            </w:r>
            <w:proofErr w:type="spellEnd"/>
            <w:r>
              <w:rPr>
                <w:rFonts w:ascii="Calibri" w:hAnsi="Calibri" w:cs="Calibri"/>
                <w:color w:val="000000"/>
              </w:rPr>
              <w:t xml:space="preserve"> majetok do 1700 EUR</w:t>
            </w:r>
          </w:p>
          <w:p w:rsidR="00837747" w:rsidRDefault="00837747" w:rsidP="00837747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Doba použitia viac ako 1 rok určený</w:t>
            </w:r>
          </w:p>
          <w:p w:rsidR="00837747" w:rsidRDefault="00837747" w:rsidP="00837747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Na zariadenie bytov                     10                                                    Lineárna</w:t>
            </w:r>
          </w:p>
          <w:p w:rsidR="00837747" w:rsidRDefault="00837747" w:rsidP="00837747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" w:hAnsi="Calibri" w:cs="Calibri"/>
                <w:color w:val="000000"/>
              </w:rPr>
            </w:pPr>
          </w:p>
          <w:p w:rsidR="00837747" w:rsidRDefault="00837747" w:rsidP="00837747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" w:hAnsi="Calibri" w:cs="Calibri"/>
                <w:color w:val="000000"/>
              </w:rPr>
            </w:pPr>
          </w:p>
          <w:p w:rsidR="00837747" w:rsidRPr="00837747" w:rsidRDefault="00837747" w:rsidP="0045212E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Doba odpisovania pre daňové odpisovani</w:t>
            </w:r>
            <w:r w:rsidR="0045212E">
              <w:rPr>
                <w:rFonts w:ascii="Calibri" w:hAnsi="Calibri" w:cs="Calibri"/>
                <w:color w:val="000000"/>
              </w:rPr>
              <w:t>a</w:t>
            </w:r>
            <w:r>
              <w:rPr>
                <w:rFonts w:ascii="Calibri" w:hAnsi="Calibri" w:cs="Calibri"/>
                <w:color w:val="000000"/>
              </w:rPr>
              <w:t xml:space="preserve"> závisí od zariadenia m</w:t>
            </w:r>
            <w:r w:rsidR="0045212E">
              <w:rPr>
                <w:rFonts w:ascii="Calibri" w:hAnsi="Calibri" w:cs="Calibri"/>
                <w:color w:val="000000"/>
              </w:rPr>
              <w:t>a</w:t>
            </w:r>
            <w:r>
              <w:rPr>
                <w:rFonts w:ascii="Calibri" w:hAnsi="Calibri" w:cs="Calibri"/>
                <w:color w:val="000000"/>
              </w:rPr>
              <w:t>jetku</w:t>
            </w:r>
            <w:r w:rsidR="0045212E">
              <w:rPr>
                <w:rFonts w:ascii="Calibri" w:hAnsi="Calibri" w:cs="Calibri"/>
                <w:color w:val="000000"/>
              </w:rPr>
              <w:t xml:space="preserve"> do odpisových skupín podľa zákon o daniach z príjmov. Hmotné majetok do 1700 EUR a nehmotný majetok do 2400 EUR môže byť pre daňové účely odpisovaný v roku nadobudnutia v plnej výške.</w:t>
            </w:r>
            <w:r>
              <w:rPr>
                <w:rFonts w:ascii="Calibri" w:hAnsi="Calibri" w:cs="Calibri"/>
                <w:color w:val="000000"/>
              </w:rPr>
              <w:t xml:space="preserve">                  </w:t>
            </w: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</w:tr>
    </w:tbl>
    <w:p w:rsidR="00D63065" w:rsidRDefault="00837747">
      <w:r>
        <w:lastRenderedPageBreak/>
        <w:t xml:space="preserve"> </w:t>
      </w:r>
    </w:p>
    <w:sectPr w:rsidR="00D6306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946DDA"/>
    <w:multiLevelType w:val="hybridMultilevel"/>
    <w:tmpl w:val="5122FB78"/>
    <w:lvl w:ilvl="0" w:tplc="CCFEB4A2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63B30D88"/>
    <w:multiLevelType w:val="hybridMultilevel"/>
    <w:tmpl w:val="BC78F0BC"/>
    <w:lvl w:ilvl="0" w:tplc="7E609CFA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D63065"/>
    <w:rsid w:val="0045212E"/>
    <w:rsid w:val="00837747"/>
    <w:rsid w:val="00D6306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63065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2</Pages>
  <Words>535</Words>
  <Characters>3054</Characters>
  <Application>Microsoft Office Word</Application>
  <DocSecurity>0</DocSecurity>
  <Lines>25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3582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economy</dc:creator>
  <cp:lastModifiedBy>economy</cp:lastModifiedBy>
  <cp:revision>1</cp:revision>
  <dcterms:created xsi:type="dcterms:W3CDTF">2014-07-18T08:58:00Z</dcterms:created>
  <dcterms:modified xsi:type="dcterms:W3CDTF">2014-07-18T09:21:00Z</dcterms:modified>
</cp:coreProperties>
</file>