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jc w:val="center"/>
        <w:rPr>
          <w:rFonts w:cs="Arial"/>
          <w:b/>
          <w:snapToGrid w:val="0"/>
          <w:sz w:val="36"/>
          <w:lang w:eastAsia="sk-SK"/>
        </w:rPr>
      </w:pPr>
      <w:r w:rsidRPr="00F50484">
        <w:rPr>
          <w:rFonts w:cs="Arial"/>
          <w:b/>
          <w:snapToGrid w:val="0"/>
          <w:sz w:val="36"/>
          <w:lang w:eastAsia="sk-SK"/>
        </w:rPr>
        <w:t>POZNÁMKY K ÚČTOVNÝM VÝKAZOM</w:t>
      </w:r>
    </w:p>
    <w:p w:rsidR="00285CBF" w:rsidRPr="00F50484" w:rsidRDefault="00285CBF" w:rsidP="00285CBF">
      <w:pPr>
        <w:jc w:val="center"/>
        <w:rPr>
          <w:rFonts w:cs="Arial"/>
          <w:b/>
          <w:snapToGrid w:val="0"/>
          <w:sz w:val="36"/>
          <w:lang w:eastAsia="sk-SK"/>
        </w:rPr>
      </w:pPr>
      <w:r w:rsidRPr="00F50484">
        <w:rPr>
          <w:rFonts w:cs="Arial"/>
          <w:b/>
          <w:snapToGrid w:val="0"/>
          <w:sz w:val="36"/>
          <w:lang w:eastAsia="sk-SK"/>
        </w:rPr>
        <w:t xml:space="preserve">ZA ROK </w:t>
      </w:r>
      <w:r>
        <w:rPr>
          <w:rFonts w:cs="Arial"/>
          <w:b/>
          <w:snapToGrid w:val="0"/>
          <w:sz w:val="36"/>
          <w:lang w:eastAsia="sk-SK"/>
        </w:rPr>
        <w:t>2013</w:t>
      </w:r>
    </w:p>
    <w:p w:rsidR="00285CBF" w:rsidRPr="00F50484" w:rsidRDefault="00285CBF" w:rsidP="00285CBF">
      <w:pPr>
        <w:jc w:val="center"/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jc w:val="center"/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tabs>
          <w:tab w:val="left" w:pos="3828"/>
        </w:tabs>
        <w:rPr>
          <w:rFonts w:cs="Arial"/>
          <w:b/>
          <w:snapToGrid w:val="0"/>
          <w:sz w:val="22"/>
          <w:szCs w:val="22"/>
          <w:lang w:eastAsia="sk-SK"/>
        </w:rPr>
      </w:pPr>
      <w:r w:rsidRPr="00F50484">
        <w:rPr>
          <w:rFonts w:cs="Arial"/>
          <w:b/>
          <w:snapToGrid w:val="0"/>
          <w:sz w:val="22"/>
          <w:szCs w:val="22"/>
          <w:lang w:eastAsia="sk-SK"/>
        </w:rPr>
        <w:t>Obchodné meno spoločnosti:</w:t>
      </w:r>
      <w:r w:rsidRPr="00F50484">
        <w:rPr>
          <w:rFonts w:cs="Arial"/>
          <w:b/>
          <w:bCs/>
          <w:snapToGrid w:val="0"/>
          <w:sz w:val="22"/>
          <w:szCs w:val="22"/>
          <w:lang w:eastAsia="sk-SK"/>
        </w:rPr>
        <w:tab/>
      </w:r>
      <w:proofErr w:type="spellStart"/>
      <w:r>
        <w:rPr>
          <w:rFonts w:cs="Arial"/>
          <w:b/>
          <w:bCs/>
          <w:snapToGrid w:val="0"/>
          <w:sz w:val="22"/>
          <w:szCs w:val="22"/>
          <w:lang w:eastAsia="sk-SK"/>
        </w:rPr>
        <w:t>DataShark</w:t>
      </w:r>
      <w:proofErr w:type="spellEnd"/>
      <w:r>
        <w:rPr>
          <w:rFonts w:cs="Arial"/>
          <w:b/>
          <w:bCs/>
          <w:snapToGrid w:val="0"/>
          <w:sz w:val="22"/>
          <w:szCs w:val="22"/>
          <w:lang w:eastAsia="sk-SK"/>
        </w:rPr>
        <w:t xml:space="preserve"> </w:t>
      </w:r>
      <w:r w:rsidRPr="00F50484">
        <w:rPr>
          <w:rFonts w:cs="Arial"/>
          <w:b/>
          <w:bCs/>
          <w:snapToGrid w:val="0"/>
          <w:sz w:val="22"/>
          <w:szCs w:val="22"/>
          <w:lang w:eastAsia="sk-SK"/>
        </w:rPr>
        <w:t>s</w:t>
      </w:r>
      <w:r>
        <w:rPr>
          <w:rFonts w:cs="Arial"/>
          <w:b/>
          <w:bCs/>
          <w:snapToGrid w:val="0"/>
          <w:sz w:val="22"/>
          <w:szCs w:val="22"/>
          <w:lang w:eastAsia="sk-SK"/>
        </w:rPr>
        <w:t xml:space="preserve">. </w:t>
      </w:r>
      <w:r w:rsidRPr="00F50484">
        <w:rPr>
          <w:rFonts w:cs="Arial"/>
          <w:b/>
          <w:bCs/>
          <w:snapToGrid w:val="0"/>
          <w:sz w:val="22"/>
          <w:szCs w:val="22"/>
          <w:lang w:eastAsia="sk-SK"/>
        </w:rPr>
        <w:t>r.</w:t>
      </w:r>
      <w:r>
        <w:rPr>
          <w:rFonts w:cs="Arial"/>
          <w:b/>
          <w:bCs/>
          <w:snapToGrid w:val="0"/>
          <w:sz w:val="22"/>
          <w:szCs w:val="22"/>
          <w:lang w:eastAsia="sk-SK"/>
        </w:rPr>
        <w:t xml:space="preserve"> </w:t>
      </w:r>
      <w:r w:rsidRPr="00F50484">
        <w:rPr>
          <w:rFonts w:cs="Arial"/>
          <w:b/>
          <w:bCs/>
          <w:snapToGrid w:val="0"/>
          <w:sz w:val="22"/>
          <w:szCs w:val="22"/>
          <w:lang w:eastAsia="sk-SK"/>
        </w:rPr>
        <w:t xml:space="preserve">o.             </w:t>
      </w:r>
    </w:p>
    <w:p w:rsidR="00285CBF" w:rsidRPr="00F50484" w:rsidRDefault="00285CBF" w:rsidP="00285CBF">
      <w:pPr>
        <w:tabs>
          <w:tab w:val="left" w:pos="3828"/>
          <w:tab w:val="left" w:pos="3969"/>
        </w:tabs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>Sídlo: Moldavská cesta II.2413/49,040 11 Košice</w:t>
      </w:r>
      <w:r w:rsidRPr="00F50484">
        <w:rPr>
          <w:rFonts w:cs="Arial"/>
          <w:b/>
          <w:snapToGrid w:val="0"/>
          <w:sz w:val="22"/>
          <w:szCs w:val="22"/>
          <w:lang w:eastAsia="sk-SK"/>
        </w:rPr>
        <w:t xml:space="preserve"> </w:t>
      </w:r>
    </w:p>
    <w:p w:rsidR="00285CBF" w:rsidRPr="00F50484" w:rsidRDefault="00285CBF" w:rsidP="00285CBF">
      <w:pPr>
        <w:tabs>
          <w:tab w:val="left" w:pos="3828"/>
          <w:tab w:val="left" w:pos="3969"/>
        </w:tabs>
        <w:rPr>
          <w:rFonts w:cs="Arial"/>
          <w:b/>
          <w:snapToGrid w:val="0"/>
          <w:sz w:val="22"/>
          <w:szCs w:val="22"/>
          <w:lang w:eastAsia="sk-SK"/>
        </w:rPr>
      </w:pPr>
      <w:r>
        <w:rPr>
          <w:rFonts w:cs="Arial"/>
          <w:b/>
          <w:snapToGrid w:val="0"/>
          <w:sz w:val="22"/>
          <w:szCs w:val="22"/>
          <w:lang w:eastAsia="sk-SK"/>
        </w:rPr>
        <w:t>IČO:</w:t>
      </w:r>
      <w:r>
        <w:rPr>
          <w:rFonts w:cs="Arial"/>
          <w:b/>
          <w:snapToGrid w:val="0"/>
          <w:sz w:val="22"/>
          <w:szCs w:val="22"/>
          <w:lang w:eastAsia="sk-SK"/>
        </w:rPr>
        <w:tab/>
        <w:t>46 825 665</w:t>
      </w:r>
    </w:p>
    <w:p w:rsidR="00285CBF" w:rsidRPr="00434276" w:rsidRDefault="00285CBF" w:rsidP="00285CBF">
      <w:pPr>
        <w:tabs>
          <w:tab w:val="left" w:pos="3828"/>
          <w:tab w:val="left" w:pos="3969"/>
        </w:tabs>
        <w:rPr>
          <w:rFonts w:cs="Arial"/>
          <w:b/>
          <w:snapToGrid w:val="0"/>
          <w:sz w:val="22"/>
          <w:szCs w:val="22"/>
          <w:lang w:eastAsia="sk-SK"/>
        </w:rPr>
      </w:pPr>
      <w:r w:rsidRPr="00F50484">
        <w:rPr>
          <w:rFonts w:cs="Arial"/>
          <w:b/>
          <w:snapToGrid w:val="0"/>
          <w:sz w:val="22"/>
          <w:szCs w:val="22"/>
          <w:lang w:eastAsia="sk-SK"/>
        </w:rPr>
        <w:t>DIČ:</w:t>
      </w:r>
      <w:r w:rsidRPr="00F50484">
        <w:rPr>
          <w:rFonts w:cs="Arial"/>
          <w:b/>
          <w:snapToGrid w:val="0"/>
          <w:sz w:val="22"/>
          <w:szCs w:val="22"/>
          <w:lang w:eastAsia="sk-SK"/>
        </w:rPr>
        <w:tab/>
      </w:r>
      <w:r>
        <w:rPr>
          <w:rFonts w:cs="Arial"/>
          <w:b/>
          <w:snapToGrid w:val="0"/>
          <w:sz w:val="22"/>
          <w:szCs w:val="22"/>
          <w:lang w:eastAsia="sk-SK"/>
        </w:rPr>
        <w:t>2023599699</w:t>
      </w: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  <w:sectPr w:rsidR="00285CBF" w:rsidRPr="00F50484" w:rsidSect="003C4DEA">
          <w:footerReference w:type="even" r:id="rId5"/>
          <w:footerReference w:type="default" r:id="rId6"/>
          <w:footerReference w:type="first" r:id="rId7"/>
          <w:pgSz w:w="11906" w:h="16838" w:code="9"/>
          <w:pgMar w:top="1418" w:right="1418" w:bottom="992" w:left="1418" w:header="851" w:footer="680" w:gutter="0"/>
          <w:pgNumType w:start="2"/>
          <w:cols w:space="708"/>
        </w:sectPr>
      </w:pPr>
    </w:p>
    <w:p w:rsidR="00285CBF" w:rsidRPr="00F50484" w:rsidRDefault="00285CBF" w:rsidP="00285CBF">
      <w:pPr>
        <w:rPr>
          <w:rFonts w:cs="Arial"/>
          <w:snapToGrid w:val="0"/>
          <w:u w:val="single"/>
          <w:lang w:eastAsia="sk-SK"/>
        </w:rPr>
      </w:pPr>
      <w:r w:rsidRPr="00F50484">
        <w:rPr>
          <w:rFonts w:cs="Arial"/>
          <w:snapToGrid w:val="0"/>
          <w:u w:val="single"/>
          <w:lang w:eastAsia="sk-SK"/>
        </w:rPr>
        <w:lastRenderedPageBreak/>
        <w:t>Poznámka: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Všetky údaje a informácie uvedené v týchto poznámkach vychádzajú z účtovníctva a nadväzujú na účtovné výkazy. Hodnotové údaje sú uvedené v tisícoch Sk (pokiaľ nie je uvedené inak). Čísla uvedené za položkou v zátvorkách alebo v stĺpcoch sú odvolávky na riadok alebo stĺpec príslušného výkazu (súvaha alebo výkaz ziskov a strát).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u w:val="single"/>
        </w:rPr>
      </w:pPr>
    </w:p>
    <w:p w:rsidR="00285CBF" w:rsidRPr="00F50484" w:rsidRDefault="00285CBF" w:rsidP="00285CBF">
      <w:pPr>
        <w:pStyle w:val="Nadpis1"/>
        <w:rPr>
          <w:lang w:val="sk-SK"/>
        </w:rPr>
      </w:pPr>
      <w:r w:rsidRPr="00F50484">
        <w:rPr>
          <w:lang w:val="sk-SK"/>
        </w:rPr>
        <w:t>VŠEOBECNÉ INFORMÁCIE</w:t>
      </w:r>
    </w:p>
    <w:p w:rsidR="00285CBF" w:rsidRPr="00F50484" w:rsidRDefault="00285CBF" w:rsidP="00285CBF">
      <w:pPr>
        <w:rPr>
          <w:rFonts w:cs="Arial"/>
          <w:b/>
          <w:snapToGrid w:val="0"/>
          <w:u w:val="single"/>
          <w:lang w:eastAsia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Základné údaje o spoločnosti</w:t>
      </w:r>
    </w:p>
    <w:p w:rsidR="00285CBF" w:rsidRPr="00F50484" w:rsidRDefault="00285CBF" w:rsidP="00285CBF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285CBF" w:rsidRPr="00F50484" w:rsidTr="00783A0D">
        <w:tc>
          <w:tcPr>
            <w:tcW w:w="3969" w:type="dxa"/>
            <w:shd w:val="clear" w:color="auto" w:fill="auto"/>
          </w:tcPr>
          <w:p w:rsidR="00285CBF" w:rsidRPr="00F50484" w:rsidRDefault="00285CBF" w:rsidP="00783A0D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F50484">
              <w:rPr>
                <w:b/>
                <w:bCs/>
                <w:snapToGrid w:val="0"/>
                <w:sz w:val="15"/>
                <w:lang w:eastAsia="sk-SK"/>
              </w:rPr>
              <w:t>Obchodné meno a sídlo</w:t>
            </w:r>
          </w:p>
        </w:tc>
        <w:tc>
          <w:tcPr>
            <w:tcW w:w="5103" w:type="dxa"/>
            <w:shd w:val="clear" w:color="auto" w:fill="auto"/>
          </w:tcPr>
          <w:p w:rsidR="00285CBF" w:rsidRPr="00F50484" w:rsidRDefault="00285CBF" w:rsidP="00783A0D">
            <w:pPr>
              <w:rPr>
                <w:snapToGrid w:val="0"/>
                <w:sz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lang w:eastAsia="sk-SK"/>
              </w:rPr>
              <w:t>DataShark</w:t>
            </w:r>
            <w:proofErr w:type="spellEnd"/>
            <w:r>
              <w:rPr>
                <w:snapToGrid w:val="0"/>
                <w:sz w:val="15"/>
                <w:lang w:eastAsia="sk-SK"/>
              </w:rPr>
              <w:t xml:space="preserve"> s.r.o., Moldavská cesta II.2413/49, 040 11 Košice</w:t>
            </w:r>
          </w:p>
        </w:tc>
      </w:tr>
      <w:tr w:rsidR="00285CBF" w:rsidRPr="00F50484" w:rsidTr="00783A0D">
        <w:tc>
          <w:tcPr>
            <w:tcW w:w="3969" w:type="dxa"/>
            <w:shd w:val="clear" w:color="auto" w:fill="auto"/>
          </w:tcPr>
          <w:p w:rsidR="00285CBF" w:rsidRPr="00F50484" w:rsidRDefault="00285CBF" w:rsidP="00783A0D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F50484">
              <w:rPr>
                <w:b/>
                <w:bCs/>
                <w:snapToGrid w:val="0"/>
                <w:sz w:val="15"/>
                <w:lang w:eastAsia="sk-SK"/>
              </w:rPr>
              <w:t>Dátum vzniku (podľa obchodného registra)</w:t>
            </w:r>
          </w:p>
        </w:tc>
        <w:tc>
          <w:tcPr>
            <w:tcW w:w="5103" w:type="dxa"/>
            <w:shd w:val="clear" w:color="auto" w:fill="auto"/>
          </w:tcPr>
          <w:p w:rsidR="00285CBF" w:rsidRPr="00F50484" w:rsidRDefault="00285CBF" w:rsidP="00783A0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13. 09. 2012</w:t>
            </w:r>
          </w:p>
        </w:tc>
      </w:tr>
      <w:tr w:rsidR="00285CBF" w:rsidRPr="00F50484" w:rsidTr="00783A0D">
        <w:tc>
          <w:tcPr>
            <w:tcW w:w="3969" w:type="dxa"/>
            <w:shd w:val="clear" w:color="auto" w:fill="auto"/>
          </w:tcPr>
          <w:p w:rsidR="00285CBF" w:rsidRPr="00F50484" w:rsidRDefault="00285CBF" w:rsidP="00783A0D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F50484">
              <w:rPr>
                <w:b/>
                <w:bCs/>
                <w:snapToGrid w:val="0"/>
                <w:sz w:val="15"/>
                <w:lang w:eastAsia="sk-SK"/>
              </w:rPr>
              <w:t>Hospodárska činnosť</w:t>
            </w:r>
          </w:p>
        </w:tc>
        <w:tc>
          <w:tcPr>
            <w:tcW w:w="5103" w:type="dxa"/>
            <w:shd w:val="clear" w:color="auto" w:fill="auto"/>
          </w:tcPr>
          <w:p w:rsidR="00285CBF" w:rsidRPr="00F50484" w:rsidRDefault="00285CBF" w:rsidP="00783A0D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rStyle w:val="ra"/>
              </w:rPr>
              <w:t>kúpa tovaru na účely jeho predaja konečnému spotrebiteľovi /maloobchod</w:t>
            </w:r>
          </w:p>
        </w:tc>
      </w:tr>
    </w:tbl>
    <w:p w:rsidR="00285CBF" w:rsidRPr="00F50484" w:rsidRDefault="00285CBF" w:rsidP="00285CBF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Zamestnanci</w:t>
      </w:r>
    </w:p>
    <w:p w:rsidR="00285CBF" w:rsidRPr="00F50484" w:rsidRDefault="00285CBF" w:rsidP="00285CBF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663"/>
        <w:gridCol w:w="2409"/>
      </w:tblGrid>
      <w:tr w:rsidR="00285CBF" w:rsidRPr="00F50484" w:rsidTr="00783A0D">
        <w:tc>
          <w:tcPr>
            <w:tcW w:w="6663" w:type="dxa"/>
            <w:shd w:val="clear" w:color="auto" w:fill="auto"/>
          </w:tcPr>
          <w:p w:rsidR="00285CBF" w:rsidRPr="00F50484" w:rsidRDefault="00285CBF" w:rsidP="00783A0D">
            <w:pPr>
              <w:jc w:val="left"/>
              <w:rPr>
                <w:b/>
                <w:bCs/>
                <w:sz w:val="15"/>
              </w:rPr>
            </w:pPr>
            <w:r w:rsidRPr="00F50484">
              <w:rPr>
                <w:b/>
                <w:bCs/>
                <w:sz w:val="15"/>
              </w:rPr>
              <w:t xml:space="preserve">Evidenčný počet zamestnancov k 31. decembru </w:t>
            </w:r>
            <w:r>
              <w:rPr>
                <w:b/>
                <w:bCs/>
                <w:sz w:val="15"/>
              </w:rPr>
              <w:t>2013</w:t>
            </w:r>
          </w:p>
        </w:tc>
        <w:tc>
          <w:tcPr>
            <w:tcW w:w="2409" w:type="dxa"/>
            <w:shd w:val="clear" w:color="auto" w:fill="auto"/>
            <w:vAlign w:val="bottom"/>
          </w:tcPr>
          <w:p w:rsidR="00285CBF" w:rsidRPr="00F50484" w:rsidRDefault="00285CBF" w:rsidP="00783A0D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0</w:t>
            </w:r>
          </w:p>
        </w:tc>
      </w:tr>
    </w:tbl>
    <w:p w:rsidR="00285CBF" w:rsidRPr="00F50484" w:rsidRDefault="00285CBF" w:rsidP="00285CBF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Neobmedzené ručenie</w:t>
      </w:r>
    </w:p>
    <w:p w:rsidR="00285CBF" w:rsidRPr="00F50484" w:rsidRDefault="00285CBF" w:rsidP="00285CBF">
      <w:pPr>
        <w:pStyle w:val="Zarkazkladnhotextu"/>
        <w:tabs>
          <w:tab w:val="left" w:pos="6521"/>
        </w:tabs>
        <w:spacing w:before="0"/>
        <w:ind w:left="0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proofErr w:type="spellStart"/>
      <w:r>
        <w:rPr>
          <w:rFonts w:cs="Arial"/>
          <w:snapToGrid w:val="0"/>
          <w:lang w:eastAsia="sk-SK"/>
        </w:rPr>
        <w:t>DataShark</w:t>
      </w:r>
      <w:proofErr w:type="spellEnd"/>
      <w:r>
        <w:rPr>
          <w:rFonts w:cs="Arial"/>
          <w:snapToGrid w:val="0"/>
          <w:lang w:eastAsia="sk-SK"/>
        </w:rPr>
        <w:t xml:space="preserve"> s.r.o. </w:t>
      </w:r>
      <w:r w:rsidRPr="00F50484">
        <w:rPr>
          <w:rFonts w:cs="Arial"/>
          <w:snapToGrid w:val="0"/>
          <w:lang w:eastAsia="sk-SK"/>
        </w:rPr>
        <w:t xml:space="preserve">nie je spoločníkom s neobmedzeným ručením v žiadnej spoločnosti. </w:t>
      </w:r>
    </w:p>
    <w:p w:rsidR="00285CBF" w:rsidRPr="00F50484" w:rsidRDefault="00285CBF" w:rsidP="00285CBF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Právny dôvod na zostavenie účtovnej závierky</w:t>
      </w:r>
    </w:p>
    <w:p w:rsidR="00285CBF" w:rsidRPr="00F50484" w:rsidRDefault="00285CBF" w:rsidP="00285CBF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 xml:space="preserve">Táto účtovná závierka je riadna individuálna účtovná závierka za </w:t>
      </w:r>
      <w:proofErr w:type="spellStart"/>
      <w:r>
        <w:rPr>
          <w:rFonts w:cs="Arial"/>
          <w:snapToGrid w:val="0"/>
          <w:lang w:eastAsia="sk-SK"/>
        </w:rPr>
        <w:t>DataShark</w:t>
      </w:r>
      <w:proofErr w:type="spellEnd"/>
      <w:r>
        <w:rPr>
          <w:rFonts w:cs="Arial"/>
          <w:snapToGrid w:val="0"/>
          <w:lang w:eastAsia="sk-SK"/>
        </w:rPr>
        <w:t xml:space="preserve"> s.r.o. </w:t>
      </w:r>
      <w:r w:rsidRPr="00F50484">
        <w:rPr>
          <w:rFonts w:cs="Arial"/>
          <w:snapToGrid w:val="0"/>
          <w:lang w:eastAsia="sk-SK"/>
        </w:rPr>
        <w:t>Bola zostavená za účtovné obdobie od 1. januára do 31. decembra </w:t>
      </w:r>
      <w:r>
        <w:rPr>
          <w:rFonts w:cs="Arial"/>
          <w:snapToGrid w:val="0"/>
          <w:lang w:eastAsia="sk-SK"/>
        </w:rPr>
        <w:t>2013</w:t>
      </w:r>
      <w:r w:rsidRPr="00F50484">
        <w:rPr>
          <w:rFonts w:cs="Arial"/>
          <w:snapToGrid w:val="0"/>
          <w:lang w:eastAsia="sk-SK"/>
        </w:rPr>
        <w:t xml:space="preserve"> podľa slovenských právnych predpisov, a to zákona o účtovníctve a postupov účtovania pre podnikateľov. 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 xml:space="preserve">Schválenie účtovnej závierky za rok </w:t>
      </w:r>
      <w:r>
        <w:rPr>
          <w:lang w:val="sk-SK"/>
        </w:rPr>
        <w:t>2013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 xml:space="preserve">Účtovnú závierku spoločnosti </w:t>
      </w:r>
      <w:proofErr w:type="spellStart"/>
      <w:r>
        <w:rPr>
          <w:rFonts w:cs="Arial"/>
          <w:snapToGrid w:val="0"/>
          <w:lang w:eastAsia="sk-SK"/>
        </w:rPr>
        <w:t>DataShark</w:t>
      </w:r>
      <w:proofErr w:type="spellEnd"/>
      <w:r>
        <w:rPr>
          <w:rFonts w:cs="Arial"/>
          <w:snapToGrid w:val="0"/>
          <w:lang w:eastAsia="sk-SK"/>
        </w:rPr>
        <w:t xml:space="preserve"> s.r.o. </w:t>
      </w:r>
      <w:r w:rsidRPr="00F50484">
        <w:rPr>
          <w:rFonts w:cs="Arial"/>
          <w:snapToGrid w:val="0"/>
          <w:lang w:eastAsia="sk-SK"/>
        </w:rPr>
        <w:t xml:space="preserve">za rok </w:t>
      </w:r>
      <w:r>
        <w:rPr>
          <w:rFonts w:cs="Arial"/>
          <w:snapToGrid w:val="0"/>
          <w:lang w:eastAsia="sk-SK"/>
        </w:rPr>
        <w:t>2013</w:t>
      </w:r>
      <w:r w:rsidRPr="00F50484">
        <w:rPr>
          <w:rFonts w:cs="Arial"/>
          <w:snapToGrid w:val="0"/>
          <w:lang w:eastAsia="sk-SK"/>
        </w:rPr>
        <w:t xml:space="preserve"> schv</w:t>
      </w:r>
      <w:r>
        <w:rPr>
          <w:rFonts w:cs="Arial"/>
          <w:snapToGrid w:val="0"/>
          <w:lang w:eastAsia="sk-SK"/>
        </w:rPr>
        <w:t>álilo riadne valné zhromaždenie.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Zkladntext3"/>
        <w:rPr>
          <w:rFonts w:cs="Arial"/>
          <w:color w:val="auto"/>
          <w:lang w:val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Štruktúra spoločníkov a ich podiel na základnom imaní</w:t>
      </w:r>
    </w:p>
    <w:p w:rsidR="00285CBF" w:rsidRPr="00F50484" w:rsidRDefault="00285CBF" w:rsidP="00285CBF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3969"/>
        <w:gridCol w:w="1701"/>
        <w:gridCol w:w="1418"/>
        <w:gridCol w:w="1984"/>
      </w:tblGrid>
      <w:tr w:rsidR="00285CBF" w:rsidRPr="00F50484" w:rsidTr="00783A0D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  <w:bottom w:val="single" w:sz="4" w:space="0" w:color="C0C0C0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  <w:jc w:val="left"/>
            </w:pPr>
            <w:r w:rsidRPr="00F50484">
              <w:t>Spoločník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</w:pPr>
            <w:r w:rsidRPr="00F50484"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bottom w:val="single" w:sz="4" w:space="0" w:color="C0C0C0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</w:pPr>
            <w:r w:rsidRPr="00F50484">
              <w:t>Hlasovacie práva</w:t>
            </w:r>
          </w:p>
          <w:p w:rsidR="00285CBF" w:rsidRPr="00F50484" w:rsidRDefault="00285CBF" w:rsidP="00783A0D">
            <w:pPr>
              <w:pStyle w:val="tableheader"/>
            </w:pPr>
            <w:r w:rsidRPr="00F50484">
              <w:t>v %</w:t>
            </w:r>
          </w:p>
        </w:tc>
      </w:tr>
      <w:tr w:rsidR="00285CBF" w:rsidRPr="00F50484" w:rsidTr="00783A0D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</w:pPr>
            <w:r>
              <w:t>V  €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</w:pPr>
            <w:r w:rsidRPr="00F50484"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</w:pPr>
          </w:p>
        </w:tc>
      </w:tr>
      <w:tr w:rsidR="00285CBF" w:rsidRPr="00F50484" w:rsidTr="00783A0D">
        <w:tc>
          <w:tcPr>
            <w:tcW w:w="3969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Default="00285CBF" w:rsidP="00783A0D">
            <w:pPr>
              <w:ind w:left="284" w:hanging="284"/>
              <w:rPr>
                <w:sz w:val="15"/>
              </w:rPr>
            </w:pPr>
            <w:r>
              <w:rPr>
                <w:sz w:val="15"/>
              </w:rPr>
              <w:t>Ing. Štefan Antolík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Default="00285CBF" w:rsidP="00783A0D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5000,000000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Pr="00F50484" w:rsidRDefault="00285CBF" w:rsidP="00783A0D">
            <w:pPr>
              <w:jc w:val="right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Pr="00F50484" w:rsidRDefault="00285CBF" w:rsidP="00783A0D">
            <w:pPr>
              <w:jc w:val="right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100</w:t>
            </w:r>
          </w:p>
        </w:tc>
      </w:tr>
    </w:tbl>
    <w:p w:rsidR="00285CBF" w:rsidRPr="00F50484" w:rsidRDefault="00285CBF" w:rsidP="00285CBF">
      <w:pPr>
        <w:pStyle w:val="Zarkazkladnhotextu"/>
        <w:tabs>
          <w:tab w:val="left" w:pos="6521"/>
        </w:tabs>
        <w:spacing w:before="0"/>
        <w:ind w:left="0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tabs>
          <w:tab w:val="left" w:pos="567"/>
        </w:tabs>
        <w:rPr>
          <w:rFonts w:cs="Arial"/>
        </w:rPr>
      </w:pPr>
      <w:r w:rsidRPr="00F50484">
        <w:rPr>
          <w:rFonts w:cs="Arial"/>
        </w:rPr>
        <w:t xml:space="preserve">Štatutárnym orgánom spoločnosti </w:t>
      </w:r>
      <w:proofErr w:type="spellStart"/>
      <w:r>
        <w:rPr>
          <w:rFonts w:cs="Arial"/>
        </w:rPr>
        <w:t>DataShark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s.r.o.</w:t>
      </w:r>
      <w:r w:rsidRPr="00F50484">
        <w:rPr>
          <w:rFonts w:cs="Arial"/>
        </w:rPr>
        <w:t>je</w:t>
      </w:r>
      <w:proofErr w:type="spellEnd"/>
      <w:r w:rsidRPr="00F50484">
        <w:rPr>
          <w:rFonts w:cs="Arial"/>
        </w:rPr>
        <w:t xml:space="preserve"> konateľ Ing. </w:t>
      </w:r>
      <w:r>
        <w:rPr>
          <w:rFonts w:cs="Arial"/>
        </w:rPr>
        <w:t>Štefan Antolík.  Za spoločnosť koná konateľ samostatne a to tak, že k písanému alebo tlačenému obchodnému menu spoločnosti pripojí svoj vlastnoručný podpis.</w:t>
      </w:r>
    </w:p>
    <w:p w:rsidR="00285CBF" w:rsidRPr="00F50484" w:rsidRDefault="00285CBF" w:rsidP="00285CBF">
      <w:pPr>
        <w:tabs>
          <w:tab w:val="left" w:pos="567"/>
        </w:tabs>
        <w:rPr>
          <w:rFonts w:cs="Arial"/>
        </w:rPr>
      </w:pPr>
    </w:p>
    <w:p w:rsidR="00285CBF" w:rsidRPr="00F50484" w:rsidRDefault="00285CBF" w:rsidP="00285CBF">
      <w:pPr>
        <w:tabs>
          <w:tab w:val="left" w:pos="567"/>
        </w:tabs>
        <w:rPr>
          <w:rFonts w:cs="Arial"/>
        </w:rPr>
      </w:pPr>
    </w:p>
    <w:p w:rsidR="00285CBF" w:rsidRPr="00F50484" w:rsidRDefault="00285CBF" w:rsidP="00285CBF">
      <w:pPr>
        <w:tabs>
          <w:tab w:val="left" w:pos="567"/>
        </w:tabs>
        <w:rPr>
          <w:rFonts w:cs="Arial"/>
        </w:rPr>
      </w:pPr>
    </w:p>
    <w:p w:rsidR="00285CBF" w:rsidRPr="00F50484" w:rsidRDefault="00285CBF" w:rsidP="00285CBF">
      <w:pPr>
        <w:pStyle w:val="Nadpis1"/>
        <w:rPr>
          <w:lang w:val="sk-SK"/>
        </w:rPr>
      </w:pPr>
      <w:r w:rsidRPr="00F50484">
        <w:rPr>
          <w:rFonts w:cs="Arial"/>
          <w:lang w:val="sk-SK"/>
        </w:rPr>
        <w:br w:type="page"/>
      </w:r>
      <w:r w:rsidRPr="00F50484">
        <w:rPr>
          <w:lang w:val="sk-SK"/>
        </w:rPr>
        <w:lastRenderedPageBreak/>
        <w:t>POUŽITÉ ÚČTOVNÉ ZÁSADY A ÚČTOVNÉ METÓDY</w:t>
      </w:r>
    </w:p>
    <w:p w:rsidR="00285CBF" w:rsidRPr="00F50484" w:rsidRDefault="00285CBF" w:rsidP="00285CBF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 peňa</w:t>
      </w:r>
      <w:r>
        <w:rPr>
          <w:rFonts w:cs="Arial"/>
          <w:snapToGrid w:val="0"/>
          <w:lang w:eastAsia="sk-SK"/>
        </w:rPr>
        <w:t>žných jednotkách EUR.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 xml:space="preserve">Účtovná závierka za rok </w:t>
      </w:r>
      <w:r>
        <w:rPr>
          <w:rFonts w:cs="Arial"/>
        </w:rPr>
        <w:t>2013</w:t>
      </w:r>
      <w:r w:rsidRPr="00F50484">
        <w:rPr>
          <w:rFonts w:cs="Arial"/>
        </w:rPr>
        <w:t xml:space="preserve"> bola spracovaná za predpokladu nepretržitého pokračovania činnosti. 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>Pri oceňovaní majetku a záväzkov sa uplatňuje zásada opatrnosti, t. j. berú sa za základ všetky riziká, straty a zníženia hodnoty, ktoré sa týkajú majetku a záväzkov a sú známe ku dňu, ku ktorému sa zostavuje účtovná závierka.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>Moment zaúčtovania výnosov. Výnosy sa účtujú pri splnení dodacích podmienok, nakoľko v tomto okamihu prechádzajú na odberateľa významné riziká a vlastnícke práva.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>Použitie odhadov. Zostavenie účtovnej závierky si vyžaduje, aby vedenie podniku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285CBF" w:rsidRPr="00F50484" w:rsidRDefault="00285CBF" w:rsidP="00285CBF">
      <w:pPr>
        <w:tabs>
          <w:tab w:val="num" w:pos="425"/>
        </w:tabs>
        <w:ind w:left="567" w:hanging="567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3"/>
        </w:numPr>
        <w:rPr>
          <w:rFonts w:cs="Arial"/>
        </w:rPr>
      </w:pPr>
      <w:r w:rsidRPr="00F50484">
        <w:rPr>
          <w:rFonts w:cs="Arial"/>
        </w:rPr>
        <w:t>Vykázané dane. Slovenské daňové právo je relatívne mladé s nedostatkom existujúcich precedensov a podlieha neustálym novelizáciám. Nakoľko existujú rôzne interpretácie daňových zákonov a predpisov pri ich uplatňovaní pri rôznych typoch transakcií, sumy vykázané v účtovnej závierke sa môžu neskôr zmeniť podľa konečného stanoviska daňových úradov.</w:t>
      </w:r>
    </w:p>
    <w:p w:rsidR="00285CBF" w:rsidRPr="00F50484" w:rsidRDefault="00285CBF" w:rsidP="00285CBF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285CBF" w:rsidRPr="00F50484" w:rsidRDefault="00285CBF" w:rsidP="00285CBF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285CBF" w:rsidRPr="00F50484" w:rsidRDefault="00285CBF" w:rsidP="00285CBF">
      <w:pPr>
        <w:pStyle w:val="Nadpis2"/>
        <w:numPr>
          <w:ilvl w:val="1"/>
          <w:numId w:val="10"/>
        </w:numPr>
        <w:rPr>
          <w:lang w:val="sk-SK"/>
        </w:rPr>
      </w:pPr>
      <w:r w:rsidRPr="00F50484">
        <w:rPr>
          <w:lang w:val="sk-SK"/>
        </w:rPr>
        <w:t>Spôsob ocenenia jednotlivých zložiek majetku a záväzkov – prvé ocenenie</w:t>
      </w:r>
    </w:p>
    <w:p w:rsidR="00285CBF" w:rsidRPr="00F50484" w:rsidRDefault="00285CBF" w:rsidP="00285CBF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285CBF" w:rsidRPr="00F50484" w:rsidRDefault="00285CBF" w:rsidP="00285CBF">
      <w:pPr>
        <w:rPr>
          <w:rFonts w:cs="Arial"/>
        </w:rPr>
      </w:pPr>
      <w:r w:rsidRPr="00F50484"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285CBF" w:rsidRPr="00F50484" w:rsidRDefault="00285CBF" w:rsidP="00285CBF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285CBF" w:rsidRPr="00F50484" w:rsidRDefault="00285CBF" w:rsidP="00285CBF">
      <w:pPr>
        <w:tabs>
          <w:tab w:val="num" w:pos="426"/>
        </w:tabs>
        <w:ind w:left="426" w:hanging="426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285CBF" w:rsidRPr="00F50484" w:rsidRDefault="00285CBF" w:rsidP="00285CBF">
      <w:pPr>
        <w:pStyle w:val="Zarkazkladnhotextu3"/>
        <w:tabs>
          <w:tab w:val="num" w:pos="426"/>
        </w:tabs>
        <w:ind w:left="426" w:hanging="426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85CBF" w:rsidRPr="00F50484" w:rsidRDefault="00285CBF" w:rsidP="00285CBF">
      <w:pPr>
        <w:pStyle w:val="Zarkazkladnhotextu3"/>
        <w:tabs>
          <w:tab w:val="num" w:pos="426"/>
        </w:tabs>
        <w:ind w:left="426" w:hanging="426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285CBF" w:rsidRPr="00F50484" w:rsidRDefault="00285CBF" w:rsidP="00285CBF">
      <w:pPr>
        <w:pStyle w:val="Zarkazkladnhotextu3"/>
        <w:tabs>
          <w:tab w:val="num" w:pos="426"/>
        </w:tabs>
        <w:ind w:left="426" w:hanging="426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285CBF" w:rsidRPr="00F50484" w:rsidRDefault="00285CBF" w:rsidP="00285CBF">
      <w:pPr>
        <w:pStyle w:val="Zarkazkladnhotextu3"/>
        <w:tabs>
          <w:tab w:val="num" w:pos="530"/>
        </w:tabs>
        <w:ind w:left="709" w:hanging="709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rPr>
          <w:rFonts w:cs="Arial"/>
        </w:rPr>
      </w:pPr>
      <w:r w:rsidRPr="00F50484">
        <w:rPr>
          <w:rFonts w:cs="Arial"/>
        </w:rPr>
        <w:br w:type="page"/>
      </w:r>
      <w:r w:rsidRPr="00F50484">
        <w:rPr>
          <w:rFonts w:cs="Arial"/>
        </w:rPr>
        <w:lastRenderedPageBreak/>
        <w:t>Zásoby obstarané kúpou:</w:t>
      </w:r>
    </w:p>
    <w:p w:rsidR="00285CBF" w:rsidRPr="00F50484" w:rsidRDefault="00285CBF" w:rsidP="00285CBF">
      <w:pPr>
        <w:numPr>
          <w:ilvl w:val="0"/>
          <w:numId w:val="4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 xml:space="preserve">nakupovaný tovar – obstarávacou cenou. Pri úbytku rovnakého druhu zásob sa používa metóda </w:t>
      </w:r>
      <w:r>
        <w:rPr>
          <w:rFonts w:cs="Arial"/>
          <w:snapToGrid w:val="0"/>
          <w:lang w:eastAsia="sk-SK"/>
        </w:rPr>
        <w:t>FIFO</w:t>
      </w:r>
      <w:r w:rsidRPr="00F50484">
        <w:rPr>
          <w:rFonts w:cs="Arial"/>
          <w:snapToGrid w:val="0"/>
          <w:lang w:eastAsia="sk-SK"/>
        </w:rPr>
        <w:t xml:space="preserve">. </w:t>
      </w: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rPr>
          <w:rFonts w:cs="Arial"/>
        </w:rPr>
      </w:pPr>
      <w:r w:rsidRPr="00F50484">
        <w:rPr>
          <w:rFonts w:cs="Arial"/>
        </w:rPr>
        <w:t>Zásoby vytvorené vlastnou činnosťou:</w:t>
      </w:r>
    </w:p>
    <w:p w:rsidR="00285CBF" w:rsidRPr="00F50484" w:rsidRDefault="00285CBF" w:rsidP="00285CBF">
      <w:pPr>
        <w:numPr>
          <w:ilvl w:val="0"/>
          <w:numId w:val="5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na inú činnosť.</w:t>
      </w:r>
    </w:p>
    <w:p w:rsidR="00285CBF" w:rsidRPr="00F50484" w:rsidRDefault="00285CBF" w:rsidP="00285CBF">
      <w:pPr>
        <w:pStyle w:val="Zarkazkladnhotextu3"/>
        <w:ind w:left="284" w:firstLine="0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Pohľadávky:</w:t>
      </w:r>
    </w:p>
    <w:p w:rsidR="00285CBF" w:rsidRPr="00F50484" w:rsidRDefault="00285CBF" w:rsidP="00285CBF">
      <w:pPr>
        <w:numPr>
          <w:ilvl w:val="0"/>
          <w:numId w:val="6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pri ich vzniku alebo bezodplatnom nadobudnutí – menovitou hodnotou,</w:t>
      </w:r>
    </w:p>
    <w:p w:rsidR="00285CBF" w:rsidRPr="00F50484" w:rsidRDefault="00285CBF" w:rsidP="00285CBF">
      <w:pPr>
        <w:numPr>
          <w:ilvl w:val="0"/>
          <w:numId w:val="6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285CBF" w:rsidRPr="00F50484" w:rsidRDefault="00285CBF" w:rsidP="00285CBF">
      <w:pPr>
        <w:ind w:left="709"/>
        <w:rPr>
          <w:rFonts w:cs="Arial"/>
        </w:rPr>
      </w:pPr>
    </w:p>
    <w:p w:rsidR="00285CBF" w:rsidRPr="00F50484" w:rsidRDefault="00285CBF" w:rsidP="00285CBF">
      <w:pPr>
        <w:ind w:left="426"/>
        <w:rPr>
          <w:rFonts w:cs="Arial"/>
        </w:rPr>
      </w:pPr>
      <w:r w:rsidRPr="00F50484"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285CBF" w:rsidRPr="00F50484" w:rsidRDefault="00285CBF" w:rsidP="00285CBF">
      <w:pPr>
        <w:ind w:left="709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Krátkodobý finančný majetok – obstarávacou cenou. Obstarávacia cena je cena, za ktorú sa majetok obstaral, a náklady súvisiace s jeho obstaraním (poplatky a provízie maklérom, poradcom, burzám). Peniaze v pokladni a na bankových účtoch sa oceňujú v nominálnej hodnote.</w:t>
      </w:r>
    </w:p>
    <w:p w:rsidR="00285CBF" w:rsidRPr="00F50484" w:rsidRDefault="00285CBF" w:rsidP="00285CBF">
      <w:pPr>
        <w:tabs>
          <w:tab w:val="num" w:pos="426"/>
        </w:tabs>
        <w:ind w:left="426" w:hanging="426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Časové rozlíšenie na strane aktív súvahy – očakávanou menovitou hodnotou.</w:t>
      </w:r>
    </w:p>
    <w:p w:rsidR="00285CBF" w:rsidRPr="00F50484" w:rsidRDefault="00285CBF" w:rsidP="00285CBF">
      <w:pPr>
        <w:pStyle w:val="Zarkazkladnhotextu3"/>
        <w:ind w:left="0" w:firstLine="0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Záväzky:</w:t>
      </w:r>
    </w:p>
    <w:p w:rsidR="00285CBF" w:rsidRPr="00F50484" w:rsidRDefault="00285CBF" w:rsidP="00285CBF">
      <w:pPr>
        <w:numPr>
          <w:ilvl w:val="0"/>
          <w:numId w:val="7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pri ich vzniku – menovitou hodnotou,</w:t>
      </w:r>
    </w:p>
    <w:p w:rsidR="00285CBF" w:rsidRPr="00F50484" w:rsidRDefault="00285CBF" w:rsidP="00285CBF">
      <w:pPr>
        <w:numPr>
          <w:ilvl w:val="0"/>
          <w:numId w:val="7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pri prevzatí – obstarávacou cenou.</w:t>
      </w:r>
    </w:p>
    <w:p w:rsidR="00285CBF" w:rsidRPr="00F50484" w:rsidRDefault="00285CBF" w:rsidP="00285CBF">
      <w:pPr>
        <w:pStyle w:val="Pta"/>
        <w:tabs>
          <w:tab w:val="clear" w:pos="4536"/>
          <w:tab w:val="clear" w:pos="9072"/>
          <w:tab w:val="num" w:pos="709"/>
        </w:tabs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Rezervy – v očakávanej výške záväzku.</w:t>
      </w:r>
    </w:p>
    <w:p w:rsidR="00285CBF" w:rsidRPr="00F50484" w:rsidRDefault="00285CBF" w:rsidP="00285CBF">
      <w:pPr>
        <w:pStyle w:val="Zarkazkladnhotextu3"/>
        <w:tabs>
          <w:tab w:val="num" w:pos="426"/>
        </w:tabs>
        <w:ind w:left="284" w:firstLine="0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 xml:space="preserve">Dlhopisy, pôžičky, úvery: </w:t>
      </w:r>
    </w:p>
    <w:p w:rsidR="00285CBF" w:rsidRPr="00F50484" w:rsidRDefault="00285CBF" w:rsidP="00285CBF">
      <w:pPr>
        <w:numPr>
          <w:ilvl w:val="0"/>
          <w:numId w:val="8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pri ich vzniku – menovitou hodnotou,</w:t>
      </w:r>
    </w:p>
    <w:p w:rsidR="00285CBF" w:rsidRPr="00F50484" w:rsidRDefault="00285CBF" w:rsidP="00285CBF">
      <w:pPr>
        <w:numPr>
          <w:ilvl w:val="0"/>
          <w:numId w:val="8"/>
        </w:numPr>
        <w:tabs>
          <w:tab w:val="clear" w:pos="851"/>
          <w:tab w:val="num" w:pos="709"/>
        </w:tabs>
        <w:ind w:left="709" w:hanging="284"/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>pri prevzatí – obstarávacou cenou.</w:t>
      </w:r>
    </w:p>
    <w:p w:rsidR="00285CBF" w:rsidRPr="00F50484" w:rsidRDefault="00285CBF" w:rsidP="00285CBF">
      <w:pPr>
        <w:pStyle w:val="Zarkazkladnhotextu3"/>
        <w:ind w:left="709" w:firstLine="0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pStyle w:val="Zarkazkladnhotextu3"/>
        <w:ind w:left="426" w:firstLine="0"/>
        <w:rPr>
          <w:lang w:val="sk-SK"/>
        </w:rPr>
      </w:pPr>
      <w:r w:rsidRPr="00F50484">
        <w:rPr>
          <w:lang w:val="sk-SK"/>
        </w:rPr>
        <w:t>Úroky z dlhopisov, pôžičiek a úverov sa účtujú do obdobia, s ktorým časovo a vecne súvisia.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Časové rozlíšenie na strane pasív súvahy – očakávanou menovitou hodnotou.</w:t>
      </w:r>
    </w:p>
    <w:p w:rsidR="00285CBF" w:rsidRPr="00F50484" w:rsidRDefault="00285CBF" w:rsidP="00285CBF">
      <w:pPr>
        <w:tabs>
          <w:tab w:val="num" w:pos="426"/>
        </w:tabs>
        <w:ind w:left="426" w:hanging="426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Deriváty – nakúpené deriváty sa oceňujú obstarávacou cenou.</w:t>
      </w:r>
    </w:p>
    <w:p w:rsidR="00285CBF" w:rsidRPr="00F50484" w:rsidRDefault="00285CBF" w:rsidP="00285CBF">
      <w:pPr>
        <w:pStyle w:val="Zarkazkladnhotextu3"/>
        <w:tabs>
          <w:tab w:val="num" w:pos="426"/>
        </w:tabs>
        <w:ind w:left="426" w:hanging="426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Prenajatý majetok a majetok obstaraný na základe zmluvy o kúpe pren</w:t>
      </w:r>
      <w:r>
        <w:rPr>
          <w:rFonts w:cs="Arial"/>
        </w:rPr>
        <w:t>ajatej veci do 31. decembra 2012</w:t>
      </w:r>
      <w:r w:rsidRPr="00F50484">
        <w:rPr>
          <w:rFonts w:cs="Arial"/>
        </w:rPr>
        <w:t xml:space="preserve"> sa v súvahe nevykazuje, je vedený na podsúvahovom účte v obstarávacej cene. </w:t>
      </w:r>
      <w:proofErr w:type="spellStart"/>
      <w:r w:rsidRPr="00F50484">
        <w:rPr>
          <w:rFonts w:cs="Arial"/>
        </w:rPr>
        <w:t>Akontácia</w:t>
      </w:r>
      <w:proofErr w:type="spellEnd"/>
      <w:r w:rsidRPr="00F50484">
        <w:rPr>
          <w:rFonts w:cs="Arial"/>
        </w:rPr>
        <w:t xml:space="preserve"> pri finančnom lízingu sa časovo rozlišuje a rozpúšťa do nákladov počas doby prenájmu. Prenajatý majetok a majetok obstaraný na základe zmluvy o kúpe prenajatej veci od 1. januára 2004 sa vykazuje v súvahe v obstarávacej cene.</w:t>
      </w:r>
    </w:p>
    <w:p w:rsidR="00285CBF" w:rsidRPr="00F50484" w:rsidRDefault="00285CBF" w:rsidP="00285CBF">
      <w:pPr>
        <w:pStyle w:val="Zarkazkladnhotextu3"/>
        <w:ind w:left="426" w:hanging="426"/>
        <w:rPr>
          <w:rFonts w:cs="Arial"/>
          <w:sz w:val="20"/>
          <w:lang w:val="sk-SK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Daň z príjmov splatná – podľa slovenského zákona o daniach z príjmov sa splatné dane z príjmov určujú z účtovného zisku pri sadzbe 19 %, po úpravách o niektoré položky na daňové účely.</w:t>
      </w:r>
    </w:p>
    <w:p w:rsidR="00285CBF" w:rsidRPr="00F50484" w:rsidRDefault="00285CBF" w:rsidP="00285CBF">
      <w:pPr>
        <w:tabs>
          <w:tab w:val="num" w:pos="426"/>
        </w:tabs>
        <w:ind w:left="426" w:hanging="426"/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19 %.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numPr>
          <w:ilvl w:val="0"/>
          <w:numId w:val="1"/>
        </w:numPr>
        <w:tabs>
          <w:tab w:val="clear" w:pos="360"/>
          <w:tab w:val="num" w:pos="426"/>
        </w:tabs>
        <w:ind w:left="426" w:hanging="426"/>
        <w:rPr>
          <w:rFonts w:cs="Arial"/>
        </w:rPr>
      </w:pPr>
      <w:r w:rsidRPr="00F50484">
        <w:rPr>
          <w:rFonts w:cs="Arial"/>
        </w:rPr>
        <w:t>Dotácie poskytnuté na obstaranie majetku neboli.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pStyle w:val="Zarkazkladnhotextu2"/>
        <w:ind w:left="426" w:firstLine="0"/>
        <w:rPr>
          <w:rFonts w:cs="Arial"/>
          <w:bCs/>
          <w:i/>
          <w:iCs/>
          <w:sz w:val="20"/>
          <w:lang w:val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Spôsob ocenenia jednotlivých zložiek majetku a záväzkov – nasledujúce ocenenie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rPr>
          <w:rFonts w:cs="Arial"/>
        </w:rPr>
      </w:pPr>
    </w:p>
    <w:p w:rsidR="00285CBF" w:rsidRPr="00724C00" w:rsidRDefault="00285CBF" w:rsidP="00285CBF">
      <w:pPr>
        <w:numPr>
          <w:ilvl w:val="0"/>
          <w:numId w:val="9"/>
        </w:numPr>
        <w:tabs>
          <w:tab w:val="clear" w:pos="851"/>
          <w:tab w:val="num" w:pos="709"/>
        </w:tabs>
        <w:ind w:left="709" w:hanging="284"/>
      </w:pPr>
      <w:r w:rsidRPr="00F50484">
        <w:rPr>
          <w:rFonts w:cs="Arial"/>
          <w:snapToGrid w:val="0"/>
          <w:u w:val="single"/>
          <w:lang w:eastAsia="sk-SK"/>
        </w:rPr>
        <w:t>Plán odpisov</w:t>
      </w:r>
      <w:r w:rsidRPr="00F50484">
        <w:rPr>
          <w:rFonts w:cs="Arial"/>
          <w:snapToGrid w:val="0"/>
          <w:lang w:eastAsia="sk-SK"/>
        </w:rPr>
        <w:t xml:space="preserve"> </w:t>
      </w:r>
      <w:r w:rsidRPr="00F50484">
        <w:rPr>
          <w:rFonts w:cs="Arial"/>
        </w:rPr>
        <w:t xml:space="preserve">– </w:t>
      </w:r>
      <w:r>
        <w:rPr>
          <w:rFonts w:cs="Arial"/>
        </w:rPr>
        <w:t>účtovná jednotka nemá náplň pre túto položku.</w:t>
      </w:r>
    </w:p>
    <w:p w:rsidR="00285CBF" w:rsidRPr="00F50484" w:rsidRDefault="00285CBF" w:rsidP="00285CBF">
      <w:pPr>
        <w:ind w:left="709"/>
      </w:pPr>
    </w:p>
    <w:p w:rsidR="00285CBF" w:rsidRPr="00F50484" w:rsidRDefault="00285CBF" w:rsidP="00285CBF">
      <w:pPr>
        <w:ind w:firstLine="567"/>
        <w:rPr>
          <w:rFonts w:cs="Arial"/>
        </w:rPr>
      </w:pPr>
    </w:p>
    <w:p w:rsidR="00285CBF" w:rsidRPr="00F50484" w:rsidRDefault="00285CBF" w:rsidP="00285CBF">
      <w:pPr>
        <w:tabs>
          <w:tab w:val="num" w:pos="709"/>
        </w:tabs>
        <w:rPr>
          <w:rFonts w:cs="Arial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lastRenderedPageBreak/>
        <w:t xml:space="preserve">Prepočet údajov v cudzích menách na </w:t>
      </w:r>
      <w:r>
        <w:rPr>
          <w:lang w:val="sk-SK"/>
        </w:rPr>
        <w:t>EUR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rPr>
          <w:rFonts w:cs="Arial"/>
        </w:rPr>
      </w:pPr>
      <w:r w:rsidRPr="00F50484">
        <w:rPr>
          <w:rFonts w:cs="Arial"/>
        </w:rPr>
        <w:t xml:space="preserve">Majetok a záväzky vyjadrené v cudzej mene sa prepočítavajú na </w:t>
      </w:r>
      <w:r>
        <w:rPr>
          <w:rFonts w:cs="Arial"/>
        </w:rPr>
        <w:t>EUR</w:t>
      </w:r>
      <w:r w:rsidRPr="00F50484">
        <w:rPr>
          <w:rFonts w:cs="Arial"/>
        </w:rPr>
        <w:t xml:space="preserve"> kurzom určeným v kurzovom lístku NBS </w:t>
      </w:r>
      <w:r>
        <w:rPr>
          <w:rFonts w:cs="Arial"/>
        </w:rPr>
        <w:t xml:space="preserve">alebo ECB </w:t>
      </w:r>
      <w:r w:rsidRPr="00F50484">
        <w:rPr>
          <w:rFonts w:cs="Arial"/>
        </w:rPr>
        <w:t xml:space="preserve">ku dňu uskutočnenia účtovného prípadu a v účtovnej závierke ku dňu jej zostavenia. Pri kúpe a predaji cudzej meny za </w:t>
      </w:r>
      <w:r>
        <w:rPr>
          <w:rFonts w:cs="Arial"/>
        </w:rPr>
        <w:t>EUR</w:t>
      </w:r>
      <w:r w:rsidRPr="00F50484">
        <w:rPr>
          <w:rFonts w:cs="Arial"/>
        </w:rPr>
        <w:t xml:space="preserve"> sa použil kurz, za ktorý boli tieto hodnoty nakúpené alebo predané.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/>
    <w:p w:rsidR="00285CBF" w:rsidRPr="00F50484" w:rsidRDefault="00285CBF" w:rsidP="00285CBF">
      <w:pPr>
        <w:pStyle w:val="Nadpis1"/>
        <w:rPr>
          <w:lang w:val="sk-SK"/>
        </w:rPr>
      </w:pPr>
      <w:r w:rsidRPr="00F50484">
        <w:rPr>
          <w:lang w:val="sk-SK"/>
        </w:rPr>
        <w:t>ÚDAJE VYKÁZANÉ NA STRANE PASÍV SÚVAHY</w:t>
      </w: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 xml:space="preserve">Vlastné imanie (r. 066 súvahy) </w:t>
      </w:r>
    </w:p>
    <w:p w:rsidR="00285CBF" w:rsidRPr="00F50484" w:rsidRDefault="00285CBF" w:rsidP="00285CBF">
      <w:pPr>
        <w:jc w:val="right"/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Nadpis3"/>
        <w:rPr>
          <w:lang w:val="sk-SK"/>
        </w:rPr>
      </w:pPr>
      <w:r w:rsidRPr="00F50484">
        <w:rPr>
          <w:lang w:val="sk-SK"/>
        </w:rPr>
        <w:t>Informácie o vlastnom imaní</w:t>
      </w:r>
    </w:p>
    <w:p w:rsidR="00285CBF" w:rsidRPr="00F50484" w:rsidRDefault="00285CBF" w:rsidP="00285CBF">
      <w:pPr>
        <w:rPr>
          <w:rFonts w:cs="Arial"/>
        </w:rPr>
      </w:pPr>
    </w:p>
    <w:p w:rsidR="00285CBF" w:rsidRPr="00F50484" w:rsidRDefault="00285CBF" w:rsidP="00285CBF">
      <w:pPr>
        <w:rPr>
          <w:rFonts w:cs="Arial"/>
        </w:rPr>
      </w:pPr>
      <w:r w:rsidRPr="00F50484">
        <w:rPr>
          <w:rFonts w:cs="Arial"/>
        </w:rPr>
        <w:t xml:space="preserve">Základné imanie je </w:t>
      </w:r>
      <w:r>
        <w:rPr>
          <w:rFonts w:cs="Arial"/>
        </w:rPr>
        <w:t xml:space="preserve">5 000 € </w:t>
      </w:r>
      <w:r w:rsidRPr="00F50484">
        <w:rPr>
          <w:rFonts w:cs="Arial"/>
        </w:rPr>
        <w:t>a bolo celé splatené.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/>
    <w:p w:rsidR="00285CBF" w:rsidRPr="00F50484" w:rsidRDefault="00285CBF" w:rsidP="00285CBF">
      <w:pPr>
        <w:pStyle w:val="Nadpis2"/>
        <w:rPr>
          <w:lang w:val="sk-SK"/>
        </w:rPr>
      </w:pPr>
      <w:r w:rsidRPr="00F50484">
        <w:rPr>
          <w:lang w:val="sk-SK"/>
        </w:rPr>
        <w:t>Rezervy (r. 087 súvahy)</w:t>
      </w: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pStyle w:val="Nadpis3"/>
        <w:rPr>
          <w:lang w:val="sk-SK"/>
        </w:rPr>
      </w:pPr>
      <w:r w:rsidRPr="00F50484">
        <w:rPr>
          <w:lang w:val="sk-SK"/>
        </w:rPr>
        <w:t>Zákonná rezerva (r. 088 súvahy)</w:t>
      </w:r>
    </w:p>
    <w:p w:rsidR="00285CBF" w:rsidRPr="00F50484" w:rsidRDefault="00285CBF" w:rsidP="00285CBF"/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t>Nebola tvorená.</w:t>
      </w:r>
    </w:p>
    <w:p w:rsidR="00285CBF" w:rsidRPr="00F50484" w:rsidRDefault="00285CBF" w:rsidP="00285CBF">
      <w:pPr>
        <w:rPr>
          <w:rFonts w:cs="Arial"/>
          <w:snapToGrid w:val="0"/>
          <w:u w:val="single"/>
          <w:lang w:eastAsia="sk-SK"/>
        </w:rPr>
      </w:pPr>
    </w:p>
    <w:p w:rsidR="00285CBF" w:rsidRPr="00F50484" w:rsidRDefault="00285CBF" w:rsidP="00285CBF">
      <w:pPr>
        <w:pStyle w:val="Nadpis3"/>
        <w:rPr>
          <w:lang w:val="sk-SK"/>
        </w:rPr>
      </w:pPr>
      <w:r w:rsidRPr="00F50484">
        <w:rPr>
          <w:lang w:val="sk-SK"/>
        </w:rPr>
        <w:t xml:space="preserve">Ostatné dlhodobé rezervy (r. 089 súvahy) </w:t>
      </w:r>
    </w:p>
    <w:p w:rsidR="00285CBF" w:rsidRPr="00F50484" w:rsidDel="00022C6C" w:rsidRDefault="00285CBF" w:rsidP="00285CBF"/>
    <w:p w:rsidR="00285CBF" w:rsidRPr="00F50484" w:rsidRDefault="00285CBF" w:rsidP="00285CBF">
      <w:pPr>
        <w:rPr>
          <w:rFonts w:cs="Arial"/>
          <w:snapToGrid w:val="0"/>
          <w:lang w:eastAsia="sk-SK"/>
        </w:rPr>
      </w:pPr>
      <w:r>
        <w:t>Neboli tvorené.</w:t>
      </w:r>
    </w:p>
    <w:p w:rsidR="00285CBF" w:rsidRPr="00F50484" w:rsidRDefault="00285CBF" w:rsidP="00285CBF">
      <w:pPr>
        <w:pStyle w:val="Zkladntext"/>
        <w:rPr>
          <w:rFonts w:cs="Arial"/>
          <w:sz w:val="17"/>
          <w:lang w:val="sk-SK"/>
        </w:rPr>
      </w:pPr>
    </w:p>
    <w:p w:rsidR="00285CBF" w:rsidRPr="00F50484" w:rsidRDefault="00285CBF" w:rsidP="00285CBF">
      <w:pPr>
        <w:pStyle w:val="Nadpis3"/>
        <w:rPr>
          <w:lang w:val="sk-SK"/>
        </w:rPr>
      </w:pPr>
      <w:r w:rsidRPr="00F50484">
        <w:rPr>
          <w:lang w:val="sk-SK"/>
        </w:rPr>
        <w:t>Krátkodobé rezervy (r. 090 súvahy)</w:t>
      </w:r>
    </w:p>
    <w:p w:rsidR="00285CBF" w:rsidRPr="00F50484" w:rsidRDefault="00285CBF" w:rsidP="00285CBF">
      <w:pPr>
        <w:rPr>
          <w:rFonts w:cs="Arial"/>
          <w:b/>
          <w:snapToGrid w:val="0"/>
          <w:lang w:eastAsia="sk-SK"/>
        </w:rPr>
      </w:pPr>
    </w:p>
    <w:p w:rsidR="00285CBF" w:rsidRDefault="00285CBF" w:rsidP="00285CBF">
      <w:r w:rsidRPr="00F50484">
        <w:t>Nebol</w:t>
      </w:r>
      <w:r>
        <w:t>i tvorené.</w:t>
      </w:r>
    </w:p>
    <w:p w:rsidR="00285CBF" w:rsidRDefault="00285CBF" w:rsidP="00285CBF"/>
    <w:p w:rsidR="00285CBF" w:rsidRDefault="00285CBF" w:rsidP="00285CBF">
      <w:pPr>
        <w:pStyle w:val="Nadpis2"/>
        <w:numPr>
          <w:ilvl w:val="0"/>
          <w:numId w:val="0"/>
        </w:numPr>
        <w:rPr>
          <w:lang w:val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 xml:space="preserve"> </w:t>
      </w:r>
    </w:p>
    <w:p w:rsidR="00285CBF" w:rsidRPr="00F50484" w:rsidRDefault="00285CBF" w:rsidP="00285CBF">
      <w:pPr>
        <w:pStyle w:val="Nadpis1"/>
        <w:rPr>
          <w:lang w:val="sk-SK"/>
        </w:rPr>
      </w:pPr>
      <w:r w:rsidRPr="00F50484">
        <w:rPr>
          <w:lang w:val="sk-SK"/>
        </w:rPr>
        <w:t>PRÍJMY A VÝHODY ČLENOV ŠTATUTÁRNYCH, DOZORNÝCH A INÝCH ORGÁNOV SPOLOČNOSTI</w:t>
      </w:r>
    </w:p>
    <w:p w:rsidR="00285CBF" w:rsidRPr="00F50484" w:rsidRDefault="00285CBF" w:rsidP="00285CBF">
      <w:pPr>
        <w:rPr>
          <w:rFonts w:cs="Arial"/>
          <w:i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 xml:space="preserve">Za rok </w:t>
      </w:r>
      <w:r>
        <w:rPr>
          <w:rFonts w:cs="Arial"/>
          <w:snapToGrid w:val="0"/>
          <w:lang w:eastAsia="sk-SK"/>
        </w:rPr>
        <w:t>2013</w:t>
      </w:r>
      <w:r w:rsidRPr="00F50484">
        <w:rPr>
          <w:rFonts w:cs="Arial"/>
          <w:snapToGrid w:val="0"/>
          <w:lang w:eastAsia="sk-SK"/>
        </w:rPr>
        <w:t xml:space="preserve"> neboli členom štatutárnych, dozorných a iných orgánov spoločnosti vyplatené žiadne odmeny okrem pravidelného mesačného platu. </w:t>
      </w:r>
    </w:p>
    <w:p w:rsidR="00285CBF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  <w:r w:rsidRPr="00F50484">
        <w:rPr>
          <w:rFonts w:cs="Arial"/>
          <w:snapToGrid w:val="0"/>
          <w:lang w:eastAsia="sk-SK"/>
        </w:rPr>
        <w:t xml:space="preserve"> </w:t>
      </w:r>
    </w:p>
    <w:p w:rsidR="00285CBF" w:rsidRPr="00F50484" w:rsidRDefault="00285CBF" w:rsidP="00285CBF">
      <w:pPr>
        <w:pStyle w:val="Nadpis1"/>
        <w:rPr>
          <w:lang w:val="sk-SK"/>
        </w:rPr>
      </w:pPr>
      <w:r w:rsidRPr="00F50484">
        <w:rPr>
          <w:lang w:val="sk-SK"/>
        </w:rPr>
        <w:t>SKUTOČNOSTI, KTORÉ NASTALI PO DNI, KU KTORÉMU SA ZOSTAVUJE ÚČTOVNÁ ZÁVIERKA A DO DŇA ZOSTAVENIA ÚČTOVNEJ ZÁVIERKY</w:t>
      </w:r>
    </w:p>
    <w:p w:rsidR="00285CBF" w:rsidRPr="00F50484" w:rsidRDefault="00285CBF" w:rsidP="00285CBF">
      <w:pPr>
        <w:rPr>
          <w:rFonts w:cs="Arial"/>
          <w:u w:val="single"/>
        </w:rPr>
      </w:pPr>
    </w:p>
    <w:p w:rsidR="00285CBF" w:rsidRPr="00F50484" w:rsidRDefault="00285CBF" w:rsidP="00285CBF">
      <w:pPr>
        <w:rPr>
          <w:rFonts w:cs="Arial"/>
          <w:iCs/>
        </w:rPr>
      </w:pPr>
      <w:r w:rsidRPr="00F50484">
        <w:rPr>
          <w:rFonts w:cs="Arial"/>
          <w:iCs/>
        </w:rPr>
        <w:t xml:space="preserve">Po 31. decembri </w:t>
      </w:r>
      <w:r>
        <w:rPr>
          <w:rFonts w:cs="Arial"/>
          <w:iCs/>
        </w:rPr>
        <w:t>2013</w:t>
      </w:r>
      <w:r w:rsidRPr="00F50484">
        <w:rPr>
          <w:rFonts w:cs="Arial"/>
          <w:iCs/>
        </w:rPr>
        <w:t xml:space="preserve"> nenastali žiadne skutočnosti, ktoré by mohli významne ovplyvniť súvahu k 31. decembru </w:t>
      </w:r>
      <w:r>
        <w:rPr>
          <w:rFonts w:cs="Arial"/>
          <w:iCs/>
        </w:rPr>
        <w:t>2013</w:t>
      </w:r>
      <w:r w:rsidRPr="00F50484">
        <w:rPr>
          <w:rFonts w:cs="Arial"/>
          <w:iCs/>
        </w:rPr>
        <w:t>.</w:t>
      </w:r>
    </w:p>
    <w:p w:rsidR="00285CBF" w:rsidRPr="00F50484" w:rsidRDefault="00285CBF" w:rsidP="00285CBF">
      <w:pPr>
        <w:tabs>
          <w:tab w:val="left" w:pos="3119"/>
        </w:tabs>
        <w:rPr>
          <w:rFonts w:cs="Arial"/>
          <w:snapToGrid w:val="0"/>
          <w:lang w:eastAsia="sk-SK"/>
        </w:rPr>
      </w:pPr>
    </w:p>
    <w:p w:rsidR="00285CBF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p w:rsidR="00285CBF" w:rsidRPr="00F50484" w:rsidRDefault="00285CBF" w:rsidP="00285CBF">
      <w:pPr>
        <w:rPr>
          <w:rFonts w:cs="Arial"/>
          <w:snapToGrid w:val="0"/>
          <w:lang w:eastAsia="sk-SK"/>
        </w:rPr>
      </w:pPr>
    </w:p>
    <w:tbl>
      <w:tblPr>
        <w:tblW w:w="9072" w:type="dxa"/>
        <w:tblInd w:w="108" w:type="dxa"/>
        <w:tblLook w:val="0000"/>
      </w:tblPr>
      <w:tblGrid>
        <w:gridCol w:w="1843"/>
        <w:gridCol w:w="2693"/>
        <w:gridCol w:w="2268"/>
        <w:gridCol w:w="2268"/>
      </w:tblGrid>
      <w:tr w:rsidR="00285CBF" w:rsidRPr="00F50484" w:rsidTr="00783A0D"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  <w:jc w:val="left"/>
              <w:rPr>
                <w:rFonts w:cs="Arial"/>
              </w:rPr>
            </w:pPr>
            <w:r w:rsidRPr="00F50484">
              <w:rPr>
                <w:rFonts w:cs="Arial"/>
              </w:rPr>
              <w:t>Zostavené dňa:</w:t>
            </w:r>
          </w:p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  <w:rPr>
                <w:rFonts w:cs="Arial"/>
              </w:rPr>
            </w:pPr>
            <w:r w:rsidRPr="00F50484">
              <w:rPr>
                <w:rFonts w:cs="Arial"/>
              </w:rPr>
              <w:t>Podpisový záznam člena štatutárneho orgánu účtovnej jednotky alebo fyzickej osoby, ktorá je účtovnou jednotkou:</w:t>
            </w:r>
            <w:bookmarkStart w:id="0" w:name="_GoBack"/>
            <w:bookmarkEnd w:id="0"/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  <w:rPr>
                <w:rFonts w:cs="Arial"/>
              </w:rPr>
            </w:pPr>
            <w:r w:rsidRPr="00F50484"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85CBF" w:rsidRPr="00F50484" w:rsidRDefault="00285CBF" w:rsidP="00783A0D">
            <w:pPr>
              <w:pStyle w:val="tableheader"/>
              <w:rPr>
                <w:rFonts w:cs="Arial"/>
              </w:rPr>
            </w:pPr>
            <w:r w:rsidRPr="00F50484">
              <w:rPr>
                <w:rFonts w:cs="Arial"/>
              </w:rPr>
              <w:t>Podpisový záznam osoby zodpovednej za vedenie účtovníctva:</w:t>
            </w:r>
          </w:p>
        </w:tc>
      </w:tr>
      <w:tr w:rsidR="00285CBF" w:rsidRPr="00F50484" w:rsidTr="00783A0D"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Pr="00F50484" w:rsidRDefault="00285CBF" w:rsidP="00783A0D">
            <w:pPr>
              <w:pStyle w:val="tableheader"/>
              <w:jc w:val="left"/>
              <w:rPr>
                <w:rFonts w:cs="Arial"/>
              </w:rPr>
            </w:pPr>
            <w:r w:rsidRPr="00F50484">
              <w:rPr>
                <w:rFonts w:cs="Arial"/>
              </w:rPr>
              <w:t>Schválené dňa:</w:t>
            </w:r>
          </w:p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left"/>
              <w:rPr>
                <w:rFonts w:cs="Arial"/>
                <w:snapToGrid w:val="0"/>
                <w:sz w:val="1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285CBF" w:rsidRPr="00F50484" w:rsidRDefault="00285CBF" w:rsidP="00783A0D">
            <w:pPr>
              <w:pStyle w:val="Pta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  <w:lang w:eastAsia="sk-SK"/>
              </w:rPr>
            </w:pPr>
          </w:p>
        </w:tc>
      </w:tr>
    </w:tbl>
    <w:p w:rsidR="00285CBF" w:rsidRPr="00F50484" w:rsidRDefault="00285CBF" w:rsidP="00285CBF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285CBF" w:rsidRDefault="00285CBF" w:rsidP="00285CBF"/>
    <w:p w:rsidR="00285CBF" w:rsidRDefault="00285CBF" w:rsidP="00285CBF"/>
    <w:p w:rsidR="006610C4" w:rsidRDefault="006610C4"/>
    <w:sectPr w:rsidR="006610C4" w:rsidSect="003C4DEA">
      <w:headerReference w:type="even" r:id="rId8"/>
      <w:pgSz w:w="11906" w:h="16838" w:code="9"/>
      <w:pgMar w:top="1418" w:right="1418" w:bottom="992" w:left="1418" w:header="851" w:footer="68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DEA" w:rsidRDefault="00285C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3C4DEA" w:rsidRDefault="00285CB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DEA" w:rsidRDefault="00285CBF">
    <w:pPr>
      <w:pStyle w:val="Pta"/>
      <w:tabs>
        <w:tab w:val="left" w:pos="9214"/>
      </w:tabs>
      <w:ind w:right="2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DEA" w:rsidRDefault="00285C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39</w:t>
    </w:r>
    <w:r>
      <w:rPr>
        <w:rStyle w:val="slostrany"/>
      </w:rPr>
      <w:fldChar w:fldCharType="end"/>
    </w:r>
  </w:p>
  <w:p w:rsidR="003C4DEA" w:rsidRDefault="00285CBF">
    <w:pPr>
      <w:pStyle w:val="Pta"/>
      <w:pBdr>
        <w:top w:val="single" w:sz="4" w:space="1" w:color="auto"/>
      </w:pBdr>
      <w:tabs>
        <w:tab w:val="left" w:pos="9214"/>
      </w:tabs>
      <w:rPr>
        <w:color w:val="000000"/>
      </w:rPr>
    </w:pPr>
    <w:r>
      <w:rPr>
        <w:color w:val="000000"/>
      </w:rPr>
      <w:t>Poznámky k účtovným výkazom</w:t>
    </w:r>
  </w:p>
  <w:p w:rsidR="003C4DEA" w:rsidRDefault="00285CBF">
    <w:pPr>
      <w:pStyle w:val="Pta"/>
      <w:pBdr>
        <w:top w:val="single" w:sz="4" w:space="1" w:color="auto"/>
      </w:pBdr>
      <w:tabs>
        <w:tab w:val="left" w:pos="9214"/>
      </w:tabs>
      <w:rPr>
        <w:color w:val="000000"/>
      </w:rPr>
    </w:pPr>
    <w:r>
      <w:rPr>
        <w:color w:val="000000"/>
      </w:rPr>
      <w:t xml:space="preserve">Príklad </w:t>
    </w:r>
    <w:proofErr w:type="spellStart"/>
    <w:r>
      <w:rPr>
        <w:color w:val="000000"/>
      </w:rPr>
      <w:t>Deloitte&amp;Touche</w:t>
    </w:r>
    <w:proofErr w:type="spellEnd"/>
    <w:r>
      <w:rPr>
        <w:color w:val="000000"/>
      </w:rPr>
      <w:t xml:space="preserve">     </w:t>
    </w:r>
  </w:p>
  <w:p w:rsidR="003C4DEA" w:rsidRDefault="00285CBF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4DEA" w:rsidRDefault="00285CB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933F5E"/>
    <w:multiLevelType w:val="hybridMultilevel"/>
    <w:tmpl w:val="6F1ACFA2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7C26F47"/>
    <w:multiLevelType w:val="multilevel"/>
    <w:tmpl w:val="5FB64A7C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3F171137"/>
    <w:multiLevelType w:val="singleLevel"/>
    <w:tmpl w:val="A392B3F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 w:val="0"/>
        <w:i w:val="0"/>
        <w:sz w:val="17"/>
        <w:szCs w:val="17"/>
      </w:rPr>
    </w:lvl>
  </w:abstractNum>
  <w:abstractNum w:abstractNumId="4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20E3320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8"/>
  </w:num>
  <w:num w:numId="5">
    <w:abstractNumId w:val="5"/>
  </w:num>
  <w:num w:numId="6">
    <w:abstractNumId w:val="7"/>
  </w:num>
  <w:num w:numId="7">
    <w:abstractNumId w:val="4"/>
  </w:num>
  <w:num w:numId="8">
    <w:abstractNumId w:val="0"/>
  </w:num>
  <w:num w:numId="9">
    <w:abstractNumId w:val="6"/>
  </w:num>
  <w:num w:numId="10">
    <w:abstractNumId w:val="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5CBF"/>
    <w:rsid w:val="00285CBF"/>
    <w:rsid w:val="00661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5CBF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285CBF"/>
    <w:pPr>
      <w:keepNext/>
      <w:numPr>
        <w:numId w:val="2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285CBF"/>
    <w:pPr>
      <w:keepNext/>
      <w:numPr>
        <w:ilvl w:val="1"/>
        <w:numId w:val="2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link w:val="Nadpis3Char"/>
    <w:qFormat/>
    <w:rsid w:val="00285CBF"/>
    <w:pPr>
      <w:keepNext/>
      <w:numPr>
        <w:ilvl w:val="2"/>
        <w:numId w:val="2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link w:val="Nadpis4Char"/>
    <w:qFormat/>
    <w:rsid w:val="00285CBF"/>
    <w:pPr>
      <w:keepNext/>
      <w:numPr>
        <w:ilvl w:val="3"/>
        <w:numId w:val="2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285CBF"/>
    <w:pPr>
      <w:keepNext/>
      <w:numPr>
        <w:ilvl w:val="4"/>
        <w:numId w:val="2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285CBF"/>
    <w:pPr>
      <w:keepNext/>
      <w:numPr>
        <w:ilvl w:val="5"/>
        <w:numId w:val="2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285CBF"/>
    <w:pPr>
      <w:keepNext/>
      <w:numPr>
        <w:ilvl w:val="6"/>
        <w:numId w:val="2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285CBF"/>
    <w:pPr>
      <w:keepNext/>
      <w:numPr>
        <w:ilvl w:val="7"/>
        <w:numId w:val="2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285CBF"/>
    <w:pPr>
      <w:keepNext/>
      <w:numPr>
        <w:ilvl w:val="8"/>
        <w:numId w:val="2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Section Heading Char"/>
    <w:basedOn w:val="Predvolenpsmoodseku"/>
    <w:link w:val="Nadpis1"/>
    <w:rsid w:val="00285CBF"/>
    <w:rPr>
      <w:rFonts w:ascii="Verdana" w:eastAsia="Times New Roman" w:hAnsi="Verdana" w:cs="Times New Roman"/>
      <w:b/>
      <w:caps/>
      <w:snapToGrid w:val="0"/>
      <w:sz w:val="18"/>
      <w:szCs w:val="20"/>
      <w:u w:val="single"/>
      <w:lang w:val="cs-CZ" w:eastAsia="sk-SK"/>
    </w:rPr>
  </w:style>
  <w:style w:type="character" w:customStyle="1" w:styleId="Nadpis2Char">
    <w:name w:val="Nadpis 2 Char"/>
    <w:aliases w:val="Reset numbering Char"/>
    <w:basedOn w:val="Predvolenpsmoodseku"/>
    <w:link w:val="Nadpis2"/>
    <w:rsid w:val="00285CBF"/>
    <w:rPr>
      <w:rFonts w:ascii="Verdana" w:eastAsia="Times New Roman" w:hAnsi="Verdana" w:cs="Times New Roman"/>
      <w:b/>
      <w:snapToGrid w:val="0"/>
      <w:sz w:val="17"/>
      <w:szCs w:val="20"/>
      <w:lang w:val="cs-CZ" w:eastAsia="sk-SK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rsid w:val="00285CBF"/>
    <w:rPr>
      <w:rFonts w:ascii="Verdana" w:eastAsia="Times New Roman" w:hAnsi="Verdana" w:cs="Times New Roman"/>
      <w:snapToGrid w:val="0"/>
      <w:sz w:val="17"/>
      <w:szCs w:val="20"/>
      <w:u w:val="single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285CBF"/>
    <w:rPr>
      <w:rFonts w:ascii="Verdana" w:eastAsia="Times New Roman" w:hAnsi="Verdana" w:cs="Times New Roman"/>
      <w:i/>
      <w:snapToGrid w:val="0"/>
      <w:sz w:val="17"/>
      <w:szCs w:val="20"/>
      <w:lang w:val="cs-CZ" w:eastAsia="sk-SK"/>
    </w:rPr>
  </w:style>
  <w:style w:type="character" w:customStyle="1" w:styleId="Nadpis5Char">
    <w:name w:val="Nadpis 5 Char"/>
    <w:basedOn w:val="Predvolenpsmoodseku"/>
    <w:link w:val="Nadpis5"/>
    <w:rsid w:val="00285CBF"/>
    <w:rPr>
      <w:rFonts w:ascii="Verdana" w:eastAsia="Times New Roman" w:hAnsi="Verdana" w:cs="Times New Roman"/>
      <w:snapToGrid w:val="0"/>
      <w:sz w:val="24"/>
      <w:szCs w:val="20"/>
      <w:u w:val="single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285CBF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285CBF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285CBF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285CBF"/>
    <w:rPr>
      <w:rFonts w:ascii="Verdana" w:eastAsia="Times New Roman" w:hAnsi="Verdana" w:cs="Times New Roman"/>
      <w:b/>
      <w:snapToGrid w:val="0"/>
      <w:sz w:val="24"/>
      <w:szCs w:val="20"/>
      <w:lang w:val="cs-CZ" w:eastAsia="sk-SK"/>
    </w:rPr>
  </w:style>
  <w:style w:type="paragraph" w:styleId="Zarkazkladnhotextu">
    <w:name w:val="Body Text Indent"/>
    <w:basedOn w:val="Normlny"/>
    <w:link w:val="ZarkazkladnhotextuChar"/>
    <w:rsid w:val="00285CBF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285CBF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styleId="Zarkazkladnhotextu2">
    <w:name w:val="Body Text Indent 2"/>
    <w:basedOn w:val="Normlny"/>
    <w:link w:val="Zarkazkladnhotextu2Char"/>
    <w:rsid w:val="00285CBF"/>
    <w:pPr>
      <w:ind w:left="284" w:hanging="284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285CBF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styleId="Zarkazkladnhotextu3">
    <w:name w:val="Body Text Indent 3"/>
    <w:basedOn w:val="Normlny"/>
    <w:link w:val="Zarkazkladnhotextu3Char"/>
    <w:rsid w:val="00285CBF"/>
    <w:pPr>
      <w:ind w:left="567" w:hanging="567"/>
    </w:pPr>
    <w:rPr>
      <w:snapToGrid w:val="0"/>
      <w:lang w:val="cs-CZ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285CBF"/>
    <w:rPr>
      <w:rFonts w:ascii="Verdana" w:eastAsia="Times New Roman" w:hAnsi="Verdana" w:cs="Times New Roman"/>
      <w:snapToGrid w:val="0"/>
      <w:sz w:val="17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285CBF"/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285CBF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paragraph" w:styleId="Pta">
    <w:name w:val="footer"/>
    <w:basedOn w:val="Normlny"/>
    <w:link w:val="PtaChar"/>
    <w:rsid w:val="00285C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85CBF"/>
    <w:rPr>
      <w:rFonts w:ascii="Verdana" w:eastAsia="Times New Roman" w:hAnsi="Verdana" w:cs="Times New Roman"/>
      <w:sz w:val="17"/>
      <w:szCs w:val="20"/>
    </w:rPr>
  </w:style>
  <w:style w:type="character" w:styleId="slostrany">
    <w:name w:val="page number"/>
    <w:basedOn w:val="Predvolenpsmoodseku"/>
    <w:rsid w:val="00285CBF"/>
    <w:rPr>
      <w:rFonts w:ascii="Verdana" w:hAnsi="Verdana"/>
      <w:sz w:val="17"/>
    </w:rPr>
  </w:style>
  <w:style w:type="paragraph" w:styleId="Hlavika">
    <w:name w:val="header"/>
    <w:basedOn w:val="Normlny"/>
    <w:link w:val="HlavikaChar"/>
    <w:rsid w:val="00285CBF"/>
    <w:pPr>
      <w:tabs>
        <w:tab w:val="center" w:pos="4536"/>
        <w:tab w:val="right" w:pos="9072"/>
      </w:tabs>
    </w:pPr>
    <w:rPr>
      <w:b/>
    </w:rPr>
  </w:style>
  <w:style w:type="character" w:customStyle="1" w:styleId="HlavikaChar">
    <w:name w:val="Hlavička Char"/>
    <w:basedOn w:val="Predvolenpsmoodseku"/>
    <w:link w:val="Hlavika"/>
    <w:rsid w:val="00285CBF"/>
    <w:rPr>
      <w:rFonts w:ascii="Verdana" w:eastAsia="Times New Roman" w:hAnsi="Verdana" w:cs="Times New Roman"/>
      <w:b/>
      <w:sz w:val="17"/>
      <w:szCs w:val="20"/>
    </w:rPr>
  </w:style>
  <w:style w:type="paragraph" w:styleId="Zkladntext3">
    <w:name w:val="Body Text 3"/>
    <w:basedOn w:val="Normlny"/>
    <w:link w:val="Zkladntext3Char"/>
    <w:rsid w:val="00285CBF"/>
    <w:rPr>
      <w:i/>
      <w:snapToGrid w:val="0"/>
      <w:color w:val="FF000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rsid w:val="00285CBF"/>
    <w:rPr>
      <w:rFonts w:ascii="Verdana" w:eastAsia="Times New Roman" w:hAnsi="Verdana" w:cs="Times New Roman"/>
      <w:i/>
      <w:snapToGrid w:val="0"/>
      <w:color w:val="FF0000"/>
      <w:sz w:val="17"/>
      <w:szCs w:val="20"/>
      <w:lang w:val="cs-CZ" w:eastAsia="sk-SK"/>
    </w:rPr>
  </w:style>
  <w:style w:type="paragraph" w:customStyle="1" w:styleId="tableheader">
    <w:name w:val="table header"/>
    <w:basedOn w:val="Normlny"/>
    <w:rsid w:val="00285CBF"/>
    <w:pPr>
      <w:jc w:val="center"/>
    </w:pPr>
    <w:rPr>
      <w:b/>
      <w:i/>
      <w:snapToGrid w:val="0"/>
      <w:sz w:val="15"/>
      <w:lang w:eastAsia="sk-SK"/>
    </w:rPr>
  </w:style>
  <w:style w:type="character" w:customStyle="1" w:styleId="ra">
    <w:name w:val="ra"/>
    <w:basedOn w:val="Predvolenpsmoodseku"/>
    <w:rsid w:val="00285C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1467</Words>
  <Characters>8366</Characters>
  <Application>Microsoft Office Word</Application>
  <DocSecurity>0</DocSecurity>
  <Lines>69</Lines>
  <Paragraphs>19</Paragraphs>
  <ScaleCrop>false</ScaleCrop>
  <Company/>
  <LinksUpToDate>false</LinksUpToDate>
  <CharactersWithSpaces>9814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1</cp:revision>
  <dcterms:created xsi:type="dcterms:W3CDTF">2014-03-27T07:39:00Z</dcterms:created>
  <dcterms:modified xsi:type="dcterms:W3CDTF">2014-03-27T07:43:00Z</dcterms:modified>
</cp:coreProperties>
</file>