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F4" w:rsidRPr="009F50AE" w:rsidRDefault="00BA00F4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A. INFORMÁCIE O ÚČTOVNEJ JEDNOTKE</w:t>
      </w:r>
    </w:p>
    <w:p w:rsidR="00BA00F4" w:rsidRPr="009F50AE" w:rsidRDefault="00BA00F4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1. Založenie spoločnosti</w:t>
      </w:r>
    </w:p>
    <w:p w:rsidR="00BA00F4" w:rsidRPr="009F50AE" w:rsidRDefault="00BA00F4" w:rsidP="00BA00F4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824BD">
        <w:rPr>
          <w:rFonts w:ascii="Times New Roman" w:hAnsi="Times New Roman"/>
          <w:sz w:val="18"/>
          <w:szCs w:val="18"/>
          <w:lang w:eastAsia="sk-SK"/>
        </w:rPr>
        <w:t>Spoločnosť</w:t>
      </w:r>
      <w:r w:rsidR="009824BD">
        <w:rPr>
          <w:rFonts w:ascii="Times New Roman" w:hAnsi="Times New Roman"/>
          <w:sz w:val="18"/>
          <w:szCs w:val="18"/>
          <w:lang w:eastAsia="sk-SK"/>
        </w:rPr>
        <w:t xml:space="preserve"> </w:t>
      </w:r>
      <w:r w:rsidR="009824BD" w:rsidRPr="009824BD">
        <w:rPr>
          <w:rFonts w:ascii="Times New Roman" w:hAnsi="Times New Roman"/>
          <w:bCs/>
          <w:color w:val="000000"/>
          <w:sz w:val="16"/>
          <w:szCs w:val="16"/>
          <w:shd w:val="clear" w:color="auto" w:fill="FFFFFF"/>
        </w:rPr>
        <w:t>FINALDOM s. r. o.</w:t>
      </w:r>
      <w:r w:rsidR="009824BD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 xml:space="preserve"> </w:t>
      </w:r>
      <w:r w:rsidR="009824BD">
        <w:rPr>
          <w:rFonts w:ascii="Times New Roman" w:hAnsi="Times New Roman"/>
          <w:sz w:val="18"/>
          <w:szCs w:val="18"/>
          <w:lang w:eastAsia="sk-SK"/>
        </w:rPr>
        <w:t xml:space="preserve">(ďalej len Spoločnosť), do 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obchodného registra bola zapísaná </w:t>
      </w:r>
      <w:r w:rsidR="009824BD" w:rsidRPr="009824BD">
        <w:rPr>
          <w:rFonts w:ascii="Times New Roman" w:hAnsi="Times New Roman"/>
          <w:bCs/>
          <w:color w:val="000000"/>
          <w:sz w:val="16"/>
          <w:szCs w:val="16"/>
          <w:shd w:val="clear" w:color="auto" w:fill="FFFFFF"/>
        </w:rPr>
        <w:t>17.02.2012</w:t>
      </w:r>
      <w:r w:rsidR="009824BD">
        <w:rPr>
          <w:rStyle w:val="apple-converted-space"/>
          <w:rFonts w:ascii="Arial CE" w:hAnsi="Arial CE"/>
          <w:b/>
          <w:bCs/>
          <w:color w:val="000000"/>
          <w:sz w:val="16"/>
          <w:szCs w:val="16"/>
          <w:shd w:val="clear" w:color="auto" w:fill="FFFFFF"/>
        </w:rPr>
        <w:t> </w:t>
      </w:r>
      <w:r w:rsidR="009824BD"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 w:rsidRPr="009F50AE">
        <w:rPr>
          <w:rFonts w:ascii="Times New Roman" w:hAnsi="Times New Roman"/>
          <w:sz w:val="18"/>
          <w:szCs w:val="18"/>
          <w:lang w:eastAsia="sk-SK"/>
        </w:rPr>
        <w:t>(Obchodný register Okresného súdu Bratislav</w:t>
      </w:r>
      <w:bookmarkStart w:id="0" w:name="_GoBack"/>
      <w:bookmarkEnd w:id="0"/>
      <w:r w:rsidRPr="009F50AE">
        <w:rPr>
          <w:rFonts w:ascii="Times New Roman" w:hAnsi="Times New Roman"/>
          <w:sz w:val="18"/>
          <w:szCs w:val="18"/>
          <w:lang w:eastAsia="sk-SK"/>
        </w:rPr>
        <w:t xml:space="preserve">a I Bratislava, oddiel s.r.o., vložka </w:t>
      </w:r>
      <w:r w:rsidR="009824BD" w:rsidRPr="009824BD">
        <w:rPr>
          <w:color w:val="000000"/>
          <w:sz w:val="27"/>
        </w:rPr>
        <w:t> </w:t>
      </w:r>
      <w:r w:rsidR="009824BD" w:rsidRPr="009824BD">
        <w:rPr>
          <w:rFonts w:ascii="Times New Roman" w:hAnsi="Times New Roman"/>
          <w:bCs/>
          <w:color w:val="000000"/>
          <w:sz w:val="20"/>
        </w:rPr>
        <w:t>79329/B</w:t>
      </w:r>
      <w:r w:rsidR="009F50AE" w:rsidRPr="009F50AE">
        <w:rPr>
          <w:rFonts w:ascii="Times New Roman" w:hAnsi="Times New Roman"/>
          <w:sz w:val="18"/>
          <w:szCs w:val="18"/>
          <w:lang w:eastAsia="sk-SK"/>
        </w:rPr>
        <w:t>).</w:t>
      </w:r>
    </w:p>
    <w:p w:rsidR="00BA00F4" w:rsidRDefault="00BA00F4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2. Hlavnými činnosťami Spoločnosti sú: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podnikanie v oblasti nakladania s iným ako nebezpečným odpadom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prípravné práce k realizácii stavby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uskutočňovanie stavieb a ich zmien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dokončovacie stavebné práce pri realizácii exteriérov a interiérov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kúpa tovaru na účely jeho predaja konečnému spotrebiteľovi (maloobchod) alebo iným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 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prevádzkovateľom živnosti (veľkoobchod)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nákladná cestná doprava vykonávaná vozidlami s celkovou hmotnosťou do 3,5 t vrátane prípojného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 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vozidla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prenájom hnuteľných vecí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administratívne služby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čistiace a upratovacie služby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9824BD" w:rsidRPr="009824BD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Cs w:val="18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 xml:space="preserve">- </w:t>
      </w:r>
      <w:r w:rsidRPr="009824BD">
        <w:rPr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murárstvo</w:t>
      </w:r>
      <w:r w:rsidRPr="009824BD">
        <w:rPr>
          <w:rStyle w:val="apple-converted-space"/>
          <w:rFonts w:ascii="Times New Roman" w:hAnsi="Times New Roman"/>
          <w:bCs/>
          <w:color w:val="000000"/>
          <w:sz w:val="20"/>
          <w:szCs w:val="16"/>
          <w:shd w:val="clear" w:color="auto" w:fill="FFFFFF"/>
        </w:rPr>
        <w:t> </w:t>
      </w:r>
    </w:p>
    <w:p w:rsidR="00BA00F4" w:rsidRPr="009F50AE" w:rsidRDefault="00BA00F4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3. Počet zamestnancov</w:t>
      </w:r>
    </w:p>
    <w:p w:rsidR="00BA00F4" w:rsidRPr="009F50AE" w:rsidRDefault="00BA00F4" w:rsidP="00BA00F4">
      <w:pPr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Údaje o počte zamestnancov za bežné účtovné obdobie a bezprostredne predchádzajúce účtovné obdobie sú uvedené v nasledovnom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59"/>
        <w:gridCol w:w="2849"/>
      </w:tblGrid>
      <w:tr w:rsidR="00BA00F4" w:rsidRPr="009F50AE" w:rsidTr="009824BD">
        <w:trPr>
          <w:jc w:val="center"/>
        </w:trPr>
        <w:tc>
          <w:tcPr>
            <w:tcW w:w="3621" w:type="dxa"/>
            <w:tcBorders>
              <w:top w:val="single" w:sz="12" w:space="0" w:color="auto"/>
            </w:tcBorders>
            <w:vAlign w:val="center"/>
          </w:tcPr>
          <w:p w:rsidR="00BA00F4" w:rsidRPr="009F50AE" w:rsidRDefault="00BA00F4" w:rsidP="009824B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</w:tcBorders>
            <w:vAlign w:val="center"/>
          </w:tcPr>
          <w:p w:rsidR="00BA00F4" w:rsidRPr="009F50AE" w:rsidRDefault="00BA00F4" w:rsidP="009824B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849" w:type="dxa"/>
            <w:tcBorders>
              <w:top w:val="single" w:sz="12" w:space="0" w:color="auto"/>
            </w:tcBorders>
            <w:vAlign w:val="center"/>
          </w:tcPr>
          <w:p w:rsidR="00BA00F4" w:rsidRPr="009F50AE" w:rsidRDefault="00BA00F4" w:rsidP="009824B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BA00F4" w:rsidRPr="009F50AE" w:rsidTr="009824BD">
        <w:trPr>
          <w:jc w:val="center"/>
        </w:trPr>
        <w:tc>
          <w:tcPr>
            <w:tcW w:w="3621" w:type="dxa"/>
            <w:vAlign w:val="center"/>
          </w:tcPr>
          <w:p w:rsidR="00BA00F4" w:rsidRPr="009F50AE" w:rsidRDefault="00BA00F4" w:rsidP="009824BD">
            <w:pPr>
              <w:rPr>
                <w:rFonts w:ascii="Times New Roman" w:hAnsi="Times New Roman"/>
                <w:sz w:val="16"/>
                <w:szCs w:val="16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59" w:type="dxa"/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9" w:type="dxa"/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A00F4" w:rsidRPr="009F50AE" w:rsidTr="009824BD">
        <w:trPr>
          <w:trHeight w:val="285"/>
          <w:jc w:val="center"/>
        </w:trPr>
        <w:tc>
          <w:tcPr>
            <w:tcW w:w="3621" w:type="dxa"/>
            <w:vAlign w:val="center"/>
          </w:tcPr>
          <w:p w:rsidR="00BA00F4" w:rsidRPr="009F50AE" w:rsidRDefault="00BA00F4" w:rsidP="009824BD">
            <w:pPr>
              <w:rPr>
                <w:rFonts w:ascii="Times New Roman" w:hAnsi="Times New Roman"/>
                <w:sz w:val="16"/>
                <w:szCs w:val="16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9" w:type="dxa"/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A00F4" w:rsidRPr="009F50AE" w:rsidTr="009824BD">
        <w:trPr>
          <w:trHeight w:val="285"/>
          <w:jc w:val="center"/>
        </w:trPr>
        <w:tc>
          <w:tcPr>
            <w:tcW w:w="3621" w:type="dxa"/>
            <w:tcBorders>
              <w:bottom w:val="single" w:sz="12" w:space="0" w:color="auto"/>
            </w:tcBorders>
            <w:vAlign w:val="center"/>
          </w:tcPr>
          <w:p w:rsidR="00BA00F4" w:rsidRPr="009F50AE" w:rsidRDefault="00BA00F4" w:rsidP="009824BD">
            <w:pPr>
              <w:rPr>
                <w:rFonts w:ascii="Times New Roman" w:hAnsi="Times New Roman"/>
                <w:sz w:val="16"/>
                <w:szCs w:val="16"/>
                <w:highlight w:val="green"/>
              </w:rPr>
            </w:pPr>
            <w:r w:rsidRPr="009F50AE">
              <w:rPr>
                <w:rFonts w:ascii="Times New Roman" w:hAnsi="Times New Roman"/>
                <w:sz w:val="16"/>
                <w:szCs w:val="16"/>
              </w:rPr>
              <w:t>počet vedúcich zamestnancov</w:t>
            </w:r>
          </w:p>
        </w:tc>
        <w:tc>
          <w:tcPr>
            <w:tcW w:w="2659" w:type="dxa"/>
            <w:tcBorders>
              <w:bottom w:val="single" w:sz="12" w:space="0" w:color="auto"/>
            </w:tcBorders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9" w:type="dxa"/>
            <w:tcBorders>
              <w:bottom w:val="single" w:sz="12" w:space="0" w:color="auto"/>
            </w:tcBorders>
            <w:vAlign w:val="center"/>
          </w:tcPr>
          <w:p w:rsidR="00BA00F4" w:rsidRPr="009F50AE" w:rsidRDefault="00BA00F4" w:rsidP="009824BD">
            <w:pPr>
              <w:pStyle w:val="Valu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A00F4" w:rsidRPr="009F50AE" w:rsidRDefault="00BA00F4" w:rsidP="00BA00F4">
      <w:pPr>
        <w:pStyle w:val="Nzov"/>
        <w:spacing w:before="0" w:beforeAutospacing="0" w:after="0"/>
        <w:jc w:val="both"/>
        <w:rPr>
          <w:rFonts w:ascii="Times New Roman" w:hAnsi="Times New Roman"/>
          <w:sz w:val="21"/>
          <w:szCs w:val="21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4. Údaje o neobmedzenom ručení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Spoločnosť nie je neobmedzene ručiacim spoločníkom v iných spoločnostiach podľa § 56 ods. 5 Obchodného zákonníka.</w:t>
      </w:r>
    </w:p>
    <w:p w:rsidR="009F50AE" w:rsidRPr="009F50AE" w:rsidRDefault="009F50AE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5. Právny dôvod na zostavenie účtovnej závierky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Účtovná závierka Spoločnosti k 31. decembru 2012 je zostavená ako riadna účtovná závierka podľa § 17 ods. 6 zákona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NR SR č. 431/2002 Z. z. o účtovníctve za účtovné obdobie od 01.januára 2012 do 31. decembra 2012.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6. Dátum schválenia účtovnej závierky za predchádzajúce účtovné obdobie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Účtovná závierka Spoločnosti k 31. decembru 2011, za predchádzajúce účtovné obdobie, bola riadne zostavená a schválená.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7. Zverejnenie účtovnej závierky za predchádzajúce účtovné obdobie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8. Schválenie audítora</w:t>
      </w:r>
    </w:p>
    <w:p w:rsidR="00BA00F4" w:rsidRPr="009F50AE" w:rsidRDefault="00BA00F4" w:rsidP="009F50AE">
      <w:pPr>
        <w:spacing w:after="0" w:line="240" w:lineRule="auto"/>
        <w:rPr>
          <w:rFonts w:ascii="Times New Roman" w:hAnsi="Times New Roman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B. INFORMÁCIE O ORGÁNOCH ÚČTOVNEJ JEDNOTKY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9824BD" w:rsidP="009824B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>
        <w:rPr>
          <w:rFonts w:ascii="Times New Roman" w:hAnsi="Times New Roman"/>
          <w:sz w:val="18"/>
          <w:szCs w:val="18"/>
          <w:lang w:eastAsia="sk-SK"/>
        </w:rPr>
        <w:t>Konatel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hyperlink r:id="rId8" w:history="1">
        <w:r w:rsidRPr="009824BD">
          <w:rPr>
            <w:rFonts w:ascii="Times New Roman" w:hAnsi="Times New Roman"/>
            <w:bCs/>
            <w:color w:val="000000"/>
          </w:rPr>
          <w:t>Ján Kalmár </w:t>
        </w:r>
      </w:hyperlink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Orechová 12017/10 </w:t>
      </w:r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Bratislava 821 06 </w:t>
      </w:r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Vznik funkcie: 17.02.2012</w:t>
      </w:r>
      <w:r w:rsidR="00BA00F4" w:rsidRPr="009F50AE">
        <w:rPr>
          <w:rFonts w:ascii="Times New Roman" w:hAnsi="Times New Roman"/>
          <w:sz w:val="18"/>
          <w:szCs w:val="18"/>
          <w:lang w:eastAsia="sk-SK"/>
        </w:rPr>
        <w:tab/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824BD" w:rsidRDefault="009824BD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824BD" w:rsidRDefault="009824BD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824BD" w:rsidRDefault="009824BD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824BD" w:rsidRDefault="009824BD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ind w:left="1440" w:hanging="1440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lastRenderedPageBreak/>
        <w:t>C. INFORMÁCIE O SPOLOČNÍKOCH ÚČTOVNEJ JEDNOTKY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F50AE" w:rsidRPr="009F50AE" w:rsidRDefault="00A54377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hyperlink r:id="rId9" w:history="1">
        <w:r w:rsidRPr="009824BD">
          <w:rPr>
            <w:rFonts w:ascii="Times New Roman" w:hAnsi="Times New Roman"/>
            <w:bCs/>
            <w:color w:val="000000"/>
          </w:rPr>
          <w:t>Ján Kalmár </w:t>
        </w:r>
      </w:hyperlink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Orechová 12017/10 </w:t>
      </w:r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Bratislava 821 06 </w:t>
      </w:r>
      <w:r w:rsidRPr="009824BD">
        <w:rPr>
          <w:rFonts w:ascii="Times New Roman" w:hAnsi="Times New Roman"/>
          <w:color w:val="000000"/>
          <w:sz w:val="27"/>
          <w:szCs w:val="27"/>
        </w:rPr>
        <w:br/>
      </w:r>
      <w:r w:rsidRPr="009824BD">
        <w:rPr>
          <w:rFonts w:ascii="Times New Roman" w:hAnsi="Times New Roman"/>
          <w:bCs/>
          <w:color w:val="000000"/>
          <w:sz w:val="20"/>
        </w:rPr>
        <w:tab/>
      </w:r>
      <w:r w:rsidRPr="009824BD">
        <w:rPr>
          <w:rFonts w:ascii="Times New Roman" w:hAnsi="Times New Roman"/>
          <w:bCs/>
          <w:color w:val="000000"/>
          <w:sz w:val="20"/>
        </w:rPr>
        <w:tab/>
        <w:t>Vznik funkcie: 17.02.2012</w:t>
      </w:r>
    </w:p>
    <w:p w:rsidR="009F50AE" w:rsidRPr="009F50AE" w:rsidRDefault="009F50AE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D. INFORMÁCIE O KONSOLIDOVANOM CELKU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Spoločnosť nie je v konsolidačnom poli so žiadnou inou spoločnosťou.</w:t>
      </w:r>
    </w:p>
    <w:p w:rsidR="009F50AE" w:rsidRPr="009F50AE" w:rsidRDefault="009F50AE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E. INFORMÁCIE O ÚČTOVNÝCH ZÁSADÁCH A ÚČTOVNÝCH METÓDACH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(a) Východiská pre zostavenie účtovnej závierky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  Účtovná závierka bola zostavená za predpokladu nepretržitého trvania Spoločnosti (goingconcern).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  Účtovné metódy a všeobecné účtovné zásady boli účtovnou jednotkou konzistentne aplikované, okrem: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   účtovania poistenia majetku určeného na prevádzkovú činnosť a iného poistného súvisiaceho s prevádzkovou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   činnosťou. Takéto poistenie sa od 1. januára 2011 účtuje na účet 548 – Ostatné náklady na hospodársku činnosť;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lang w:eastAsia="sk-SK"/>
        </w:rPr>
        <w:t></w:t>
      </w:r>
      <w:r w:rsidRPr="009F50AE">
        <w:rPr>
          <w:rFonts w:ascii="Times New Roman" w:hAnsi="Times New Roman"/>
          <w:sz w:val="18"/>
          <w:szCs w:val="18"/>
          <w:lang w:eastAsia="sk-SK"/>
        </w:rPr>
        <w:t>spôsobu účtovania zákazkovej výroby;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lang w:eastAsia="sk-SK"/>
        </w:rPr>
        <w:t></w:t>
      </w:r>
      <w:r w:rsidRPr="009F50AE">
        <w:rPr>
          <w:rFonts w:ascii="Times New Roman" w:hAnsi="Times New Roman"/>
          <w:sz w:val="18"/>
          <w:szCs w:val="18"/>
          <w:lang w:eastAsia="sk-SK"/>
        </w:rPr>
        <w:t>účtovania zákazkovej výstavby nehnuteľnosti určenej na predaj (priebežný transfer);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lang w:eastAsia="sk-SK"/>
        </w:rPr>
        <w:t></w:t>
      </w:r>
      <w:r w:rsidRPr="009F50AE">
        <w:rPr>
          <w:rFonts w:ascii="Times New Roman" w:hAnsi="Times New Roman"/>
          <w:sz w:val="18"/>
          <w:szCs w:val="18"/>
          <w:lang w:eastAsia="sk-SK"/>
        </w:rPr>
        <w:t>účtovania zákazkovej výstavby nehnuteľnosti určenej na predaj - ostatnej (nie priebežný transfer);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lang w:eastAsia="sk-SK"/>
        </w:rPr>
        <w:t></w:t>
      </w:r>
      <w:r w:rsidRPr="009F50AE">
        <w:rPr>
          <w:rFonts w:ascii="Times New Roman" w:hAnsi="Times New Roman"/>
          <w:sz w:val="18"/>
          <w:szCs w:val="18"/>
          <w:lang w:eastAsia="sk-SK"/>
        </w:rPr>
        <w:t>účtovania obstarania nehnuteľnosti na účelom ďalšieho predaja;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lang w:eastAsia="sk-SK"/>
        </w:rPr>
        <w:t></w:t>
      </w:r>
      <w:r w:rsidRPr="009F50AE">
        <w:rPr>
          <w:rFonts w:ascii="Times New Roman" w:hAnsi="Times New Roman"/>
          <w:sz w:val="18"/>
          <w:szCs w:val="18"/>
          <w:lang w:eastAsia="sk-SK"/>
        </w:rPr>
        <w:t>účtovania koncesie u koncesionára.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Uvedené zmeny nemajú vplyv na výsledok hospodárenia vykázaný v predchádzajúcich účtovných obdobiach, keďže sa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aplikujú prospektívne na účtovné prípady, ktoré vznikli po 1. januári 2011.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súvislosti so zmenou účtovania zákazkovej výroby, zákazkovej výstavby nehnuteľnosti a obstarania nehnuteľnosti 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účel ďalšieho predaja boli do súvahy a výkazu ziskov a strát doplnené nové účty.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(b) Dlhodobý nehmotný majetok a dlhodobý hmotný majetok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Dlhodobý majetok nakupovaný sa oceňuje obstarávacou cenou, ktorá zahŕňa cenu obstarania a náklady súvisiace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 obstaraním (clo, prepravu, montáž, poistné a pod.).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Súčasťou obstarávacej ceny dlhodobého hmotného majetku od 1. januára 2003 nie sú úroky z cudzích zdrojov ani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realizované kurzové rozdiely, ktoré vznikli do momentu uvedenia dlhodobého majetku do používania.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Súčasťou obstarávacej ceny dlhodobého nehmotného majetku nie sú od 1. júla 2010 úroky z cudzích zdrojov, ktoré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vznikli do momentu zaradenia dlhodobého nehmotného majetku do používania.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Dlhodobý majetok vytvorený vlastnou činnosťou sa oceňuje vlastnými nákladmi. Vlastnými nákladmi sú všetky priame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náklady vynaložené na výrobu alebo inú činnosť a nepriame náklady, ktoré sa vzťahujú na výrobu alebo inú činnosť.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Náklady na výskum sa neaktivujú, účtujú sa do nákladov účtovného obdobia, v ktorom vznikli. Náklady na vývoj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sa účtujú do obdobia, v ktorom vznikli, ale tie náklady na vývoj, ktoré sa vzťahujú na jasne definovaný výrobok alebo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proces, pri ktorých je možné preukázať technickú realizovateľnosť a možnosť predaja a spoločnosť má dostatočné zdroje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na dokončenie projektu, jeho predaj alebo na vnútorné využitie jeho výsledkov, sa aktivujú, a to vo výške, ktorá je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pravdepodobná, že sa získa späť z budúcich ekonomických úžitkov.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Aktivované náklady na vývoj sa odpisujú počas maximálne 5 rokov, a to v tých účtovných obdobiach, v ktorých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sa očakáva predaj produktu alebo využívanie procesu. Ak sa zníži ich hodnota, odpisujú sa na sumu, ktorá je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pravdepodobná, že sa získa späť z budúcich ekonomických úžitkov.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Odpisy dlhodobého nehmotného majetku sú stanovené vychádzajúc z predpokladanej doby jeho používania 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predpokladaného priebehu jeho opotrebenia. Odpisovať sa začína prvým dňom mesiaca nasledujúceho po uvedení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dlhodobého majetku do používania. Drobný dlhodobý nehmotný majetok, ktorého obstarávacia cena (resp. vlastné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náklady) je 2 400 EUR a nižšia, sa odpisuje jednorazovo pri uvedení do používania. Predpokladaná doba používania,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metóda odpisovania a odpisová sadzba sú uvedené v nasledujúcej tabuľke: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Predpokladaná Metóda Ročná odpisová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odpisovania sadzba v %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Aktivované náklady na vývoj 5 lineárna 20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Softvér 4 lineárna 25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Oceniteľné práva (licencia) 8 lineárna 12,5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Drobný dlhodobý nehmotný majetok rôzna jednorazový odpis 100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Odpisy dlhodobého hmotného majetku sú stanovené vychádzajúc z predpokladanej doby jeho používania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 predpokladaného priebehu jeho opotrebenia. Odpisovať sa začína prvým dňom mesiaca nasledujúceho po uvedení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dlhodobého majetku do používania. Drobný dlhodobý hmotný majetok, ktorého obstarávacia cena (resp. vlastné náklady)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je 1 700 EUR a nižšia, sa odpisuje jednorazovo pri uvedení do používania. Pozemky sa neodpisujú. Predpokladaná doba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používania, metóda odpisovania a odpisová sadzba sú uvedené v nasledujúcej tabuľke: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Predpokladaná Metóda Ročná odpisová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 v rokoch odpisovania sadzba v %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Stavby 40 lineárna 2,5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lastRenderedPageBreak/>
        <w:t>Stroje, prístroje a zariadenia 8 až 12 lineárna 8,3 až 12,5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Dopravné prostriedky 4 až 6 degresívna 16 až 30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rôzna jednorazový odpis 100. 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(c) Cenné papiere a podiely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Cenné papiere a podiely sa oceňujú obstarávacími cenami vrátane nákladov súvisiacich s obstaraním. Od obstarávacej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ceny je odpočítané zníženie hodnoty cenných papierov a podielov 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(d) Zásoby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Zásoby sa oceňujú nižšou z nasledujúcich hodnôt: obstarávacou cenou (nakupované zásoby) alebo vlastnými nákladmi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(zásoby vytvorené vlastnou činnosťou) alebo čistou realizačnou hodnotou.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poistné, provízie, skonto a pod.).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Úroky z cudzích zdrojov nie sú súčasťou obstarávacej ceny. Nakupované zásoby sa oceňujú váženým aritmetickým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priemerom z obstarávacích cien.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Vlastné náklady zahŕňajú priame náklady (priamy materiál, priame mzdy a ostatné priame náklady) a časť nepriamych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nákladov bezprostredne súvisiacich s vytvorením zásob vlastnou činnosťou (výrobná réžia). Výrobná réžia sa do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vlastných nákladov zahŕňa v závislosti od stupňa rozpracovanosti týchto zásob. Správna réžia a odbytové náklady nie sú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súčasťou vlastných nákladov. Súčasťou vlastných nákladov nie sú úroky z cudzích zdrojov.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Čistá realizačná hodnota je predpokladaná predajná cena znížená o predpokladané náklady na ich dokončenie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 o predpokladané náklady súvisiace s ich predajom.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Zníženie hodnoty zásob sa upravuje vytvorením opravnej položky. (spoločnosť o nich neúčtuje)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(e) Zákazková výroba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Zákazková výroba sa vykazuje použitím metódy stupňa dokončenia zákazky (angl. percentage-of-completion-method). 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(f) Zákazková výstavba nehnuteľnosti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Zákazková výstavba nehnuteľnosti – priebežný transfer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Zákazková výstavba nehnuteľnosti určenej na predaj sa vykazuje podľa metódy stupňa dokončenia.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Zákazková výstavba nehnuteľnosti – ostatná (nie priebežný transfer)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Zákazková výstavba nehnuteľnosti určenej na predaj – ostatná (nie priebežný transfer) sa vykazuje metódou tzv.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nulového zisku, t. j. zisk sa vykáže pri predaji nehnuteľnosti. Spoločnosť o nich neúčtuje.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(g) Pohľadávky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Pohľadávky pri ich vzniku sa oceňujú ich menovitou hodnotou; postúpené pohľadávky a pohľadávky nadobudnuté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vkladom do základného imania sa oceňujú obstarávacou cenou vrátane nákladov súvisiacich s obstaraním. Toto ocenenie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sa znižuje o pochybné a nevymožiteľné pohľadávky.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(h) Peňažné prostriedky a ceniny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Peňažné prostriedky a ceniny sa oceňujú ich menovitou hodnotou. Zníženie ich hodnoty sa vyjadruje opravnou položkou.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(i) Náklady budúcich období a príjmy budúcich období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Náklady budúcich období a príjmy budúcich období sa vykazujú vo výške, ktorá je potrebná na dodržanie zásady vecnej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 časovej súvislosti s účtovným obdobím. 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(j) Rezervy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Rezervy sú záväzky s neurčitým časovým vymedzením alebo výškou; tvoria sa na krytie známych rizík alebo strát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 podnikania. Oceňujú sa v očakávanej výške záväzku..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(k) Záväzky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Záväzky pri ich vzniku sa oceňujú menovitou hodnotou. Záväzky pri ich prevzatí sa oceňujú obstarávacou cenou.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Ak sa pri inventarizácii zistí, že suma záväzkov je iná ako ich výška v účtovníctve, uvedú sa záväzky v účtovníctve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 v účtovnej závierke v tomto zistenom ocenení.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(l) Odložené dane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Odložené dane (odložená daňová pohľadávka a odložený daňový záväzok) sa vzťahujú na: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a) dočasné rozdiely medzi účtovnou hodnotou majetku a účtovnou hodnotou záväzkov vykázanou v súvahe a ich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daňovou základňou,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b) možnosť umorovať daňovú stratu v budúcnosti, ktorou sa rozumie možnosť odpočítať daňovú stratu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od základu dane v budúcnosti,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c) možnosť previesť nevyužité daňové odpočty a iné daňové nároky do budúcich období. (spoločnosť o nich neúčtuje)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(m) Výdavky budúcich období a výnosy budúcich období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Výdavky budúcich období a výnosy budúcich období sa vykazujú vo výške, ktorá je potrebná na dodržanie zásady vecnej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 časovej súvislosti s účtovným obdobím. (spoločnosť o nich neúčtuje)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(n) Emisné kvóty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Bezodplatne pripísaný proporčný podiel emisných kvót v ocenení reprodukčnou obstarávacou cenou sa účtuje v prospech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lastRenderedPageBreak/>
        <w:t>výnosov budúcich období.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Zúčtovanie výnosov budúcich období sa uskutočňuje v časovej a vecnej súvislosti s použitím bezodplatne pripísaných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emisných kvót z dôvodu ich predaja alebo tvorby rezervy alebo splnenia povinnosti odovzdania emisných kvót. Spoločnosť o nich neúčtuje.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(o) Dotácie zo štátneho rozpočtu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 nároku na dotácie zo štátneho rozpočtu sa účtuje, ak je takmer isté, že na základe splnených podmienok na poskytnutie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dotácie sa Spoločnosti daná dotácia poskytne.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Dotácie na hospodársku činnosť Spoločnosti sa najskôr vykazujú ako výnosy budúcich období a do výkazu ziskov a strát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sa rozpúšťajú ako výnosy z hospodárskej činnosti v časovej a vecnej súvislosti s vynaložením nákladov na príslušný účel.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Dotácie na obstaranie dlhodobého hmotného majetku a dlhodobého nehmotného majetku sa najskôr vykazujú ako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výnosy budúcich období a do výkazu ziskov a strát sa rozpúšťajú v časovej a vecnej súvislosti so zaúčtovaním odpisov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 tohto dlhodobého majetku. (spoločnosť o nich neúčtuje)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(p) Prenájom (lízing)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Operatívny prenájom. Majetok prenajatý na základe operatívneho prenájmu vykazuje ako svoj majetok jeho vlastník, nie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nájomca.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Finančný prenájom (s kúpnou opciou; bez kúpnej opcie je považovaný za operatívny prenájom). Majetok prenajatý 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základe zmluvy uzatvorenej do 31. decembra 2003 vykazuje ako svoj majetok jeho vlastník, nie nájomca. Majetok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prenajatý na základe zmluvy uzatvorenej 1. januára 2004 a neskôr vykazuje ako svoj majetok jeho nájomca, nie vlastník. 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(q) Deriváty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Deriváty sa oceňujú reálnou hodnotou.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Zmeny reálnych hodnôt zabezpečovacích derivátov sa účtujú bez vplyvu na výsledok hospodárenia, priamo do vlastného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imania.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Zmeny reálnych hodnôt derivátov určených na obchodovanie na tuzemskej burze, zahraničnej burze alebo na inom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verejnom trhu sa účtujú s vplyvom na výsledok hospodárenia.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Zmeny reálnych hodnôt derivátov určených na obchodovanie na neverejnom trhu sa účtujú bez vplyvu na výsledok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hospodárenia, priamo do vlastného imania. Spoločnosť o nich neúčtuje.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(r) Majetok a záväzky zabezpečené derivátmi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Majetok a záväzky zabezpečené derivátmi sa oceňujú reálnou hodnotou. Zmeny reálnych hodnôt majetku a záväzkov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zabezpečených derivátmi sa účtujú bez vplyvu na výsledok hospodárenia, priamo do vlastného imania. Spoločnosť o nich neúčtuje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(s) Cudzia mena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Majetok a záväzky vyjadrené v cudzej mene sa ku dňu uskutočnenia účtovného prípadu prepočítavajú na menu euro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referenčným výmenným kurzom určeným a vyhláseným Európskou centrálnou bankou alebo Národnou bankou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Slovenska v deň predchádzajúci dňu uskutočnenia účtovného prípadu.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Majetok a záväzky vyjadrené v cudzej mene (okrem prijatých a poskytnutých preddavkov) sa ku dňu, ku ktorému sa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zostavuje účtovná závierka, prepočítavajú na menu euro referenčným výmenným kurzom určeným a vyhláseným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Európskou centrálnou bankou alebo Národnou bankou Slovenska v deň, ku ktorému sa zostavuje účtovná závierka,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a účtujú sa s vplyvom na výsledok hospodárenia.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Prijaté a poskytnuté preddavky v cudzej mene prostredníctvom účtu vedeného v tejto cudzej mene sa prepočítavajú 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menu euro referenčným výmenným kurzom určeným a vyhláseným Európskou centrálnou bankou alebo Národnou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bankou Slovenska v deň predchádzajúci dňu uskutočnenia účtovného prípadu.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Prijaté a poskytnuté preddavky v cudzej mene na účet zriadený v eurách a z účtu zriadeného v eurách sa prepočítavajú na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menu euro kurzom, za ktorý boli tieto hodnoty nakúpené alebo predané.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Prijaté a poskytnuté preddavky sa ku dňu, ku ktorému sa zostavuje účtovná závierka, na menu euro už neprepočítavajú.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eastAsia="sk-SK"/>
        </w:rPr>
      </w:pPr>
      <w:r w:rsidRPr="009F50AE">
        <w:rPr>
          <w:rFonts w:ascii="Times New Roman" w:hAnsi="Times New Roman"/>
          <w:b/>
          <w:bCs/>
          <w:sz w:val="18"/>
          <w:szCs w:val="18"/>
          <w:lang w:eastAsia="sk-SK"/>
        </w:rPr>
        <w:t>(t) Výnosy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Tržby za vlastné výkony a tovar neobsahujú daň z pridanej hodnoty. Sú tiež znížené o zľavy a zrážky (rabaty, bonusy,</w:t>
      </w:r>
    </w:p>
    <w:p w:rsidR="00BA00F4" w:rsidRPr="009F50AE" w:rsidRDefault="00BA00F4" w:rsidP="009F50A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skontá, dobropisy a pod.), bez ohľadu na to, či zákazník mal vopred na zľavu nárok, alebo či ide o dodatočne uznanú zľavu.</w:t>
      </w:r>
    </w:p>
    <w:p w:rsidR="009F50AE" w:rsidRDefault="009F50AE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4377" w:rsidRDefault="00A54377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4377" w:rsidRDefault="00A54377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4377" w:rsidRDefault="00A54377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4377" w:rsidRDefault="00A54377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A54377" w:rsidRPr="009F50AE" w:rsidRDefault="00A54377" w:rsidP="00BA00F4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9F39E7" w:rsidRPr="009F50AE" w:rsidRDefault="009F39E7" w:rsidP="009F39E7">
      <w:pPr>
        <w:rPr>
          <w:rFonts w:ascii="Times New Roman" w:hAnsi="Times New Roman"/>
          <w:sz w:val="20"/>
          <w:szCs w:val="20"/>
        </w:rPr>
      </w:pPr>
    </w:p>
    <w:p w:rsidR="003F477D" w:rsidRPr="009F50AE" w:rsidRDefault="003F477D" w:rsidP="003F477D">
      <w:pPr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Informácie o dlhodobom hmotnom majetku</w:t>
      </w:r>
      <w:r w:rsidRPr="009F50AE">
        <w:rPr>
          <w:rFonts w:ascii="Times New Roman" w:hAnsi="Times New Roman"/>
          <w:sz w:val="20"/>
          <w:szCs w:val="20"/>
        </w:rPr>
        <w:tab/>
      </w:r>
    </w:p>
    <w:p w:rsidR="0003344F" w:rsidRPr="009F50AE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9F50A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9F50AE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9F50AE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Samos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tatnéhnuteľ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né veci a </w:t>
            </w:r>
          </w:p>
          <w:p w:rsidR="0003344F" w:rsidRPr="009F50AE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Pestova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teľské celky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Zákla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Os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465A3F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-s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ta</w:t>
            </w:r>
            <w:r w:rsidR="0003344F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03344F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Poskyt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nutépred</w:t>
            </w:r>
            <w:r w:rsidR="001E03F2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davky na </w:t>
            </w:r>
          </w:p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9F50AE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03344F" w:rsidRPr="009F50AE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F50AE" w:rsidRDefault="00CD4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F50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F50AE" w:rsidRDefault="00E268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03344F" w:rsidRPr="009F50AE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9F50A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9F50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9F50AE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Samos-tatnéhnuteľ-né veci a </w:t>
            </w:r>
          </w:p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 celky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Poskyt-nutépred-davky na </w:t>
            </w:r>
          </w:p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9F50AE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E916CF" w:rsidRPr="009F50AE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</w:tr>
      <w:tr w:rsidR="00E916CF" w:rsidRPr="009F50AE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F50AE" w:rsidRDefault="00E916CF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F50AE" w:rsidRDefault="00A54377" w:rsidP="00E2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9274</w:t>
            </w:r>
          </w:p>
        </w:tc>
      </w:tr>
    </w:tbl>
    <w:p w:rsidR="00E33704" w:rsidRPr="009F50AE" w:rsidRDefault="00E3370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9F39E7" w:rsidRPr="009F50AE" w:rsidRDefault="009F39E7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9F50AE">
        <w:rPr>
          <w:rFonts w:ascii="Times New Roman" w:hAnsi="Times New Roman"/>
          <w:b/>
          <w:sz w:val="20"/>
          <w:szCs w:val="20"/>
        </w:rPr>
        <w:t xml:space="preserve">Informácie o dlhodobom hmotnom majetku </w:t>
      </w:r>
    </w:p>
    <w:p w:rsidR="00BA00F4" w:rsidRPr="009F50AE" w:rsidRDefault="00BA00F4" w:rsidP="00BA00F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 xml:space="preserve">Informácie o krátkodobom finančnom majetku </w:t>
      </w:r>
    </w:p>
    <w:p w:rsidR="0003344F" w:rsidRPr="009F50AE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9F50AE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9F50A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9F50A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1644</w:t>
            </w:r>
          </w:p>
        </w:tc>
      </w:tr>
      <w:tr w:rsidR="0003344F" w:rsidRPr="009F50A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Bežné</w:t>
            </w:r>
            <w:r w:rsidR="0000458C" w:rsidRPr="009F50AE">
              <w:rPr>
                <w:rFonts w:ascii="Times New Roman" w:hAnsi="Times New Roman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768</w:t>
            </w:r>
          </w:p>
        </w:tc>
        <w:tc>
          <w:tcPr>
            <w:tcW w:w="2405" w:type="dxa"/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177</w:t>
            </w:r>
          </w:p>
        </w:tc>
      </w:tr>
      <w:tr w:rsidR="0003344F" w:rsidRPr="009F50A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F50A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Vkladové</w:t>
            </w:r>
            <w:r w:rsidR="0003344F" w:rsidRPr="009F50AE">
              <w:rPr>
                <w:rFonts w:ascii="Times New Roman" w:hAnsi="Times New Roman"/>
                <w:bCs/>
                <w:sz w:val="20"/>
                <w:szCs w:val="20"/>
              </w:rPr>
              <w:t xml:space="preserve"> účty</w:t>
            </w: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9F50AE">
              <w:rPr>
                <w:rFonts w:ascii="Times New Roman" w:hAnsi="Times New Roman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03344F" w:rsidRPr="009F50A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03344F" w:rsidRPr="009F50A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F50AE" w:rsidRDefault="00A54377" w:rsidP="00E268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1821</w:t>
            </w:r>
          </w:p>
        </w:tc>
      </w:tr>
    </w:tbl>
    <w:p w:rsidR="0003344F" w:rsidRPr="009F50AE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9F50AE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9F50AE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AF26F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A54377">
              <w:rPr>
                <w:rFonts w:ascii="Times New Roman" w:hAnsi="Times New Roman"/>
                <w:sz w:val="20"/>
                <w:szCs w:val="20"/>
              </w:rPr>
              <w:t>11138</w:t>
            </w:r>
          </w:p>
        </w:tc>
      </w:tr>
      <w:tr w:rsidR="0003344F" w:rsidRPr="009F50AE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Úhrada straty spoločníkmi</w:t>
            </w:r>
            <w:r w:rsidR="00D031EE" w:rsidRPr="009F50AE">
              <w:rPr>
                <w:rFonts w:ascii="Times New Roman" w:hAnsi="Times New Roman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D031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Prevod </w:t>
            </w:r>
            <w:r w:rsidR="00D031EE" w:rsidRPr="009F50AE">
              <w:rPr>
                <w:rFonts w:ascii="Times New Roman" w:hAnsi="Times New Roman"/>
                <w:sz w:val="20"/>
                <w:szCs w:val="20"/>
              </w:rPr>
              <w:t>na účet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B2E0B" w:rsidRPr="009F50AE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7B2E0B" w:rsidRPr="009F50AE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9F50A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9F50A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F50AE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9F50A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F50A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5E3B59" w:rsidRPr="009F50A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F50AE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lastRenderedPageBreak/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E3B59" w:rsidRPr="009F50A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9F50AE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E3B59" w:rsidRPr="009F50A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F50AE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B7367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7B7367">
              <w:rPr>
                <w:rFonts w:ascii="Times New Roman" w:hAnsi="Times New Roman"/>
                <w:b/>
                <w:sz w:val="20"/>
                <w:szCs w:val="20"/>
              </w:rPr>
              <w:t> </w:t>
            </w:r>
            <w:r w:rsidR="007B7367" w:rsidRPr="007B7367">
              <w:rPr>
                <w:rFonts w:ascii="Times New Roman" w:hAnsi="Times New Roman"/>
                <w:b/>
                <w:sz w:val="20"/>
                <w:szCs w:val="20"/>
              </w:rPr>
              <w:t>17282</w:t>
            </w:r>
          </w:p>
        </w:tc>
      </w:tr>
      <w:tr w:rsidR="005E3B59" w:rsidRPr="009F50A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F50AE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B7367" w:rsidRDefault="005E3B59" w:rsidP="005E3B59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7B7367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B7367" w:rsidRDefault="005E3B59" w:rsidP="005E3B59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7B7367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  <w:r w:rsidR="007B7367" w:rsidRPr="007B7367">
              <w:rPr>
                <w:rFonts w:ascii="Times New Roman" w:hAnsi="Times New Roman"/>
                <w:bCs/>
                <w:sz w:val="20"/>
                <w:szCs w:val="20"/>
              </w:rPr>
              <w:t>17282</w:t>
            </w:r>
          </w:p>
        </w:tc>
      </w:tr>
      <w:tr w:rsidR="0003344F" w:rsidRPr="009F50A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9F50A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9F50AE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9F50AE" w:rsidRDefault="0003344F" w:rsidP="008875A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Bezprostrednepredchádzajúce</w:t>
            </w:r>
          </w:p>
          <w:p w:rsidR="0003344F" w:rsidRPr="009F50AE" w:rsidRDefault="0003344F" w:rsidP="008875A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 účtovnéobdobie</w:t>
            </w:r>
          </w:p>
        </w:tc>
      </w:tr>
      <w:tr w:rsidR="0003344F" w:rsidRPr="009F50AE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03344F" w:rsidRPr="009F50AE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03344F" w:rsidRPr="009F50AE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25FD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Výsledokhospodárenia 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br/>
            </w:r>
            <w:r w:rsidRPr="009F50AE">
              <w:rPr>
                <w:rFonts w:ascii="Times New Roman" w:hAnsi="Times New Roman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7B7367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E268EC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-11138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321FCD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C21AB" w:rsidRPr="009F50AE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F50AE" w:rsidRDefault="009C21AB" w:rsidP="000A4A5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Vplyv ne</w:t>
            </w:r>
            <w:r w:rsidR="000A4A5A" w:rsidRPr="009F50AE">
              <w:rPr>
                <w:rFonts w:ascii="Times New Roman" w:hAnsi="Times New Roman"/>
                <w:sz w:val="20"/>
                <w:szCs w:val="20"/>
              </w:rPr>
              <w:t>vykáz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F50AE" w:rsidRDefault="009C21AB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923C8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F50AE" w:rsidRDefault="001923C8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F50AE" w:rsidRDefault="001923C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37F98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F50AE" w:rsidRDefault="00537F98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F50AE" w:rsidRDefault="00537F98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7B7367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E268EC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-11138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Splatná daň z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CF3093" w:rsidRPr="009F50AE" w:rsidRDefault="00CF309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Informácie o zmenách vlastného imania</w:t>
      </w:r>
    </w:p>
    <w:p w:rsidR="0003344F" w:rsidRPr="009F50AE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9F50A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9F50A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3344F" w:rsidRPr="009F50A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54020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Vlastné akcie 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a v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Pohľadávkyzaupí</w:t>
            </w:r>
            <w:r w:rsidR="006B42EC" w:rsidRPr="009F50AE">
              <w:rPr>
                <w:rFonts w:ascii="Times New Roman" w:hAnsi="Times New Roman"/>
                <w:sz w:val="20"/>
                <w:szCs w:val="20"/>
              </w:rPr>
              <w:t>s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Zákonný rezervný fond (nedeliteľný fond) z</w:t>
            </w:r>
            <w:r w:rsidR="008875A1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Oceňovacie rozdielyz</w:t>
            </w:r>
            <w:r w:rsidR="008875A1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precene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niamajetku a</w:t>
            </w:r>
            <w:r w:rsidR="006B42EC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Oceňovacie rozdiely z</w:t>
            </w:r>
            <w:r w:rsidR="008875A1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kapitálo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Oceňovacie rozdiely z</w:t>
            </w:r>
            <w:r w:rsidR="008875A1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precenenia pri zlúčení, splynutí a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8875A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Účet 491 - Vlastné imanie fyzickej osoby</w:t>
            </w:r>
            <w:r w:rsidR="008875A1" w:rsidRPr="009F50AE">
              <w:rPr>
                <w:rFonts w:ascii="Times New Roman" w:hAnsi="Times New Roman"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</w:tr>
    </w:tbl>
    <w:p w:rsidR="00E66ECB" w:rsidRPr="009F50A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9F50AE" w:rsidRDefault="0003344F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9F50AE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9F50AE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3344F" w:rsidRPr="009F50AE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AF26FD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AF26FD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</w:tr>
      <w:tr w:rsidR="0003344F" w:rsidRPr="009F50AE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7C6EE9" w:rsidP="007C6E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Vlastné akcie a </w:t>
            </w:r>
            <w:r w:rsidR="0003344F" w:rsidRPr="009F50AE">
              <w:rPr>
                <w:rFonts w:ascii="Times New Roman" w:hAnsi="Times New Roman"/>
                <w:sz w:val="20"/>
                <w:szCs w:val="20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Zákonný rezervný fond (nedeliteľný fond) z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Oceňovacie rozdiely z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 xml:space="preserve">preceneniamajetku </w:t>
            </w:r>
            <w:r w:rsidRPr="009F50AE">
              <w:rPr>
                <w:rFonts w:ascii="Times New Roman" w:hAnsi="Times New Roman"/>
                <w:sz w:val="20"/>
                <w:szCs w:val="20"/>
              </w:rPr>
              <w:lastRenderedPageBreak/>
              <w:t>a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kapitálo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9F50AE" w:rsidRDefault="0003344F" w:rsidP="006B42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Oceňovacie rozdiely z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precenenia pri zlúčení, splynutí a</w:t>
            </w:r>
            <w:r w:rsidR="00E66ECB" w:rsidRPr="009F50AE">
              <w:rPr>
                <w:rFonts w:ascii="Times New Roman" w:hAnsi="Times New Roman"/>
                <w:sz w:val="20"/>
                <w:szCs w:val="20"/>
              </w:rPr>
              <w:t> 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54020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Výsledok hospodá</w:t>
            </w:r>
            <w:r w:rsidR="0054020D" w:rsidRPr="009F50AE">
              <w:rPr>
                <w:rFonts w:ascii="Times New Roman" w:hAnsi="Times New Roman"/>
                <w:sz w:val="20"/>
                <w:szCs w:val="20"/>
              </w:rPr>
              <w:t>-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AF26FD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-11138</w:t>
            </w:r>
          </w:p>
        </w:tc>
      </w:tr>
      <w:tr w:rsidR="0003344F" w:rsidRPr="009F50AE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F50AE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03344F" w:rsidP="008875A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F50AE">
              <w:rPr>
                <w:rFonts w:ascii="Times New Roman" w:hAnsi="Times New Roman"/>
                <w:sz w:val="20"/>
                <w:szCs w:val="20"/>
              </w:rPr>
              <w:t xml:space="preserve">Účet 491 - Vlastné imanie fyzickej osoby </w:t>
            </w:r>
            <w:r w:rsidR="00D210B5" w:rsidRPr="009F50AE">
              <w:rPr>
                <w:rFonts w:ascii="Times New Roman" w:hAnsi="Times New Roman"/>
                <w:sz w:val="20"/>
                <w:szCs w:val="20"/>
              </w:rPr>
              <w:t>–</w:t>
            </w:r>
            <w:r w:rsidRPr="009F50AE">
              <w:rPr>
                <w:rFonts w:ascii="Times New Roman" w:hAnsi="Times New Roman"/>
                <w:sz w:val="20"/>
                <w:szCs w:val="20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F50AE" w:rsidRDefault="0003344F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50AE" w:rsidRDefault="004B1E7A" w:rsidP="00E268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-6138</w:t>
            </w:r>
          </w:p>
        </w:tc>
      </w:tr>
    </w:tbl>
    <w:p w:rsidR="00891F08" w:rsidRPr="009F50AE" w:rsidRDefault="00E33704" w:rsidP="009F50AE">
      <w:pPr>
        <w:tabs>
          <w:tab w:val="left" w:pos="152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9F50AE">
        <w:rPr>
          <w:rFonts w:ascii="Times New Roman" w:hAnsi="Times New Roman"/>
          <w:b/>
          <w:sz w:val="20"/>
          <w:szCs w:val="20"/>
        </w:rPr>
        <w:tab/>
      </w:r>
    </w:p>
    <w:sectPr w:rsidR="00891F08" w:rsidRPr="009F50AE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1C1" w:rsidRDefault="00DA21C1" w:rsidP="00107589">
      <w:pPr>
        <w:spacing w:after="0" w:line="240" w:lineRule="auto"/>
      </w:pPr>
      <w:r>
        <w:separator/>
      </w:r>
    </w:p>
  </w:endnote>
  <w:endnote w:type="continuationSeparator" w:id="1">
    <w:p w:rsidR="00DA21C1" w:rsidRDefault="00DA21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1C1" w:rsidRDefault="00DA21C1" w:rsidP="00107589">
      <w:pPr>
        <w:spacing w:after="0" w:line="240" w:lineRule="auto"/>
      </w:pPr>
      <w:r>
        <w:separator/>
      </w:r>
    </w:p>
  </w:footnote>
  <w:footnote w:type="continuationSeparator" w:id="1">
    <w:p w:rsidR="00DA21C1" w:rsidRDefault="00DA21C1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1E7A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D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36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6B50"/>
    <w:rsid w:val="00912D01"/>
    <w:rsid w:val="00934878"/>
    <w:rsid w:val="009463F6"/>
    <w:rsid w:val="009731CC"/>
    <w:rsid w:val="009824BD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0AE"/>
    <w:rsid w:val="00A533B1"/>
    <w:rsid w:val="00A54377"/>
    <w:rsid w:val="00A62542"/>
    <w:rsid w:val="00A657E1"/>
    <w:rsid w:val="00A8025E"/>
    <w:rsid w:val="00AB03FB"/>
    <w:rsid w:val="00AF26FD"/>
    <w:rsid w:val="00B5583E"/>
    <w:rsid w:val="00B6221B"/>
    <w:rsid w:val="00B6262B"/>
    <w:rsid w:val="00B7696D"/>
    <w:rsid w:val="00B80DB6"/>
    <w:rsid w:val="00B86FC2"/>
    <w:rsid w:val="00BA00F4"/>
    <w:rsid w:val="00C04782"/>
    <w:rsid w:val="00C13B7E"/>
    <w:rsid w:val="00C270D3"/>
    <w:rsid w:val="00C56862"/>
    <w:rsid w:val="00C6795C"/>
    <w:rsid w:val="00C93A1A"/>
    <w:rsid w:val="00CA4B07"/>
    <w:rsid w:val="00CD280F"/>
    <w:rsid w:val="00CD4385"/>
    <w:rsid w:val="00CF3093"/>
    <w:rsid w:val="00D031EE"/>
    <w:rsid w:val="00D055BD"/>
    <w:rsid w:val="00D102FA"/>
    <w:rsid w:val="00D210B5"/>
    <w:rsid w:val="00D21713"/>
    <w:rsid w:val="00D3362A"/>
    <w:rsid w:val="00D54FA5"/>
    <w:rsid w:val="00D615E8"/>
    <w:rsid w:val="00D63D82"/>
    <w:rsid w:val="00D9007D"/>
    <w:rsid w:val="00DA21C1"/>
    <w:rsid w:val="00DA7E5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68EC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06B5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06B5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906B5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06B5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906B50"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906B5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06B5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906B50"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906B50"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06B5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06B5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06B5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06B5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06B5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06B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uiPriority w:val="99"/>
    <w:rsid w:val="00BA00F4"/>
    <w:pPr>
      <w:spacing w:after="0" w:line="240" w:lineRule="auto"/>
      <w:jc w:val="right"/>
    </w:pPr>
    <w:rPr>
      <w:rFonts w:cs="Arial Narrow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BA00F4"/>
  </w:style>
  <w:style w:type="character" w:customStyle="1" w:styleId="ra">
    <w:name w:val="ra"/>
    <w:basedOn w:val="Predvolenpsmoodseku"/>
    <w:rsid w:val="00BA00F4"/>
    <w:rPr>
      <w:rFonts w:cs="Times New Roman"/>
    </w:rPr>
  </w:style>
  <w:style w:type="character" w:customStyle="1" w:styleId="apple-converted-space">
    <w:name w:val="apple-converted-space"/>
    <w:basedOn w:val="Predvolenpsmoodseku"/>
    <w:rsid w:val="009824BD"/>
  </w:style>
  <w:style w:type="paragraph" w:styleId="truktradokumentu">
    <w:name w:val="Document Map"/>
    <w:basedOn w:val="Normlny"/>
    <w:link w:val="truktradokumentuChar"/>
    <w:uiPriority w:val="99"/>
    <w:rsid w:val="00A543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A543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64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lm%E1r&amp;MENO=J%E1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alm%E1r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1AC80-2D3B-4B22-B682-C8694EC6C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10</Pages>
  <Words>3036</Words>
  <Characters>17306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</cp:lastModifiedBy>
  <cp:revision>4</cp:revision>
  <cp:lastPrinted>2013-12-05T12:47:00Z</cp:lastPrinted>
  <dcterms:created xsi:type="dcterms:W3CDTF">2014-03-28T11:28:00Z</dcterms:created>
  <dcterms:modified xsi:type="dcterms:W3CDTF">2014-03-28T12:22:00Z</dcterms:modified>
</cp:coreProperties>
</file>