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</w:t>
      </w:r>
      <w:bookmarkStart w:id="0" w:name="_GoBack"/>
      <w:bookmarkEnd w:id="0"/>
      <w:r w:rsidRPr="0093379F">
        <w:rPr>
          <w:rFonts w:ascii="Arial" w:hAnsi="Arial" w:cs="Arial"/>
          <w:sz w:val="22"/>
          <w:szCs w:val="22"/>
        </w:rPr>
        <w:t>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Default="00295E93">
      <w:pPr>
        <w:rPr>
          <w:rFonts w:ascii="Arial" w:hAnsi="Arial" w:cs="Arial"/>
          <w:sz w:val="22"/>
          <w:szCs w:val="22"/>
        </w:rPr>
      </w:pPr>
    </w:p>
    <w:p w:rsidR="00936967" w:rsidRDefault="00936967">
      <w:pPr>
        <w:rPr>
          <w:rFonts w:ascii="Arial" w:hAnsi="Arial" w:cs="Arial"/>
          <w:b/>
          <w:sz w:val="22"/>
          <w:szCs w:val="22"/>
        </w:rPr>
      </w:pPr>
      <w:r w:rsidRPr="00936967">
        <w:rPr>
          <w:rFonts w:ascii="Arial" w:hAnsi="Arial" w:cs="Arial"/>
          <w:b/>
          <w:sz w:val="22"/>
          <w:szCs w:val="22"/>
        </w:rPr>
        <w:t>I. VŠEOBECNÉ INFORMÁCIE</w:t>
      </w:r>
    </w:p>
    <w:p w:rsidR="00936967" w:rsidRPr="00936967" w:rsidRDefault="00936967">
      <w:pPr>
        <w:rPr>
          <w:rFonts w:ascii="Arial" w:hAnsi="Arial" w:cs="Arial"/>
          <w:b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D36D54" w:rsidRPr="00D36D54" w:rsidTr="00D36D54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D36D54" w:rsidRPr="00D36D54" w:rsidRDefault="00D36D54" w:rsidP="00D36D54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D36D54">
              <w:rPr>
                <w:rFonts w:ascii="Arial" w:hAnsi="Arial" w:cs="Arial"/>
                <w:b/>
                <w:sz w:val="22"/>
                <w:szCs w:val="22"/>
              </w:rPr>
              <w:t>1.Základné informácie o účtovnej jednotke:</w:t>
            </w:r>
          </w:p>
        </w:tc>
      </w:tr>
      <w:tr w:rsidR="00D36D54" w:rsidRPr="0093379F" w:rsidTr="00D36D54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36D54" w:rsidRPr="0093379F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D36D54" w:rsidRPr="0093379F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6D54" w:rsidRPr="005C44A2" w:rsidTr="00D36D5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6D54" w:rsidRPr="005C44A2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C44A2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6D54" w:rsidRPr="005C44A2" w:rsidRDefault="00A028DD" w:rsidP="009B310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Style w:val="ra"/>
                <w:rFonts w:ascii="Arial" w:eastAsiaTheme="majorEastAsia" w:hAnsi="Arial" w:cs="Arial"/>
                <w:sz w:val="22"/>
                <w:szCs w:val="22"/>
              </w:rPr>
              <w:t>Frigga</w:t>
            </w:r>
            <w:proofErr w:type="spellEnd"/>
            <w:r w:rsidR="009B310E">
              <w:rPr>
                <w:rStyle w:val="ra"/>
                <w:rFonts w:ascii="Arial" w:eastAsiaTheme="majorEastAsia" w:hAnsi="Arial" w:cs="Arial"/>
                <w:sz w:val="22"/>
                <w:szCs w:val="22"/>
              </w:rPr>
              <w:t xml:space="preserve">, </w:t>
            </w:r>
            <w:r w:rsidR="00D36D54" w:rsidRPr="005C44A2">
              <w:rPr>
                <w:rStyle w:val="ra"/>
                <w:rFonts w:ascii="Arial" w:eastAsiaTheme="majorEastAsia" w:hAnsi="Arial" w:cs="Arial"/>
                <w:sz w:val="22"/>
                <w:szCs w:val="22"/>
              </w:rPr>
              <w:t>s. r. o.</w:t>
            </w:r>
          </w:p>
        </w:tc>
      </w:tr>
      <w:tr w:rsidR="00D36D54" w:rsidRPr="005C44A2" w:rsidTr="00D36D5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6D54" w:rsidRPr="005C44A2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C44A2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6D54" w:rsidRPr="005C44A2" w:rsidRDefault="00A028DD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eastAsiaTheme="majorEastAsia" w:hAnsi="Arial" w:cs="Arial"/>
                <w:sz w:val="22"/>
                <w:szCs w:val="22"/>
              </w:rPr>
              <w:t>Gogoľova 7, 851 01 Bratislava</w:t>
            </w:r>
          </w:p>
        </w:tc>
      </w:tr>
      <w:tr w:rsidR="00D36D54" w:rsidRPr="005C44A2" w:rsidTr="00D36D5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6D54" w:rsidRPr="005C44A2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C44A2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36D54" w:rsidRPr="005C44A2" w:rsidRDefault="00A028DD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26.10.2004</w:t>
            </w:r>
          </w:p>
        </w:tc>
      </w:tr>
      <w:tr w:rsidR="00D36D54" w:rsidRPr="005C44A2" w:rsidTr="00D36D5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36D54" w:rsidRPr="005C44A2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C44A2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36D54" w:rsidRPr="005C44A2" w:rsidRDefault="009B310E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A028DD">
              <w:rPr>
                <w:rFonts w:ascii="Arial" w:hAnsi="Arial" w:cs="Arial"/>
                <w:sz w:val="22"/>
                <w:szCs w:val="22"/>
              </w:rPr>
              <w:t>5.11.2004</w:t>
            </w:r>
          </w:p>
        </w:tc>
      </w:tr>
    </w:tbl>
    <w:p w:rsidR="00D36D54" w:rsidRPr="0093379F" w:rsidRDefault="00D36D54" w:rsidP="00D36D54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D36D54" w:rsidRPr="00D36D54" w:rsidRDefault="00D36D54" w:rsidP="00D36D54">
      <w:pPr>
        <w:jc w:val="both"/>
        <w:rPr>
          <w:rFonts w:ascii="Arial" w:hAnsi="Arial" w:cs="Arial"/>
          <w:sz w:val="22"/>
          <w:szCs w:val="22"/>
        </w:rPr>
      </w:pPr>
      <w:r w:rsidRPr="00D36D54">
        <w:rPr>
          <w:rFonts w:ascii="Arial" w:hAnsi="Arial" w:cs="Arial"/>
          <w:sz w:val="22"/>
          <w:szCs w:val="22"/>
        </w:rPr>
        <w:t>Opis hospodárskej činnosti účtovnej jednotky:</w:t>
      </w:r>
    </w:p>
    <w:p w:rsidR="00A028DD" w:rsidRDefault="00A028DD" w:rsidP="00D36D54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D36D54" w:rsidRDefault="00D36D54" w:rsidP="00D36D54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A028DD">
        <w:rPr>
          <w:rFonts w:ascii="Arial" w:hAnsi="Arial" w:cs="Arial"/>
          <w:sz w:val="22"/>
          <w:szCs w:val="22"/>
        </w:rPr>
        <w:t>tlmočníctvo a prekladateľstvo</w:t>
      </w:r>
      <w:r>
        <w:rPr>
          <w:rFonts w:ascii="Arial" w:hAnsi="Arial" w:cs="Arial"/>
          <w:sz w:val="22"/>
          <w:szCs w:val="22"/>
        </w:rPr>
        <w:t>,</w:t>
      </w:r>
    </w:p>
    <w:p w:rsidR="00D36D54" w:rsidRDefault="00D36D54" w:rsidP="00D36D54">
      <w:pPr>
        <w:spacing w:after="120"/>
        <w:jc w:val="both"/>
        <w:rPr>
          <w:rFonts w:ascii="Arial" w:hAnsi="Arial" w:cs="Arial"/>
          <w:b/>
          <w:sz w:val="22"/>
          <w:szCs w:val="22"/>
        </w:rPr>
      </w:pPr>
    </w:p>
    <w:p w:rsidR="00D36D54" w:rsidRPr="00D36D54" w:rsidRDefault="00D36D54" w:rsidP="00D36D54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2. </w:t>
      </w:r>
      <w:r w:rsidRPr="00D36D54">
        <w:rPr>
          <w:rFonts w:ascii="Arial" w:hAnsi="Arial" w:cs="Arial"/>
          <w:b/>
          <w:sz w:val="22"/>
          <w:szCs w:val="22"/>
        </w:rPr>
        <w:t>Informácie o počte zamestnancov</w:t>
      </w:r>
    </w:p>
    <w:p w:rsidR="00D36D54" w:rsidRPr="0093379F" w:rsidRDefault="00D36D54" w:rsidP="00D36D54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36D54" w:rsidRPr="0093379F" w:rsidTr="00D36D54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D36D54" w:rsidRPr="0093379F" w:rsidRDefault="00D36D54" w:rsidP="00D36D54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D36D54" w:rsidRPr="0093379F" w:rsidRDefault="00D36D54" w:rsidP="00D36D5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D36D54" w:rsidRPr="0093379F" w:rsidRDefault="00D36D54" w:rsidP="00D36D5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36D54" w:rsidRPr="0093379F" w:rsidTr="00D36D54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36D54" w:rsidRPr="0093379F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6D54" w:rsidRPr="0093379F" w:rsidRDefault="00D36D54" w:rsidP="009663C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663C2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6D54" w:rsidRPr="0093379F" w:rsidRDefault="00D36D54" w:rsidP="009663C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663C2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36D54" w:rsidRPr="0093379F" w:rsidTr="00D36D54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D36D54" w:rsidRPr="0093379F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6D54" w:rsidRPr="0093379F" w:rsidRDefault="009663C2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D36D54" w:rsidRPr="0093379F" w:rsidRDefault="009663C2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36D54" w:rsidRPr="0093379F" w:rsidTr="00D36D54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D36D54" w:rsidRPr="0093379F" w:rsidRDefault="00D36D54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36D54" w:rsidRPr="0093379F" w:rsidRDefault="009663C2" w:rsidP="00D36D5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D36D54" w:rsidRPr="0093379F" w:rsidRDefault="00D36D54" w:rsidP="009663C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663C2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3. </w:t>
      </w: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Neobmedzené ručenie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 xml:space="preserve">Spoločnosť nie je neobmedzene ručiacim spoločníkom v iných spoločnostiach podľa § 56 ods. 5 Obchodného zákonníka. 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4. </w:t>
      </w: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Právny dôvod zostavenia účtovnej závierky</w:t>
      </w: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 xml:space="preserve">Účtovná závierka Spoločnosti k 31. decembru 2013 je zostavená ako riadna účtovná závierka podľa § 17 ods. 6 zákona NR SR č. 431/2002 Z. z. o účtovníctve, za účtovné obdobie od 01. januára 2013 do 31. decembra 2013. 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5. </w:t>
      </w: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Dátum schválenia účtovnej závierky za bezprostredne predchádzajúce účtovné obdobie príslušným orgánom účtovnej jednotky:</w:t>
      </w:r>
    </w:p>
    <w:p w:rsidR="00D36D54" w:rsidRPr="00D36D54" w:rsidRDefault="00D36D54" w:rsidP="00D36D54">
      <w:pPr>
        <w:jc w:val="both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 w:cs="Arial"/>
          <w:bCs/>
          <w:iCs/>
          <w:sz w:val="17"/>
          <w:szCs w:val="28"/>
          <w:lang w:eastAsia="en-US"/>
        </w:rPr>
        <w:t xml:space="preserve">Účtovná závierka za bezprostredne predchádzajúce účtovné obdobie bola schválená dňa </w:t>
      </w:r>
      <w:r w:rsidR="009663C2">
        <w:rPr>
          <w:rFonts w:ascii="Verdana" w:hAnsi="Verdana" w:cs="Arial"/>
          <w:bCs/>
          <w:iCs/>
          <w:sz w:val="17"/>
          <w:szCs w:val="28"/>
          <w:lang w:eastAsia="en-US"/>
        </w:rPr>
        <w:t>16.2.2013</w:t>
      </w:r>
      <w:r w:rsidRPr="00D36D54">
        <w:rPr>
          <w:rFonts w:ascii="Verdana" w:hAnsi="Verdana" w:cs="Arial"/>
          <w:bCs/>
          <w:iCs/>
          <w:sz w:val="17"/>
          <w:szCs w:val="28"/>
          <w:lang w:eastAsia="en-US"/>
        </w:rPr>
        <w:t>.</w:t>
      </w: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br w:type="page"/>
      </w:r>
      <w:r w:rsidR="00936967">
        <w:rPr>
          <w:rFonts w:ascii="Verdana" w:hAnsi="Verdana" w:cs="Arial"/>
          <w:b/>
          <w:bCs/>
          <w:iCs/>
          <w:sz w:val="17"/>
          <w:szCs w:val="28"/>
          <w:lang w:eastAsia="en-US"/>
        </w:rPr>
        <w:lastRenderedPageBreak/>
        <w:t xml:space="preserve">6. </w:t>
      </w: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Členovia orgánov spoločnosti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394"/>
      </w:tblGrid>
      <w:tr w:rsidR="00D36D54" w:rsidRPr="00D36D54" w:rsidTr="00D36D54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bookmarkStart w:id="1" w:name="OLE_LINK1"/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Meno</w:t>
            </w:r>
          </w:p>
        </w:tc>
      </w:tr>
      <w:tr w:rsidR="00D36D54" w:rsidRPr="00D36D54" w:rsidTr="00D36D54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c</w:t>
            </w:r>
          </w:p>
        </w:tc>
      </w:tr>
      <w:tr w:rsidR="00D36D54" w:rsidRPr="00D36D54" w:rsidTr="00D36D54">
        <w:trPr>
          <w:cantSplit/>
          <w:trHeight w:val="257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both"/>
              <w:rPr>
                <w:rFonts w:ascii="Verdana" w:hAnsi="Verdana"/>
                <w:snapToGrid w:val="0"/>
                <w:sz w:val="15"/>
                <w:szCs w:val="20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</w:rPr>
              <w:t>Konateľ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D36D54" w:rsidRPr="00D36D54" w:rsidRDefault="00D36D54" w:rsidP="00D36D54">
            <w:pPr>
              <w:jc w:val="both"/>
              <w:rPr>
                <w:rFonts w:ascii="Verdana" w:hAnsi="Verdana"/>
                <w:snapToGrid w:val="0"/>
                <w:sz w:val="15"/>
                <w:szCs w:val="20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</w:rPr>
              <w:t>konateľ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D36D54" w:rsidRPr="00D36D54" w:rsidRDefault="008F19DA" w:rsidP="00D36D54">
            <w:pPr>
              <w:jc w:val="both"/>
              <w:rPr>
                <w:rFonts w:ascii="Verdana" w:hAnsi="Verdana"/>
                <w:snapToGrid w:val="0"/>
                <w:sz w:val="15"/>
                <w:szCs w:val="20"/>
                <w:highlight w:val="yellow"/>
              </w:rPr>
            </w:pPr>
            <w:proofErr w:type="spellStart"/>
            <w:r>
              <w:rPr>
                <w:rFonts w:ascii="Verdana" w:hAnsi="Verdana"/>
                <w:snapToGrid w:val="0"/>
                <w:sz w:val="15"/>
                <w:szCs w:val="20"/>
              </w:rPr>
              <w:t>PhDR</w:t>
            </w:r>
            <w:proofErr w:type="spellEnd"/>
            <w:r>
              <w:rPr>
                <w:rFonts w:ascii="Verdana" w:hAnsi="Verdana"/>
                <w:snapToGrid w:val="0"/>
                <w:sz w:val="15"/>
                <w:szCs w:val="20"/>
              </w:rPr>
              <w:t xml:space="preserve">. Dagmar </w:t>
            </w:r>
            <w:proofErr w:type="spellStart"/>
            <w:r>
              <w:rPr>
                <w:rFonts w:ascii="Verdana" w:hAnsi="Verdana"/>
                <w:snapToGrid w:val="0"/>
                <w:sz w:val="15"/>
                <w:szCs w:val="20"/>
              </w:rPr>
              <w:t>Sedlárová</w:t>
            </w:r>
            <w:proofErr w:type="spellEnd"/>
          </w:p>
        </w:tc>
      </w:tr>
      <w:bookmarkEnd w:id="1"/>
    </w:tbl>
    <w:p w:rsidR="00D36D54" w:rsidRPr="00D36D54" w:rsidRDefault="00D36D54" w:rsidP="00D36D54">
      <w:pPr>
        <w:jc w:val="both"/>
        <w:rPr>
          <w:rFonts w:ascii="Verdana" w:hAnsi="Verdana"/>
          <w:i/>
          <w:color w:val="FF0000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936967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7. </w:t>
      </w:r>
      <w:r w:rsidR="00D36D54"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Štruktúra spoločníkov a akcionárov a ich podiel na základnom imaní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bookmarkStart w:id="2" w:name="_MON_1389597090"/>
    <w:bookmarkStart w:id="3" w:name="_MON_1389596630"/>
    <w:bookmarkStart w:id="4" w:name="_MON_1389596823"/>
    <w:bookmarkEnd w:id="2"/>
    <w:bookmarkEnd w:id="3"/>
    <w:bookmarkEnd w:id="4"/>
    <w:bookmarkStart w:id="5" w:name="_MON_1389597047"/>
    <w:bookmarkEnd w:id="5"/>
    <w:p w:rsidR="00D36D54" w:rsidRPr="00D36D54" w:rsidRDefault="008F19DA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object w:dxaOrig="9194" w:dyaOrig="259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9.75pt;height:131.25pt" o:ole="" o:bordertopcolor="this" o:borderleftcolor="this">
            <v:imagedata r:id="rId9" o:title=""/>
            <w10:bordertop type="single" width="4"/>
            <w10:borderleft type="single" width="4"/>
          </v:shape>
          <o:OLEObject Type="Embed" ProgID="Excel.Sheet.8" ShapeID="_x0000_i1025" DrawAspect="Content" ObjectID="_1457096162" r:id="rId10"/>
        </w:object>
      </w:r>
    </w:p>
    <w:p w:rsidR="00D36D54" w:rsidRPr="00D36D54" w:rsidRDefault="00936967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8. </w:t>
      </w:r>
      <w:r w:rsidR="00D36D54"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Konsolidovaná účtovná závierka</w:t>
      </w:r>
    </w:p>
    <w:p w:rsidR="00D36D54" w:rsidRPr="00D36D54" w:rsidRDefault="00D36D54" w:rsidP="00D36D54">
      <w:pPr>
        <w:jc w:val="both"/>
        <w:rPr>
          <w:rFonts w:ascii="Verdana" w:hAnsi="Verdana"/>
          <w:b/>
          <w:sz w:val="20"/>
          <w:szCs w:val="20"/>
          <w:lang w:eastAsia="en-US"/>
        </w:rPr>
      </w:pPr>
    </w:p>
    <w:p w:rsidR="00D36D54" w:rsidRDefault="009663C2" w:rsidP="00936967">
      <w:pPr>
        <w:jc w:val="both"/>
        <w:rPr>
          <w:rFonts w:ascii="Verdana" w:hAnsi="Verdana"/>
          <w:sz w:val="17"/>
          <w:szCs w:val="20"/>
          <w:lang w:eastAsia="en-US"/>
        </w:rPr>
      </w:pPr>
      <w:r>
        <w:rPr>
          <w:rFonts w:ascii="Verdana" w:hAnsi="Verdana"/>
          <w:sz w:val="17"/>
          <w:szCs w:val="20"/>
          <w:lang w:eastAsia="en-US"/>
        </w:rPr>
        <w:t>Nie je.</w:t>
      </w:r>
    </w:p>
    <w:p w:rsidR="00936967" w:rsidRDefault="00936967" w:rsidP="00936967">
      <w:pPr>
        <w:jc w:val="both"/>
        <w:rPr>
          <w:rFonts w:ascii="Verdana" w:hAnsi="Verdana"/>
          <w:sz w:val="17"/>
          <w:szCs w:val="20"/>
          <w:highlight w:val="yellow"/>
          <w:lang w:eastAsia="en-US"/>
        </w:rPr>
      </w:pPr>
    </w:p>
    <w:p w:rsidR="00936967" w:rsidRPr="00D36D54" w:rsidRDefault="00936967" w:rsidP="00936967">
      <w:pPr>
        <w:jc w:val="both"/>
        <w:rPr>
          <w:rFonts w:ascii="Verdana" w:hAnsi="Verdana"/>
          <w:sz w:val="17"/>
          <w:szCs w:val="20"/>
          <w:highlight w:val="yellow"/>
          <w:lang w:eastAsia="en-US"/>
        </w:rPr>
      </w:pPr>
    </w:p>
    <w:p w:rsidR="00D36D54" w:rsidRPr="00936967" w:rsidRDefault="00D36D54" w:rsidP="00936967">
      <w:pPr>
        <w:pStyle w:val="Odsekzoznamu"/>
        <w:keepNext/>
        <w:numPr>
          <w:ilvl w:val="0"/>
          <w:numId w:val="39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bookmarkStart w:id="6" w:name="_Ref150575427"/>
      <w:r w:rsidRPr="00936967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POUŽITÉ ÚČTOVNÉ ZÁSADY A ÚČTOVNÉ METÓDY</w:t>
      </w:r>
      <w:bookmarkEnd w:id="6"/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Účtovná závierka za rok 201</w:t>
      </w:r>
      <w:r w:rsidR="00936967">
        <w:rPr>
          <w:rFonts w:ascii="Verdana" w:hAnsi="Verdana"/>
          <w:sz w:val="17"/>
          <w:szCs w:val="20"/>
          <w:lang w:eastAsia="en-US"/>
        </w:rPr>
        <w:t>3</w:t>
      </w:r>
      <w:r w:rsidRPr="00D36D54">
        <w:rPr>
          <w:rFonts w:ascii="Verdana" w:hAnsi="Verdana"/>
          <w:sz w:val="17"/>
          <w:szCs w:val="20"/>
          <w:lang w:eastAsia="en-US"/>
        </w:rPr>
        <w:t xml:space="preserve"> bola spracovaná za predpokladu nepretržitého pokračovania činnosti. 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Moment zaúčtovania výnosov – výnosy sa účtujú pri splnení dodacích podmienok, nakoľko v tomto okamihu prechádzajú na odberateľa významné riziká a vlastnícke práva.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:rsidR="00D36D54" w:rsidRPr="00D36D54" w:rsidRDefault="00D36D54" w:rsidP="00D36D54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9"/>
        </w:numPr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bookmarkStart w:id="7" w:name="_Ref150575436"/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Spôsob ocenenia jednotlivých zložiek majetku a záväzkov – prvé ocenenie</w:t>
      </w:r>
      <w:bookmarkEnd w:id="7"/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lastRenderedPageBreak/>
        <w:t>Pri obstaraní majetku sa uplatňuje princíp obstarávacích cien (t. j. historických cien). Ocenenie jednotlivých položiek majetku a záväzkov je takéto:</w:t>
      </w:r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Dlhodobý nehmotný majetok vytvorený vlastnou činnosťou – vlastnými nákladmi alebo reprodukčnou obstarávacou cenou, ak sú vlastné náklady vyššie ako reprodukčná obstarávacia cena tohto majetku. Vlastné náklady zahŕňajú priame náklady vynaložené na výrobu alebo inú činnosť a nepriame náklady, ktoré sa vzťahujú na výrobu alebo inú činnosť. Reprodukčná obstarávacia cena je cena, za ktorú by sa majetok obstaral v čase, keď sa o ňom účtuje.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Dlhodobý nehmotný a hmotný majetok obstaraný iným spôsobom – reprodukčnou obstarávacou cenou v prípade bezodplatného nadobudnutia majetku alebo majetku novo zisteného pri inventarizácii, t. j. cenou, za ktorú by sa majetok obstaral v čase, keď sa o ňom účtuje.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ostatných dlhodobých záväzkoch (r. 103 súvahy) a krátkodobá časť v ostatných záväzkoch (r. 114 súvahy). Nerealizované finančné náklady, ktoré predstavujú rozdiel medzi celkovou sumou dohodnutých platieb a reálnou 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:rsidR="00D36D54" w:rsidRPr="00D36D54" w:rsidRDefault="00D36D54" w:rsidP="00D36D54">
      <w:pPr>
        <w:ind w:left="539"/>
        <w:jc w:val="both"/>
        <w:rPr>
          <w:rFonts w:ascii="Verdana" w:hAnsi="Verdana"/>
          <w:i/>
          <w:color w:val="FF0000"/>
          <w:sz w:val="17"/>
          <w:szCs w:val="20"/>
          <w:lang w:eastAsia="en-US"/>
        </w:rPr>
      </w:pPr>
    </w:p>
    <w:p w:rsidR="00D36D54" w:rsidRP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Majetok prenajímaný formou finančného prenájmu sa v súvahe vykazuje ako dlhodobé iné pohľadávky (r. 045 súvahy) a krátkodobá časť v krátkodobých iných pohľadávkach (r. 054 súvahy) vo výške istiny (celková suma dohodnutých platieb znížená o nerealizované finančné výnosy). Nerealizované finančné výnosy, ktoré predstavujú rozdiel medzi celkovou sumou dohodnutých platieb a istinou, sa účtujú vo výkaze ziskov a strát počas doby trvania prenájmu použitím metódy efektívnej úrokovej miery.</w:t>
      </w:r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Dlhodobý finančný majetok – obstarávacou cenou. Obstarávacia cena predstavuje cenu, za ktorú sa majetok obstaral, a náklady súvisiace s jeho obstaraním (poplatky a provízie maklérom, poradcom, burzám).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Zásoby obstarané kúpou:</w:t>
      </w:r>
    </w:p>
    <w:p w:rsidR="00D36D54" w:rsidRPr="00D36D54" w:rsidRDefault="00D36D54" w:rsidP="00D36D54">
      <w:pPr>
        <w:numPr>
          <w:ilvl w:val="0"/>
          <w:numId w:val="12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Nakupovaný materiál – obstarávacou cenou. Pri úbytku rovnakého druhu zásob sa používa metóda FIFO. Do vedľajších nákladov vstupuje clo, prepravné a provízie. Vedľajšie náklady sa rozvrhujú ako odchýlka podľa podielu súčtu stavu a prírastku odchýlky na súčte stavu a prírastku zásob.</w:t>
      </w:r>
    </w:p>
    <w:p w:rsidR="00D36D54" w:rsidRPr="00D36D54" w:rsidRDefault="00D36D54" w:rsidP="00D36D54">
      <w:pPr>
        <w:numPr>
          <w:ilvl w:val="0"/>
          <w:numId w:val="12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Nakupovaný tovar – obstarávacou cenou. Pri úbytku rovnakého druhu zásob sa používa metóda váženého aritmetického priemeru. Do vedľajších nákladov patrí prepravné, clo a provízie.</w:t>
      </w:r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Zásoby vytvorené vlastnou činnosťou:</w:t>
      </w:r>
    </w:p>
    <w:p w:rsidR="00D36D54" w:rsidRPr="00D36D54" w:rsidRDefault="00D36D54" w:rsidP="00D36D54">
      <w:pPr>
        <w:numPr>
          <w:ilvl w:val="0"/>
          <w:numId w:val="13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Zásoby obstarané iným spôsobom – reprodukčnou obstarávacou cenou v prípade bezodplatného nadobudnutia zásob alebo zásob novo zistených pri inventarizácii, t. j. cenou, za ktorú by sa majetok obstaral v čase, keď sa o ňom účtuje.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936967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936967">
        <w:rPr>
          <w:rFonts w:ascii="Verdana" w:hAnsi="Verdana"/>
          <w:sz w:val="17"/>
          <w:szCs w:val="20"/>
          <w:lang w:eastAsia="en-US"/>
        </w:rPr>
        <w:t>Zákazková výroba – v zmluvách o zákazkách sa určujú podmienky a vzťahy jednotlivých zmlúv, ktoré sa uzatvárajú vo fixných cenách alebo v skutočných nákladoch plus fixná marža.</w:t>
      </w:r>
    </w:p>
    <w:p w:rsidR="00D36D54" w:rsidRPr="00936967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936967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  <w:r w:rsidRPr="00936967">
        <w:rPr>
          <w:rFonts w:ascii="Verdana" w:hAnsi="Verdana"/>
          <w:sz w:val="17"/>
          <w:szCs w:val="20"/>
          <w:lang w:eastAsia="en-US"/>
        </w:rPr>
        <w:t xml:space="preserve">Výnosy zo zákazky zahŕňajú cenu dohodnutú v zmluve. Súčasťou týchto výnosov sú aj zmeny ceny dohodnutej v zmluve, ak sa dodatočne dohodne iný rozsah prác, nároky a stimulačné doplatky. Náklady na zákazku na účely účtovania sú priame náklady súvisiace so zákazkou, nepriame náklady, ktoré sa dajú priradiť k zákazke, a iné náklady, napríklad správna réžia, náklady na výskum a vývoj, ktoré sa dajú priradiť k zákazke odo dňa zabezpečenia zmluvy až po jej úplné splnenie. </w:t>
      </w:r>
    </w:p>
    <w:p w:rsidR="00D36D54" w:rsidRPr="00936967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936967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  <w:r w:rsidRPr="00936967">
        <w:rPr>
          <w:rFonts w:ascii="Verdana" w:hAnsi="Verdana"/>
          <w:sz w:val="17"/>
          <w:szCs w:val="20"/>
          <w:lang w:eastAsia="en-US"/>
        </w:rPr>
        <w:lastRenderedPageBreak/>
        <w:t xml:space="preserve">Na účely účtovania o zákazke sa zostavuje jej rozpočet. Ak sa z uskutočnenia zákazky očakáva strata, pretože rozpočtované náklady na zákazku sú vyššie ako rozpočtované výnosy zo zákazky, zohľadní sa táto strata v účtovnom období, v ktorom sa zákazka začala uskutočňovať, a to vytvorením opravnej položky (do výšky aktivovaných zásob) a rezervy (vo výške straty nad výšku aktivovaných zásob). </w:t>
      </w:r>
    </w:p>
    <w:p w:rsidR="00D36D54" w:rsidRPr="00936967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  <w:r w:rsidRPr="00936967">
        <w:rPr>
          <w:rFonts w:ascii="Verdana" w:hAnsi="Verdana"/>
          <w:sz w:val="17"/>
          <w:szCs w:val="20"/>
          <w:lang w:eastAsia="en-US"/>
        </w:rPr>
        <w:t>Výnosy zo zákazky sa účtujú podľa metódy percenta dokončenia zákazky bez ohľadu na to, či doteraz uskutočnené práce už boli fakturované a v akej výške. Percento dokončenia zákazky sa zisťuje ako pomer skutočne vynaložených nákladov na zákazku k celkovým rozpočtovaným nákladom na zákazku.</w:t>
      </w:r>
    </w:p>
    <w:p w:rsidR="00936967" w:rsidRPr="00D36D54" w:rsidRDefault="00936967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Pohľadávky:</w:t>
      </w:r>
    </w:p>
    <w:p w:rsidR="00D36D54" w:rsidRPr="00D36D54" w:rsidRDefault="00D36D54" w:rsidP="00D36D54">
      <w:pPr>
        <w:numPr>
          <w:ilvl w:val="0"/>
          <w:numId w:val="14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pri ich vzniku alebo bezodplatnom nadobudnutí – menovitou hodnotou,</w:t>
      </w:r>
    </w:p>
    <w:p w:rsidR="00D36D54" w:rsidRPr="00D36D54" w:rsidRDefault="00D36D54" w:rsidP="00D36D54">
      <w:pPr>
        <w:numPr>
          <w:ilvl w:val="0"/>
          <w:numId w:val="14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pri odplatnom nadobudnutí (postúpení) alebo nadobudnutí vkladom do základného imania – obstarávacou cenou.</w:t>
      </w:r>
    </w:p>
    <w:p w:rsidR="00D36D54" w:rsidRP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Pri dlhodobých pohľadávkach a dlhodobých pôžičkách sa uvádza opravná položka v stĺpci korekcia, čím sa upravuje hodnota tejto pohľadávky a pôžičky na jej súčasnú hodnotu, napríklad metódou efektívnej úrokovej miery. </w:t>
      </w:r>
    </w:p>
    <w:p w:rsidR="00D36D54" w:rsidRP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Krátkodobý finančný majetok – obstarávacou cenou. Obstarávacia cena je cena, za ktorú sa majetok obstaral, a náklady súvisiace s jeho obstaraním (poplatky a provízie maklérom, poradcom, burzám).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Časové rozlíšenie na strane aktív súvahy – očakávanou menovitou hodnotou.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Záväzky:</w:t>
      </w:r>
    </w:p>
    <w:p w:rsidR="00D36D54" w:rsidRPr="00D36D54" w:rsidRDefault="00D36D54" w:rsidP="00D36D54">
      <w:pPr>
        <w:numPr>
          <w:ilvl w:val="0"/>
          <w:numId w:val="15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pri ich vzniku – menovitou hodnotou,</w:t>
      </w:r>
    </w:p>
    <w:p w:rsidR="00D36D54" w:rsidRPr="00D36D54" w:rsidRDefault="00D36D54" w:rsidP="00D36D54">
      <w:pPr>
        <w:numPr>
          <w:ilvl w:val="0"/>
          <w:numId w:val="15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pri prevzatí – obstarávacou cenou.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Rezervy – v očakávanej výške záväzku alebo </w:t>
      </w:r>
      <w:proofErr w:type="spellStart"/>
      <w:r w:rsidRPr="00D36D54">
        <w:rPr>
          <w:rFonts w:ascii="Verdana" w:hAnsi="Verdana"/>
          <w:sz w:val="17"/>
          <w:szCs w:val="20"/>
          <w:lang w:eastAsia="en-US"/>
        </w:rPr>
        <w:t>poistnomatematickými</w:t>
      </w:r>
      <w:proofErr w:type="spellEnd"/>
      <w:r w:rsidRPr="00D36D54">
        <w:rPr>
          <w:rFonts w:ascii="Verdana" w:hAnsi="Verdana"/>
          <w:sz w:val="17"/>
          <w:szCs w:val="20"/>
          <w:lang w:eastAsia="en-US"/>
        </w:rPr>
        <w:t xml:space="preserve"> metódami.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Dlhopisy, pôžičky, úvery: </w:t>
      </w:r>
    </w:p>
    <w:p w:rsidR="00D36D54" w:rsidRPr="00D36D54" w:rsidRDefault="00D36D54" w:rsidP="00D36D54">
      <w:pPr>
        <w:numPr>
          <w:ilvl w:val="0"/>
          <w:numId w:val="16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pri ich vzniku – menovitou hodnotou,</w:t>
      </w:r>
    </w:p>
    <w:p w:rsidR="00D36D54" w:rsidRPr="00D36D54" w:rsidRDefault="00D36D54" w:rsidP="00D36D54">
      <w:pPr>
        <w:numPr>
          <w:ilvl w:val="0"/>
          <w:numId w:val="16"/>
        </w:num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pri prevzatí – obstarávacou cenou.</w:t>
      </w:r>
    </w:p>
    <w:p w:rsidR="00D36D54" w:rsidRPr="00D36D54" w:rsidRDefault="00D36D54" w:rsidP="00D36D54">
      <w:pPr>
        <w:ind w:left="539"/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Úroky z dlhopisov, pôžičiek a úverov sa účtujú do obdobia, s ktorým časovo a vecne súvisia.</w:t>
      </w:r>
    </w:p>
    <w:p w:rsidR="00D36D54" w:rsidRPr="00D36D54" w:rsidRDefault="00D36D54" w:rsidP="00D36D54">
      <w:pPr>
        <w:ind w:left="539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Časové rozlíšenie na strane pasív súvahy – očakávanou menovitou hodnotou.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Deriváty – nakúpené deriváty sa oceňujú obstarávacou cenou.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Prenajatý majetok a majetok obstaraný na základe zmluvy o kúpe prenajatej veci uzatvorenej do 31. decembra 2003 sa v súvahe nevykazuje, je vedený na podsúvahovom účte v obstarávacej cene. Akontácia pri finančnom lízingu sa časovo rozlišuje a rozpúšťa do nákladov počas doby prenájmu.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Majetok obstaraný v privatizácii – zostatkovou cenou z účtovníctva privatizovaného subjektu. Rozdiel medzi vydraženou cenou a účtovnou hodnotou majetku sa zaúčtoval na účet 097 – Opravná položka k nadobudnutému majetku, ktorá sa odpisuje do nákladov pravidelne počas 15 rokov od nadobudnutia majetku.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bookmarkStart w:id="8" w:name="_Ref150575442"/>
      <w:r w:rsidRPr="00D36D54">
        <w:rPr>
          <w:rFonts w:ascii="Verdana" w:hAnsi="Verdana"/>
          <w:sz w:val="17"/>
          <w:szCs w:val="20"/>
          <w:lang w:eastAsia="en-US"/>
        </w:rPr>
        <w:t>Emisné kvóty – pridelené emisné kvóty sa účtujú do krátkodobého finančného majetku so súvzťažným zápisom v prospech výnosov budúcich období, a to v ocenení reprodukčnou obstarávacou cenou v deň ich pripísania na účet kvót v registri. Zúčtovanie výnosov budúcich období sa účtuje v prospech ostatných výnosov z hospodárskej činnosti v časovej a vecnej súvislosti s použitím bezodplatne pridelených emisných kvót.</w:t>
      </w:r>
      <w:bookmarkEnd w:id="8"/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Daň z príjmov splatná – podľa slovenského zákona o daniach z príjmov sa splatné dane z príjmov určujú z účtovného zisku pri sadzbe </w:t>
      </w:r>
      <w:r w:rsidRPr="00F37C86">
        <w:rPr>
          <w:rFonts w:ascii="Verdana" w:hAnsi="Verdana"/>
          <w:sz w:val="17"/>
          <w:szCs w:val="20"/>
          <w:highlight w:val="red"/>
          <w:lang w:eastAsia="en-US"/>
        </w:rPr>
        <w:t xml:space="preserve">19 </w:t>
      </w:r>
      <w:r w:rsidRPr="00D36D54">
        <w:rPr>
          <w:rFonts w:ascii="Verdana" w:hAnsi="Verdana"/>
          <w:sz w:val="17"/>
          <w:szCs w:val="20"/>
          <w:lang w:eastAsia="en-US"/>
        </w:rPr>
        <w:t>% po úpravách o niektoré položky na daňové účely.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Pr="00F37C86">
        <w:rPr>
          <w:rFonts w:ascii="Verdana" w:hAnsi="Verdana"/>
          <w:sz w:val="17"/>
          <w:szCs w:val="20"/>
          <w:highlight w:val="red"/>
          <w:lang w:eastAsia="en-US"/>
        </w:rPr>
        <w:t xml:space="preserve">19 </w:t>
      </w:r>
      <w:r w:rsidRPr="00D36D54">
        <w:rPr>
          <w:rFonts w:ascii="Verdana" w:hAnsi="Verdana"/>
          <w:sz w:val="17"/>
          <w:szCs w:val="20"/>
          <w:lang w:eastAsia="en-US"/>
        </w:rPr>
        <w:t>%.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0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Dotácie poskytnuté na obstaranie dlhodobého majetku sa účtujú ako výnosy budúcich období a rozpúšťajú sa do výnosov v časovej a vecnej súvislosti so zaúčtovaním odpisov z dlhodobého </w:t>
      </w:r>
      <w:r w:rsidRPr="00D36D54">
        <w:rPr>
          <w:rFonts w:ascii="Verdana" w:hAnsi="Verdana"/>
          <w:sz w:val="17"/>
          <w:szCs w:val="20"/>
          <w:lang w:eastAsia="en-US"/>
        </w:rPr>
        <w:lastRenderedPageBreak/>
        <w:t>hmotného majetku, na obstaranie ktorého bola dotácia poskytnutá, od doby zaradenia tohto majetku do užívania. Uvedením do užívania sa rozumie aj vydanie povolenia na predčasné užívanie stavby alebo rozhodnutia o dočasnom užívaní stavby na skúšobnú prevádzku.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524152" w:rsidRDefault="00524152" w:rsidP="00524152">
      <w:pPr>
        <w:pStyle w:val="Nadpis2"/>
        <w:tabs>
          <w:tab w:val="num" w:pos="539"/>
        </w:tabs>
        <w:ind w:left="539" w:hanging="539"/>
        <w:jc w:val="both"/>
        <w:rPr>
          <w:rFonts w:ascii="Verdana" w:hAnsi="Verdana" w:cs="Arial"/>
          <w:iCs/>
          <w:sz w:val="17"/>
          <w:szCs w:val="28"/>
          <w:lang w:eastAsia="en-US"/>
        </w:rPr>
      </w:pPr>
      <w:bookmarkStart w:id="9" w:name="_Ref150575465"/>
      <w:r w:rsidRPr="00524152">
        <w:rPr>
          <w:rFonts w:ascii="Verdana" w:hAnsi="Verdana" w:cs="Arial"/>
          <w:bCs w:val="0"/>
          <w:iCs/>
          <w:sz w:val="17"/>
          <w:szCs w:val="28"/>
          <w:lang w:eastAsia="en-US"/>
        </w:rPr>
        <w:t>10.</w:t>
      </w:r>
      <w:r w:rsidR="00D36D54" w:rsidRPr="00524152">
        <w:rPr>
          <w:rFonts w:ascii="Verdana" w:hAnsi="Verdana" w:cs="Arial"/>
          <w:iCs/>
          <w:sz w:val="17"/>
          <w:szCs w:val="28"/>
          <w:lang w:eastAsia="en-US"/>
        </w:rPr>
        <w:t>Spôsob ocenenia jednotlivých zložiek majetku a záväzkov – nasledujúce ocenenie</w:t>
      </w:r>
      <w:bookmarkEnd w:id="9"/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1"/>
        </w:numPr>
        <w:jc w:val="both"/>
        <w:rPr>
          <w:rFonts w:ascii="Verdana" w:hAnsi="Verdana"/>
          <w:sz w:val="17"/>
          <w:szCs w:val="20"/>
          <w:lang w:eastAsia="en-US"/>
        </w:rPr>
      </w:pPr>
      <w:bookmarkStart w:id="10" w:name="_Ref150575467"/>
      <w:r w:rsidRPr="00D36D54">
        <w:rPr>
          <w:rFonts w:ascii="Verdana" w:hAnsi="Verdana"/>
          <w:sz w:val="17"/>
          <w:szCs w:val="20"/>
          <w:lang w:eastAsia="en-US"/>
        </w:rPr>
        <w:t>Predpokladané riziká, straty a zníženia hodnoty, ktoré sa týkajú majetku a záväzkov, sa vyjadrujú prostredníctvom rezerv, opravných položiek a odpisov.</w:t>
      </w:r>
      <w:bookmarkEnd w:id="10"/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F37C86" w:rsidRDefault="00D36D54" w:rsidP="00F37C86">
      <w:pPr>
        <w:numPr>
          <w:ilvl w:val="0"/>
          <w:numId w:val="17"/>
        </w:numPr>
        <w:tabs>
          <w:tab w:val="num" w:pos="900"/>
        </w:tabs>
        <w:ind w:left="90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  <w:u w:val="single"/>
        </w:rPr>
        <w:t>Rezervy</w:t>
      </w:r>
      <w:r w:rsidRPr="00D36D54">
        <w:rPr>
          <w:rFonts w:ascii="Verdana" w:hAnsi="Verdana"/>
          <w:snapToGrid w:val="0"/>
          <w:sz w:val="17"/>
          <w:szCs w:val="20"/>
        </w:rPr>
        <w:t xml:space="preserve"> – účtujú sa v očakávanej výške záväzku. </w:t>
      </w:r>
    </w:p>
    <w:p w:rsidR="00D36D54" w:rsidRPr="00D36D54" w:rsidRDefault="00D36D54" w:rsidP="00F37C86">
      <w:pPr>
        <w:numPr>
          <w:ilvl w:val="0"/>
          <w:numId w:val="17"/>
        </w:numPr>
        <w:tabs>
          <w:tab w:val="num" w:pos="900"/>
        </w:tabs>
        <w:ind w:left="90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  <w:u w:val="single"/>
        </w:rPr>
        <w:t>Opravné položky</w:t>
      </w:r>
      <w:r w:rsidRPr="00D36D54">
        <w:rPr>
          <w:rFonts w:ascii="Verdana" w:hAnsi="Verdana"/>
          <w:snapToGrid w:val="0"/>
          <w:sz w:val="17"/>
          <w:szCs w:val="20"/>
        </w:rPr>
        <w:t xml:space="preserve"> – účtujú sa v sume opodstatneného predpokladu zníženia hodnoty majetku oproti jeho oceneniu v účtovníctve, a to:</w:t>
      </w:r>
    </w:p>
    <w:p w:rsidR="00D36D54" w:rsidRPr="00D36D54" w:rsidRDefault="00D36D54" w:rsidP="00D36D54">
      <w:pPr>
        <w:numPr>
          <w:ilvl w:val="1"/>
          <w:numId w:val="20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 xml:space="preserve">k zastaveným investíciám na základe zhodnotenia ich účtovnej hodnoty vo vzťahu k možnej realizovateľnej cene, </w:t>
      </w:r>
    </w:p>
    <w:p w:rsidR="00D36D54" w:rsidRPr="00D36D54" w:rsidRDefault="00D36D54" w:rsidP="00D36D54">
      <w:pPr>
        <w:numPr>
          <w:ilvl w:val="1"/>
          <w:numId w:val="20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k podielom na základnom imaní v obchodných spoločnostiach na základe metódy vlastného imania,</w:t>
      </w:r>
    </w:p>
    <w:p w:rsidR="00D36D54" w:rsidRPr="00D36D54" w:rsidRDefault="00D36D54" w:rsidP="00D36D54">
      <w:pPr>
        <w:numPr>
          <w:ilvl w:val="1"/>
          <w:numId w:val="20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k zásobám bez obratu nad 360 dní vo výške 80 % podľa posúdenia ich využiteľnosti v spoločnosti alebo možného odpredaja,</w:t>
      </w:r>
    </w:p>
    <w:p w:rsidR="00D36D54" w:rsidRPr="00D36D54" w:rsidRDefault="00D36D54" w:rsidP="00D36D54">
      <w:pPr>
        <w:numPr>
          <w:ilvl w:val="1"/>
          <w:numId w:val="20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k zásobám materiálu, nedokončenej výroby a výrobkov, ktorých trhová cena klesla pod obstarávaciu cenu, resp. pod ocenenie vlastnými nákladmi podľa prepočtu podielu obstarávacej ceny alebo vlastných nákladov na možnej trhovej cene,</w:t>
      </w:r>
    </w:p>
    <w:p w:rsidR="00D36D54" w:rsidRPr="00D36D54" w:rsidRDefault="00D36D54" w:rsidP="00D36D54">
      <w:pPr>
        <w:numPr>
          <w:ilvl w:val="1"/>
          <w:numId w:val="20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k nedokončenej výrobe predstavujúcej zákazkovú výrobu v súvislosti s vyjadrením strát zákazky,</w:t>
      </w:r>
    </w:p>
    <w:p w:rsidR="00D36D54" w:rsidRPr="00D36D54" w:rsidRDefault="00D36D54" w:rsidP="00D36D54">
      <w:pPr>
        <w:numPr>
          <w:ilvl w:val="1"/>
          <w:numId w:val="20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k pohľadávkam po lehote splatnosti nad 360 dní 100 %, nad 180 dní 70 %, z ostatných pohľadávok po lehote splatnosti 5 %.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19"/>
        </w:numPr>
        <w:tabs>
          <w:tab w:val="num" w:pos="900"/>
        </w:tabs>
        <w:ind w:left="900" w:hanging="360"/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  <w:u w:val="single"/>
        </w:rPr>
        <w:t xml:space="preserve">Plán odpisov </w:t>
      </w:r>
    </w:p>
    <w:p w:rsidR="00D36D54" w:rsidRPr="00D36D54" w:rsidRDefault="00D36D54" w:rsidP="00D36D54">
      <w:pPr>
        <w:ind w:left="900"/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ind w:left="900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nasledujúcom po mesiaci zaradenia do používania. </w:t>
      </w:r>
    </w:p>
    <w:p w:rsidR="00D36D54" w:rsidRPr="00D36D54" w:rsidRDefault="00D36D54" w:rsidP="00D36D54">
      <w:pPr>
        <w:ind w:left="900"/>
        <w:jc w:val="both"/>
        <w:rPr>
          <w:rFonts w:ascii="Verdana" w:hAnsi="Verdana"/>
          <w:b/>
          <w:snapToGrid w:val="0"/>
          <w:sz w:val="17"/>
          <w:szCs w:val="20"/>
        </w:rPr>
      </w:pPr>
    </w:p>
    <w:p w:rsidR="00D36D54" w:rsidRPr="00D36D54" w:rsidRDefault="00D36D54" w:rsidP="00D36D54">
      <w:pPr>
        <w:ind w:left="900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Priemerné životnosti podľa plánu odpisov sú:</w:t>
      </w:r>
    </w:p>
    <w:p w:rsidR="00D36D54" w:rsidRPr="00D36D54" w:rsidRDefault="00D36D54" w:rsidP="00D36D54">
      <w:pPr>
        <w:ind w:left="539"/>
        <w:jc w:val="both"/>
        <w:rPr>
          <w:rFonts w:ascii="Verdana" w:hAnsi="Verdana"/>
          <w:b/>
          <w:snapToGrid w:val="0"/>
          <w:sz w:val="17"/>
          <w:szCs w:val="20"/>
        </w:rPr>
      </w:pPr>
    </w:p>
    <w:tbl>
      <w:tblPr>
        <w:tblpPr w:leftFromText="141" w:rightFromText="141" w:vertAnchor="text" w:tblpX="968" w:tblpY="1"/>
        <w:tblOverlap w:val="never"/>
        <w:tblW w:w="817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3"/>
        <w:gridCol w:w="2268"/>
        <w:gridCol w:w="2693"/>
      </w:tblGrid>
      <w:tr w:rsidR="00D36D54" w:rsidRPr="00D36D54" w:rsidTr="00D256E1">
        <w:trPr>
          <w:trHeight w:val="257"/>
        </w:trPr>
        <w:tc>
          <w:tcPr>
            <w:tcW w:w="32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Druh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Životnosť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Ročná sadzba odpisov</w:t>
            </w:r>
          </w:p>
        </w:tc>
      </w:tr>
      <w:tr w:rsidR="00D36D54" w:rsidRPr="00D36D54" w:rsidTr="00D256E1">
        <w:trPr>
          <w:trHeight w:val="257"/>
        </w:trPr>
        <w:tc>
          <w:tcPr>
            <w:tcW w:w="32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c</w:t>
            </w:r>
          </w:p>
        </w:tc>
      </w:tr>
      <w:tr w:rsidR="00D36D54" w:rsidRPr="00524152" w:rsidTr="00D256E1">
        <w:trPr>
          <w:trHeight w:val="246"/>
        </w:trPr>
        <w:tc>
          <w:tcPr>
            <w:tcW w:w="321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both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Budovy a stavby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20 rokov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5,0 %</w:t>
            </w:r>
          </w:p>
        </w:tc>
      </w:tr>
      <w:tr w:rsidR="00D36D54" w:rsidRPr="00524152" w:rsidTr="00D256E1">
        <w:trPr>
          <w:trHeight w:val="261"/>
        </w:trPr>
        <w:tc>
          <w:tcPr>
            <w:tcW w:w="321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both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Stroje a zariadenia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16,7 %</w:t>
            </w:r>
          </w:p>
        </w:tc>
      </w:tr>
      <w:tr w:rsidR="00D36D54" w:rsidRPr="00524152" w:rsidTr="00D256E1">
        <w:trPr>
          <w:trHeight w:val="279"/>
        </w:trPr>
        <w:tc>
          <w:tcPr>
            <w:tcW w:w="321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both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Dopravné prostriedky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25,0 %</w:t>
            </w:r>
          </w:p>
        </w:tc>
      </w:tr>
      <w:tr w:rsidR="00D36D54" w:rsidRPr="00524152" w:rsidTr="00D256E1">
        <w:trPr>
          <w:trHeight w:val="255"/>
        </w:trPr>
        <w:tc>
          <w:tcPr>
            <w:tcW w:w="321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both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Inventár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napToGrid w:val="0"/>
                <w:sz w:val="15"/>
                <w:szCs w:val="15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16,7 %</w:t>
            </w:r>
          </w:p>
        </w:tc>
      </w:tr>
      <w:tr w:rsidR="00D36D54" w:rsidRPr="00524152" w:rsidTr="00D256E1">
        <w:trPr>
          <w:trHeight w:val="259"/>
        </w:trPr>
        <w:tc>
          <w:tcPr>
            <w:tcW w:w="321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both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Softvér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D36D54" w:rsidRPr="00524152" w:rsidRDefault="00D36D54" w:rsidP="00D256E1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524152">
              <w:rPr>
                <w:rFonts w:ascii="Verdana" w:hAnsi="Verdana"/>
                <w:sz w:val="15"/>
                <w:szCs w:val="15"/>
                <w:lang w:eastAsia="en-US"/>
              </w:rPr>
              <w:t>25,0 %</w:t>
            </w:r>
          </w:p>
        </w:tc>
      </w:tr>
    </w:tbl>
    <w:p w:rsidR="00D36D54" w:rsidRPr="00524152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524152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ind w:left="900"/>
        <w:jc w:val="both"/>
        <w:rPr>
          <w:rFonts w:ascii="Verdana" w:hAnsi="Verdana"/>
          <w:snapToGrid w:val="0"/>
          <w:sz w:val="17"/>
          <w:szCs w:val="20"/>
        </w:rPr>
      </w:pPr>
      <w:proofErr w:type="spellStart"/>
      <w:r w:rsidRPr="00524152">
        <w:rPr>
          <w:rFonts w:ascii="Verdana" w:hAnsi="Verdana"/>
          <w:snapToGrid w:val="0"/>
          <w:sz w:val="17"/>
          <w:szCs w:val="20"/>
        </w:rPr>
        <w:t>Spoloč</w:t>
      </w:r>
      <w:proofErr w:type="spellEnd"/>
      <w:r w:rsidRPr="00524152">
        <w:rPr>
          <w:rFonts w:ascii="Verdana" w:hAnsi="Verdana"/>
          <w:snapToGrid w:val="0"/>
          <w:sz w:val="17"/>
          <w:szCs w:val="20"/>
        </w:rPr>
        <w:t xml:space="preserve"> S</w:t>
      </w:r>
      <w:r w:rsidRPr="00D36D54">
        <w:rPr>
          <w:rFonts w:ascii="Verdana" w:hAnsi="Verdana"/>
          <w:snapToGrid w:val="0"/>
          <w:sz w:val="17"/>
          <w:szCs w:val="20"/>
        </w:rPr>
        <w:t xml:space="preserve">poločnosť uplatňuje v niektorých prípadoch </w:t>
      </w:r>
      <w:proofErr w:type="spellStart"/>
      <w:r w:rsidRPr="00D36D54">
        <w:rPr>
          <w:rFonts w:ascii="Verdana" w:hAnsi="Verdana"/>
          <w:snapToGrid w:val="0"/>
          <w:sz w:val="17"/>
          <w:szCs w:val="20"/>
        </w:rPr>
        <w:t>komponentný</w:t>
      </w:r>
      <w:proofErr w:type="spellEnd"/>
      <w:r w:rsidRPr="00D36D54">
        <w:rPr>
          <w:rFonts w:ascii="Verdana" w:hAnsi="Verdana"/>
          <w:snapToGrid w:val="0"/>
          <w:sz w:val="17"/>
          <w:szCs w:val="20"/>
        </w:rPr>
        <w:t xml:space="preserve"> spôsob odpisovania, t.j. pri tvorbe odpisového plánu sa zohľadnila rôzna doba použiteľnosti a rôzny priebeh opotrebenia jednotlivých oddeliteľných súčastí dlhodobého majetku. </w:t>
      </w:r>
    </w:p>
    <w:p w:rsidR="00D36D54" w:rsidRPr="00D36D54" w:rsidRDefault="00D36D54" w:rsidP="00D36D54">
      <w:pPr>
        <w:ind w:left="900"/>
        <w:jc w:val="both"/>
        <w:rPr>
          <w:rFonts w:ascii="Verdana" w:hAnsi="Verdana"/>
          <w:snapToGrid w:val="0"/>
          <w:color w:val="FF0000"/>
          <w:sz w:val="17"/>
          <w:szCs w:val="20"/>
        </w:rPr>
      </w:pPr>
    </w:p>
    <w:p w:rsidR="00D36D54" w:rsidRPr="00D36D54" w:rsidRDefault="00D36D54" w:rsidP="00D36D54">
      <w:pPr>
        <w:ind w:left="900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napToGrid w:val="0"/>
          <w:sz w:val="17"/>
          <w:szCs w:val="20"/>
          <w:lang w:eastAsia="en-US"/>
        </w:rPr>
        <w:t>Daňové odpisy sa uplatňujú podľa sadzieb uvedených v zákone o daniach z príjmov platných pre zrýchlené</w:t>
      </w:r>
      <w:r w:rsidRPr="00D36D54">
        <w:rPr>
          <w:rFonts w:ascii="Verdana" w:hAnsi="Verdana"/>
          <w:sz w:val="17"/>
          <w:szCs w:val="20"/>
          <w:lang w:eastAsia="en-US"/>
        </w:rPr>
        <w:t xml:space="preserve"> odpisovanie.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Podiely na základnom imaní v obchodných spoločnostiach sa ponechávajú v pôvodnom ocenení. Metóda vlastného imania sa použila iba pre potrebu výpočtu opravnej položky.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ind w:left="540"/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Pri cenných papieroch držaných do splatnosti sa ich ocenenie odo dňa vyrovnania nákupu do dňa splatnosti postupne zvyšuje o úrokové výnosy (amortizované náklady).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Cenné papiere určené na obchodovanie a realizovateľné cenné papiere sa oceňujú trhovou cenou.</w:t>
      </w:r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Deriváty sa oceňujú trhovou cenou.</w:t>
      </w:r>
    </w:p>
    <w:p w:rsidR="00D36D54" w:rsidRPr="00D36D54" w:rsidRDefault="00D36D54" w:rsidP="00D36D54">
      <w:pPr>
        <w:jc w:val="both"/>
        <w:rPr>
          <w:rFonts w:ascii="Verdana" w:hAnsi="Verdana"/>
          <w:sz w:val="20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Majetok a záväzky zabezpečené derivátmi sa oceňujú trhovou cenou.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numPr>
          <w:ilvl w:val="0"/>
          <w:numId w:val="21"/>
        </w:num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Emisné kvóty, s ktorými sa obchoduje na verejnom trhu a ktoré spoločnosť nadobudla za účelom ich ďalšieho predaja na verejnom trhu sa účtujú v ocenení reálnou hodnotou. Zmena reálnej hodnoty emisných kvót sa účtuje do výkazu ziskov a strát.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Prepočet údajov v cudzích menách na slovenskú menu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 xml:space="preserve">Majetok a záväzky vyjadrené v cudzej mene sa prepočítavajú na eurá referenčným výmenným kurzom určeným a vyhláseným Európskou centrálnou bankou (ECB) alebo Národnou bankou Slovenska (NBS) v deň predchádzajúci dňu uskutočnenia účtovného prípadu a v deň, ku ktorému sa zostavuje účtovná závierka. Prijaté a poskytnuté preddavky v cudzej mene sa ku dňu, ku ktorému sa zostavuje účtovná závierka neprepočítavajú. Pri kúpe a predaji cudzej meny za menu euro a pri  prevode peňažných prostriedkov z účtu zriadeného v cudzej mene na účet zriadený v eurách a z účtu zriadeného v eurách na účet zriadený v cudzej mene sa použil kurz, za ktorý boli tieto hodnoty nakúpené alebo predané. Ak sa predaj alebo kúpa cudzej meny uskutoční za iný kurz ako ponúka komerčná banka v kurzovom lístku, použije sa kurz, ktorý komerčná banka v deň </w:t>
      </w:r>
      <w:proofErr w:type="spellStart"/>
      <w:r w:rsidRPr="00D36D54">
        <w:rPr>
          <w:rFonts w:ascii="Verdana" w:hAnsi="Verdana"/>
          <w:sz w:val="17"/>
          <w:szCs w:val="20"/>
          <w:lang w:eastAsia="en-US"/>
        </w:rPr>
        <w:t>vysporiadania</w:t>
      </w:r>
      <w:proofErr w:type="spellEnd"/>
      <w:r w:rsidRPr="00D36D54">
        <w:rPr>
          <w:rFonts w:ascii="Verdana" w:hAnsi="Verdana"/>
          <w:sz w:val="17"/>
          <w:szCs w:val="20"/>
          <w:lang w:eastAsia="en-US"/>
        </w:rPr>
        <w:t xml:space="preserve"> obchodu ponúka v kurzovom lístku. Ak sa kúpa alebo predaj neuskutočňuje s komerčnou bankou, použije sa referenčný výmenný určený a vyhlásený ECB alebo NBS v deň predchádzajúci dňu </w:t>
      </w:r>
      <w:proofErr w:type="spellStart"/>
      <w:r w:rsidRPr="00D36D54">
        <w:rPr>
          <w:rFonts w:ascii="Verdana" w:hAnsi="Verdana"/>
          <w:sz w:val="17"/>
          <w:szCs w:val="20"/>
          <w:lang w:eastAsia="en-US"/>
        </w:rPr>
        <w:t>vysporiadania</w:t>
      </w:r>
      <w:proofErr w:type="spellEnd"/>
      <w:r w:rsidRPr="00D36D54">
        <w:rPr>
          <w:rFonts w:ascii="Verdana" w:hAnsi="Verdana"/>
          <w:sz w:val="17"/>
          <w:szCs w:val="20"/>
          <w:lang w:eastAsia="en-US"/>
        </w:rPr>
        <w:t xml:space="preserve"> obchodu.</w:t>
      </w:r>
    </w:p>
    <w:p w:rsidR="00D36D54" w:rsidRPr="00D36D54" w:rsidRDefault="00D36D54" w:rsidP="00D36D54">
      <w:pPr>
        <w:ind w:left="567"/>
        <w:jc w:val="both"/>
        <w:rPr>
          <w:rFonts w:ascii="Verdana" w:hAnsi="Verdana"/>
          <w:b/>
          <w:snapToGrid w:val="0"/>
          <w:sz w:val="17"/>
          <w:szCs w:val="20"/>
        </w:rPr>
      </w:pPr>
    </w:p>
    <w:p w:rsidR="00D36D54" w:rsidRPr="00D36D54" w:rsidRDefault="00D36D54" w:rsidP="00D36D54">
      <w:pPr>
        <w:ind w:left="567"/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Zmeny účtovných zásad a účtovných metód </w:t>
      </w:r>
    </w:p>
    <w:p w:rsidR="008721D3" w:rsidRDefault="008721D3" w:rsidP="008721D3">
      <w:pPr>
        <w:keepNext/>
        <w:jc w:val="both"/>
        <w:outlineLvl w:val="0"/>
        <w:rPr>
          <w:rFonts w:ascii="Verdana" w:hAnsi="Verdana"/>
          <w:sz w:val="17"/>
          <w:szCs w:val="20"/>
          <w:lang w:eastAsia="en-US"/>
        </w:rPr>
      </w:pPr>
    </w:p>
    <w:p w:rsidR="00D36D54" w:rsidRPr="008721D3" w:rsidRDefault="008721D3" w:rsidP="008721D3">
      <w:pPr>
        <w:pStyle w:val="Odsekzoznamu"/>
        <w:keepNext/>
        <w:numPr>
          <w:ilvl w:val="2"/>
          <w:numId w:val="20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8721D3">
        <w:rPr>
          <w:rFonts w:ascii="Verdana" w:hAnsi="Verdana"/>
          <w:sz w:val="17"/>
          <w:szCs w:val="20"/>
          <w:lang w:eastAsia="en-US"/>
        </w:rPr>
        <w:t>neboli</w:t>
      </w:r>
      <w:r w:rsidR="00D36D54" w:rsidRPr="008721D3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br w:type="page"/>
      </w:r>
      <w:r w:rsidR="00D36D54" w:rsidRPr="008721D3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lastRenderedPageBreak/>
        <w:t>ÚDAJE VYKÁZANÉ NA STRANE AKTÍV SÚVAHY</w:t>
      </w:r>
    </w:p>
    <w:p w:rsidR="00D36D54" w:rsidRPr="00D36D54" w:rsidRDefault="00D36D54" w:rsidP="00D36D54">
      <w:pPr>
        <w:jc w:val="both"/>
        <w:rPr>
          <w:rFonts w:ascii="Verdana" w:hAnsi="Verdana"/>
          <w:b/>
          <w:snapToGrid w:val="0"/>
          <w:sz w:val="17"/>
          <w:szCs w:val="20"/>
          <w:u w:val="single"/>
        </w:rPr>
      </w:pPr>
    </w:p>
    <w:p w:rsidR="00D36D54" w:rsidRPr="00D36D54" w:rsidRDefault="00D36D54" w:rsidP="00520556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Dlhodobý nehmotný a hmotný majetok (r. 003 a 011 súvahy)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  <w:bookmarkStart w:id="11" w:name="_MON_1388991626"/>
      <w:bookmarkStart w:id="12" w:name="_MON_1388991714"/>
      <w:bookmarkStart w:id="13" w:name="_MON_1388992433"/>
      <w:bookmarkStart w:id="14" w:name="_MON_1389009009"/>
      <w:bookmarkStart w:id="15" w:name="_MON_1389009428"/>
      <w:bookmarkStart w:id="16" w:name="_MON_1389009812"/>
      <w:bookmarkStart w:id="17" w:name="_MON_1389009834"/>
      <w:bookmarkStart w:id="18" w:name="_MON_1389010165"/>
      <w:bookmarkStart w:id="19" w:name="_MON_1389010389"/>
      <w:bookmarkStart w:id="20" w:name="_MON_1389077451"/>
      <w:bookmarkStart w:id="21" w:name="_MON_1389767891"/>
      <w:bookmarkStart w:id="22" w:name="_MON_1388990504"/>
      <w:bookmarkStart w:id="23" w:name="_MON_1388990529"/>
      <w:bookmarkStart w:id="24" w:name="_MON_1388990594"/>
      <w:bookmarkStart w:id="25" w:name="_MON_1388990908"/>
      <w:bookmarkStart w:id="26" w:name="_MON_1388991089"/>
      <w:bookmarkStart w:id="27" w:name="_MON_1388991299"/>
      <w:bookmarkStart w:id="28" w:name="_MON_1389767938"/>
      <w:bookmarkStart w:id="29" w:name="_MON_1389010810"/>
      <w:bookmarkStart w:id="30" w:name="_MON_1389077618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  <w:sectPr w:rsidR="00D36D54" w:rsidRPr="00D36D54" w:rsidSect="00D36D54">
          <w:headerReference w:type="default" r:id="rId11"/>
          <w:footerReference w:type="default" r:id="rId12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lastRenderedPageBreak/>
        <w:t>Pohyby na účtoch dlhodobého hmotného majetku, oprávok, opravných položiek a zostatkovej hodnoty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bookmarkStart w:id="31" w:name="_MON_1388992577"/>
    <w:bookmarkStart w:id="32" w:name="_MON_1388992763"/>
    <w:bookmarkStart w:id="33" w:name="_MON_1388993494"/>
    <w:bookmarkStart w:id="34" w:name="_MON_1388993518"/>
    <w:bookmarkStart w:id="35" w:name="_MON_1389011222"/>
    <w:bookmarkStart w:id="36" w:name="_MON_1389011443"/>
    <w:bookmarkStart w:id="37" w:name="_MON_1389077686"/>
    <w:bookmarkStart w:id="38" w:name="_MON_1389767637"/>
    <w:bookmarkStart w:id="39" w:name="_MON_1389767944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Start w:id="40" w:name="_MON_1388992557"/>
    <w:bookmarkEnd w:id="40"/>
    <w:p w:rsidR="00D36D54" w:rsidRPr="00D36D54" w:rsidRDefault="008F19DA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object w:dxaOrig="14148" w:dyaOrig="7410">
          <v:shape id="_x0000_i1026" type="#_x0000_t75" style="width:707.25pt;height:370.5pt" o:ole="" o:bordertopcolor="this" o:borderleftcolor="this">
            <v:imagedata r:id="rId13" o:title=""/>
            <w10:bordertop type="single" width="4"/>
            <w10:borderleft type="single" width="4"/>
          </v:shape>
          <o:OLEObject Type="Embed" ProgID="Excel.Sheet.8" ShapeID="_x0000_i1026" DrawAspect="Content" ObjectID="_1457096163" r:id="rId14"/>
        </w:objec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bookmarkStart w:id="41" w:name="_MON_1389767952"/>
    <w:bookmarkEnd w:id="41"/>
    <w:bookmarkStart w:id="42" w:name="_MON_1389011493"/>
    <w:bookmarkEnd w:id="42"/>
    <w:p w:rsidR="00D36D54" w:rsidRPr="00D36D54" w:rsidRDefault="008F19DA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object w:dxaOrig="14148" w:dyaOrig="7410">
          <v:shape id="_x0000_i1027" type="#_x0000_t75" style="width:697.5pt;height:365.25pt" o:ole="" o:bordertopcolor="this" o:borderleftcolor="this">
            <v:imagedata r:id="rId15" o:title=""/>
            <w10:bordertop type="single" width="4"/>
            <w10:borderleft type="single" width="4"/>
          </v:shape>
          <o:OLEObject Type="Embed" ProgID="Excel.Sheet.8" ShapeID="_x0000_i1027" DrawAspect="Content" ObjectID="_1457096164" r:id="rId16"/>
        </w:objec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  <w:sectPr w:rsidR="00D36D54" w:rsidRPr="00D36D54" w:rsidSect="00D36D54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Spôsob a výška poistenia dlhodobého nehmotného a hmotného majetku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tbl>
      <w:tblPr>
        <w:tblW w:w="9211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2835"/>
        <w:gridCol w:w="1047"/>
        <w:gridCol w:w="1079"/>
        <w:gridCol w:w="2407"/>
      </w:tblGrid>
      <w:tr w:rsidR="00D36D54" w:rsidRPr="00D36D54" w:rsidTr="00D36D54">
        <w:trPr>
          <w:cantSplit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Predmet poistenia</w:t>
            </w:r>
          </w:p>
        </w:tc>
        <w:tc>
          <w:tcPr>
            <w:tcW w:w="28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Druh poistenia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Výška poistenia (zostatková hodnota poisteného majetku)</w:t>
            </w:r>
          </w:p>
        </w:tc>
        <w:tc>
          <w:tcPr>
            <w:tcW w:w="240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Názov a sídlo poisťovne</w:t>
            </w:r>
          </w:p>
        </w:tc>
      </w:tr>
      <w:tr w:rsidR="00D36D54" w:rsidRPr="00D36D54" w:rsidTr="00D36D54">
        <w:trPr>
          <w:cantSplit/>
          <w:trHeight w:val="283"/>
        </w:trPr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</w:p>
        </w:tc>
        <w:tc>
          <w:tcPr>
            <w:tcW w:w="283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201</w:t>
            </w:r>
            <w:r w:rsidR="00D256E1">
              <w:rPr>
                <w:rFonts w:ascii="Verdana" w:hAnsi="Verdana"/>
                <w:b/>
                <w:sz w:val="15"/>
                <w:szCs w:val="15"/>
                <w:lang w:eastAsia="en-US"/>
              </w:rPr>
              <w:t>3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256E1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201</w:t>
            </w:r>
            <w:r w:rsidR="00D256E1">
              <w:rPr>
                <w:rFonts w:ascii="Verdana" w:hAnsi="Verdana"/>
                <w:b/>
                <w:sz w:val="15"/>
                <w:szCs w:val="15"/>
                <w:lang w:eastAsia="en-US"/>
              </w:rPr>
              <w:t>2</w:t>
            </w:r>
          </w:p>
        </w:tc>
        <w:tc>
          <w:tcPr>
            <w:tcW w:w="240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cantSplit/>
          <w:trHeight w:val="245"/>
        </w:trPr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b</w:t>
            </w:r>
          </w:p>
        </w:tc>
        <w:tc>
          <w:tcPr>
            <w:tcW w:w="10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c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d</w:t>
            </w:r>
          </w:p>
        </w:tc>
        <w:tc>
          <w:tcPr>
            <w:tcW w:w="2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e</w:t>
            </w:r>
          </w:p>
        </w:tc>
      </w:tr>
      <w:tr w:rsidR="00D36D54" w:rsidRPr="00D36D54" w:rsidTr="00D36D54">
        <w:trPr>
          <w:cantSplit/>
          <w:trHeight w:val="307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36D54" w:rsidRPr="00990770" w:rsidRDefault="00D36D54" w:rsidP="00D36D54">
            <w:pPr>
              <w:ind w:left="142" w:hanging="142"/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>Osobné automobily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6D54" w:rsidRPr="00990770" w:rsidRDefault="00D36D54" w:rsidP="00D36D54">
            <w:pPr>
              <w:ind w:left="142" w:hanging="142"/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 xml:space="preserve">proti odcudzeniu, havarijné </w:t>
            </w:r>
          </w:p>
        </w:tc>
        <w:tc>
          <w:tcPr>
            <w:tcW w:w="1047" w:type="dxa"/>
            <w:tcBorders>
              <w:top w:val="single" w:sz="12" w:space="0" w:color="auto"/>
            </w:tcBorders>
            <w:vAlign w:val="center"/>
          </w:tcPr>
          <w:p w:rsidR="008F19DA" w:rsidRPr="00990770" w:rsidRDefault="008F19DA" w:rsidP="008F19DA">
            <w:pPr>
              <w:jc w:val="right"/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>5 457</w:t>
            </w:r>
          </w:p>
        </w:tc>
        <w:tc>
          <w:tcPr>
            <w:tcW w:w="1079" w:type="dxa"/>
            <w:tcBorders>
              <w:top w:val="single" w:sz="12" w:space="0" w:color="auto"/>
            </w:tcBorders>
            <w:vAlign w:val="center"/>
          </w:tcPr>
          <w:p w:rsidR="00F30944" w:rsidRPr="00990770" w:rsidRDefault="008F19DA" w:rsidP="00F30944">
            <w:pPr>
              <w:jc w:val="right"/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>10 917</w:t>
            </w:r>
          </w:p>
        </w:tc>
        <w:tc>
          <w:tcPr>
            <w:tcW w:w="240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6D54" w:rsidRPr="00990770" w:rsidRDefault="008F19DA" w:rsidP="00F30944">
            <w:pPr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  <w:proofErr w:type="spellStart"/>
            <w:r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>Generali</w:t>
            </w:r>
            <w:proofErr w:type="spellEnd"/>
            <w:r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  <w:t xml:space="preserve"> Slovensko</w:t>
            </w:r>
          </w:p>
        </w:tc>
      </w:tr>
      <w:tr w:rsidR="00D36D54" w:rsidRPr="00D36D54" w:rsidTr="00D36D54">
        <w:trPr>
          <w:cantSplit/>
          <w:trHeight w:val="255"/>
        </w:trPr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990770" w:rsidRDefault="00D36D54" w:rsidP="00D36D54">
            <w:pPr>
              <w:ind w:left="142" w:hanging="142"/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990770" w:rsidRDefault="00D36D54" w:rsidP="00D36D54">
            <w:pPr>
              <w:ind w:left="142" w:hanging="142"/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</w:p>
        </w:tc>
        <w:tc>
          <w:tcPr>
            <w:tcW w:w="1047" w:type="dxa"/>
            <w:tcBorders>
              <w:bottom w:val="single" w:sz="12" w:space="0" w:color="auto"/>
            </w:tcBorders>
            <w:vAlign w:val="center"/>
          </w:tcPr>
          <w:p w:rsidR="00D36D54" w:rsidRPr="00990770" w:rsidRDefault="00D36D54" w:rsidP="00F30944">
            <w:pPr>
              <w:jc w:val="right"/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</w:p>
        </w:tc>
        <w:tc>
          <w:tcPr>
            <w:tcW w:w="1079" w:type="dxa"/>
            <w:tcBorders>
              <w:bottom w:val="single" w:sz="12" w:space="0" w:color="auto"/>
            </w:tcBorders>
            <w:vAlign w:val="center"/>
          </w:tcPr>
          <w:p w:rsidR="00D36D54" w:rsidRPr="00990770" w:rsidRDefault="00D36D54" w:rsidP="00F30944">
            <w:pPr>
              <w:jc w:val="right"/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</w:p>
        </w:tc>
        <w:tc>
          <w:tcPr>
            <w:tcW w:w="240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990770" w:rsidRDefault="00D36D54" w:rsidP="00D36D54">
            <w:pPr>
              <w:rPr>
                <w:rFonts w:ascii="Verdana" w:hAnsi="Verdana"/>
                <w:snapToGrid w:val="0"/>
                <w:sz w:val="15"/>
                <w:szCs w:val="15"/>
                <w:lang w:eastAsia="en-US"/>
              </w:rPr>
            </w:pPr>
          </w:p>
        </w:tc>
      </w:tr>
    </w:tbl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Záložné právo a obmedzenie disponovania s dlhodobým nehmotným a hmotným majetkom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Default="00705E0D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>
        <w:rPr>
          <w:rFonts w:ascii="Verdana" w:hAnsi="Verdana"/>
          <w:sz w:val="17"/>
          <w:szCs w:val="20"/>
          <w:lang w:eastAsia="en-US"/>
        </w:rPr>
        <w:t>Majetok firmy nie je nijako založený.</w:t>
      </w:r>
    </w:p>
    <w:p w:rsidR="008E6C3E" w:rsidRDefault="008E6C3E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8E6C3E" w:rsidRDefault="00B14F57" w:rsidP="00B14F57">
      <w:pPr>
        <w:tabs>
          <w:tab w:val="left" w:pos="3667"/>
        </w:tabs>
        <w:jc w:val="both"/>
        <w:rPr>
          <w:rFonts w:ascii="Verdana" w:hAnsi="Verdana"/>
          <w:sz w:val="17"/>
          <w:szCs w:val="20"/>
          <w:lang w:eastAsia="en-US"/>
        </w:rPr>
      </w:pPr>
      <w:r>
        <w:rPr>
          <w:rFonts w:ascii="Verdana" w:hAnsi="Verdana"/>
          <w:sz w:val="17"/>
          <w:szCs w:val="20"/>
          <w:lang w:eastAsia="en-US"/>
        </w:rPr>
        <w:tab/>
      </w: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Zásoby (r. 031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p w:rsidR="00D36D54" w:rsidRPr="00D36D54" w:rsidRDefault="008E6C3E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  <w:r w:rsidRPr="008E6C3E">
        <w:rPr>
          <w:rFonts w:ascii="Verdana" w:hAnsi="Verdana"/>
          <w:snapToGrid w:val="0"/>
          <w:sz w:val="17"/>
          <w:szCs w:val="20"/>
        </w:rPr>
        <w:t>S</w:t>
      </w:r>
      <w:r>
        <w:rPr>
          <w:rFonts w:ascii="Verdana" w:hAnsi="Verdana"/>
          <w:snapToGrid w:val="0"/>
          <w:sz w:val="17"/>
          <w:szCs w:val="20"/>
        </w:rPr>
        <w:t xml:space="preserve">poločnosť </w:t>
      </w:r>
      <w:r w:rsidR="00705E0D">
        <w:rPr>
          <w:rFonts w:ascii="Verdana" w:hAnsi="Verdana"/>
          <w:snapToGrid w:val="0"/>
          <w:sz w:val="17"/>
          <w:szCs w:val="20"/>
        </w:rPr>
        <w:t>nemá zásoby</w:t>
      </w:r>
      <w:r>
        <w:rPr>
          <w:rFonts w:ascii="Verdana" w:hAnsi="Verdana"/>
          <w:snapToGrid w:val="0"/>
          <w:sz w:val="17"/>
          <w:szCs w:val="20"/>
        </w:rPr>
        <w:t>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Pohľadávky (r. 038 a 046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Členenie pohľadávok celkom, vrátane skupiny: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bookmarkStart w:id="43" w:name="_MON_1389768268"/>
    <w:bookmarkStart w:id="44" w:name="_MON_1389000367"/>
    <w:bookmarkStart w:id="45" w:name="_MON_1389000388"/>
    <w:bookmarkEnd w:id="43"/>
    <w:bookmarkEnd w:id="44"/>
    <w:bookmarkEnd w:id="45"/>
    <w:bookmarkStart w:id="46" w:name="_MON_1389000608"/>
    <w:bookmarkEnd w:id="46"/>
    <w:p w:rsidR="00D36D54" w:rsidRPr="00D36D54" w:rsidRDefault="00345798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9270" w:dyaOrig="7266">
          <v:shape id="_x0000_i1028" type="#_x0000_t75" style="width:453pt;height:363pt" o:ole="" o:bordertopcolor="this" o:borderleftcolor="this">
            <v:imagedata r:id="rId17" o:title=""/>
            <w10:bordertop type="single" width="4"/>
            <w10:borderleft type="single" width="4"/>
          </v:shape>
          <o:OLEObject Type="Embed" ProgID="Excel.Sheet.8" ShapeID="_x0000_i1028" DrawAspect="Content" ObjectID="_1457096165" r:id="rId18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 xml:space="preserve">Bežná lehota splatnosti pohľadávok je </w:t>
      </w:r>
      <w:r w:rsidR="008E6C3E">
        <w:rPr>
          <w:rFonts w:ascii="Verdana" w:hAnsi="Verdana"/>
          <w:snapToGrid w:val="0"/>
          <w:sz w:val="17"/>
          <w:szCs w:val="20"/>
        </w:rPr>
        <w:t>60</w:t>
      </w:r>
      <w:r w:rsidRPr="00D36D54">
        <w:rPr>
          <w:rFonts w:ascii="Verdana" w:hAnsi="Verdana"/>
          <w:snapToGrid w:val="0"/>
          <w:sz w:val="17"/>
          <w:szCs w:val="20"/>
        </w:rPr>
        <w:t xml:space="preserve"> dní. 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bookmarkStart w:id="47" w:name="_MON_1389768287"/>
    <w:bookmarkStart w:id="48" w:name="_MON_1389000897"/>
    <w:bookmarkStart w:id="49" w:name="_MON_1389001018"/>
    <w:bookmarkStart w:id="50" w:name="_MON_1389001043"/>
    <w:bookmarkStart w:id="51" w:name="_MON_1389001129"/>
    <w:bookmarkEnd w:id="47"/>
    <w:bookmarkEnd w:id="48"/>
    <w:bookmarkEnd w:id="49"/>
    <w:bookmarkEnd w:id="50"/>
    <w:bookmarkEnd w:id="51"/>
    <w:bookmarkStart w:id="52" w:name="_MON_1389001153"/>
    <w:bookmarkEnd w:id="52"/>
    <w:p w:rsidR="00D36D54" w:rsidRPr="00D36D54" w:rsidRDefault="009053E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9319" w:dyaOrig="3084">
          <v:shape id="_x0000_i1029" type="#_x0000_t75" style="width:453pt;height:154.5pt" o:ole="" o:bordertopcolor="this" o:borderleftcolor="this">
            <v:imagedata r:id="rId19" o:title=""/>
            <w10:bordertop type="single" width="4"/>
            <w10:borderleft type="single" width="4"/>
          </v:shape>
          <o:OLEObject Type="Embed" ProgID="Excel.Sheet.8" ShapeID="_x0000_i1029" DrawAspect="Content" ObjectID="_1457096166" r:id="rId20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Finančné účty (r. 055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Spoločnosť má finančný majetok v štruktúre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bookmarkStart w:id="53" w:name="_MON_1389768316"/>
    <w:bookmarkStart w:id="54" w:name="_MON_1389002136"/>
    <w:bookmarkStart w:id="55" w:name="_MON_1389002251"/>
    <w:bookmarkEnd w:id="53"/>
    <w:bookmarkEnd w:id="54"/>
    <w:bookmarkEnd w:id="55"/>
    <w:bookmarkStart w:id="56" w:name="_MON_1389002272"/>
    <w:bookmarkEnd w:id="56"/>
    <w:p w:rsidR="00D36D54" w:rsidRPr="00D36D54" w:rsidRDefault="009053E4" w:rsidP="0016690A">
      <w:pPr>
        <w:jc w:val="both"/>
        <w:rPr>
          <w:rFonts w:ascii="Verdana" w:hAnsi="Verdana"/>
          <w:snapToGrid w:val="0"/>
          <w:sz w:val="18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9158" w:dyaOrig="2125">
          <v:shape id="_x0000_i1030" type="#_x0000_t75" style="width:453pt;height:106.5pt" o:ole="" o:bordertopcolor="this" o:borderleftcolor="this">
            <v:imagedata r:id="rId21" o:title=""/>
            <w10:bordertop type="single" width="4"/>
            <w10:borderleft type="single" width="4"/>
          </v:shape>
          <o:OLEObject Type="Embed" ProgID="Excel.Sheet.8" ShapeID="_x0000_i1030" DrawAspect="Content" ObjectID="_1457096167" r:id="rId22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8"/>
          <w:szCs w:val="20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Časové rozlíšenie (r. 061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8"/>
          <w:szCs w:val="20"/>
        </w:rPr>
      </w:pPr>
    </w:p>
    <w:tbl>
      <w:tblPr>
        <w:tblW w:w="492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9"/>
        <w:gridCol w:w="2533"/>
        <w:gridCol w:w="2398"/>
      </w:tblGrid>
      <w:tr w:rsidR="00D36D54" w:rsidRPr="00D36D54" w:rsidTr="00D36D54">
        <w:trPr>
          <w:trHeight w:val="659"/>
          <w:jc w:val="center"/>
        </w:trPr>
        <w:tc>
          <w:tcPr>
            <w:tcW w:w="41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Opis položky časového rozlíšenia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Bežné účtovné obdobie</w:t>
            </w:r>
          </w:p>
        </w:tc>
        <w:tc>
          <w:tcPr>
            <w:tcW w:w="239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Bezprostredne predchádzajúce účtovné obdobie</w:t>
            </w:r>
          </w:p>
        </w:tc>
      </w:tr>
      <w:tr w:rsidR="00D36D54" w:rsidRPr="00D36D54" w:rsidTr="00D36D54">
        <w:trPr>
          <w:trHeight w:val="243"/>
          <w:jc w:val="center"/>
        </w:trPr>
        <w:tc>
          <w:tcPr>
            <w:tcW w:w="41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Cs/>
                <w:sz w:val="15"/>
                <w:szCs w:val="15"/>
                <w:lang w:eastAsia="en-US"/>
              </w:rPr>
              <w:t>a</w:t>
            </w:r>
          </w:p>
        </w:tc>
        <w:tc>
          <w:tcPr>
            <w:tcW w:w="2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Cs/>
                <w:sz w:val="15"/>
                <w:szCs w:val="15"/>
                <w:lang w:eastAsia="en-US"/>
              </w:rPr>
              <w:t>b</w:t>
            </w:r>
          </w:p>
        </w:tc>
        <w:tc>
          <w:tcPr>
            <w:tcW w:w="239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Cs/>
                <w:sz w:val="15"/>
                <w:szCs w:val="15"/>
                <w:lang w:eastAsia="en-US"/>
              </w:rPr>
              <w:t>c</w:t>
            </w:r>
          </w:p>
        </w:tc>
      </w:tr>
      <w:tr w:rsidR="00D36D54" w:rsidRPr="00AE5DA8" w:rsidTr="00D36D54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 w:cs="Arial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 w:cs="Arial"/>
                <w:b/>
                <w:sz w:val="15"/>
                <w:szCs w:val="15"/>
                <w:lang w:eastAsia="en-US"/>
              </w:rPr>
              <w:t xml:space="preserve">Náklady budúcich období dlhodobé,  z toho: 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5DA8" w:rsidRPr="00AE5DA8" w:rsidRDefault="00AE5DA8" w:rsidP="00AE5DA8">
            <w:pPr>
              <w:spacing w:line="360" w:lineRule="auto"/>
              <w:jc w:val="right"/>
              <w:rPr>
                <w:rFonts w:ascii="Verdana" w:hAnsi="Verdana" w:cs="Arial"/>
                <w:b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E5DA8" w:rsidRPr="00AE5DA8" w:rsidRDefault="00AE5DA8" w:rsidP="00AE5DA8">
            <w:pPr>
              <w:spacing w:line="360" w:lineRule="auto"/>
              <w:jc w:val="right"/>
              <w:rPr>
                <w:rFonts w:ascii="Verdana" w:hAnsi="Verdana" w:cs="Arial"/>
                <w:b/>
                <w:sz w:val="15"/>
                <w:szCs w:val="15"/>
                <w:lang w:eastAsia="en-US"/>
              </w:rPr>
            </w:pPr>
          </w:p>
        </w:tc>
      </w:tr>
      <w:tr w:rsidR="00BF58EF" w:rsidRPr="00D36D54" w:rsidTr="00D36D54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58EF" w:rsidRPr="00D36D54" w:rsidRDefault="00454951" w:rsidP="00D450AC">
            <w:pPr>
              <w:rPr>
                <w:rFonts w:ascii="Verdana" w:hAnsi="Verdana" w:cs="Arial"/>
                <w:sz w:val="15"/>
                <w:szCs w:val="15"/>
                <w:lang w:eastAsia="en-US"/>
              </w:rPr>
            </w:pPr>
            <w:r>
              <w:rPr>
                <w:rFonts w:ascii="Verdana" w:hAnsi="Verdana" w:cs="Arial"/>
                <w:sz w:val="15"/>
                <w:szCs w:val="15"/>
                <w:lang w:eastAsia="en-US"/>
              </w:rPr>
              <w:t>Nákup leteniek na rok 2014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F58EF" w:rsidRPr="00D36D54" w:rsidRDefault="00BF58EF" w:rsidP="00D450AC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F58EF" w:rsidRPr="00D36D54" w:rsidRDefault="00BF58EF" w:rsidP="00D450AC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BF58EF" w:rsidRPr="00D36D54" w:rsidTr="00D36D54">
        <w:trPr>
          <w:trHeight w:val="340"/>
          <w:jc w:val="center"/>
        </w:trPr>
        <w:tc>
          <w:tcPr>
            <w:tcW w:w="414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4951" w:rsidRPr="00D36D54" w:rsidRDefault="00454951" w:rsidP="00D36D54">
            <w:pPr>
              <w:rPr>
                <w:rFonts w:ascii="Verdana" w:hAnsi="Verdana" w:cs="Arial"/>
                <w:sz w:val="15"/>
                <w:szCs w:val="15"/>
                <w:lang w:eastAsia="en-US"/>
              </w:rPr>
            </w:pPr>
            <w:r>
              <w:rPr>
                <w:rFonts w:ascii="Verdana" w:hAnsi="Verdana" w:cs="Arial"/>
                <w:sz w:val="15"/>
                <w:szCs w:val="15"/>
                <w:lang w:eastAsia="en-US"/>
              </w:rPr>
              <w:t>Poistné</w:t>
            </w:r>
          </w:p>
        </w:tc>
        <w:tc>
          <w:tcPr>
            <w:tcW w:w="25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F58EF" w:rsidRPr="00D36D54" w:rsidRDefault="00BF58EF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BF58EF" w:rsidRPr="00D36D54" w:rsidRDefault="00BF58EF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454951" w:rsidRPr="00AE5DA8" w:rsidTr="00D36D54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4951" w:rsidRPr="00D36D54" w:rsidRDefault="00454951" w:rsidP="00D36D54">
            <w:pPr>
              <w:rPr>
                <w:rFonts w:ascii="Verdana" w:hAnsi="Verdana" w:cs="Arial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 w:cs="Arial"/>
                <w:b/>
                <w:sz w:val="15"/>
                <w:szCs w:val="15"/>
                <w:lang w:eastAsia="en-US"/>
              </w:rPr>
              <w:t>Náklady budúcich období krátkodobé, z toho: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54951" w:rsidRPr="00AE5DA8" w:rsidRDefault="00454951" w:rsidP="00DB45F4">
            <w:pPr>
              <w:spacing w:line="360" w:lineRule="auto"/>
              <w:jc w:val="right"/>
              <w:rPr>
                <w:rFonts w:ascii="Verdana" w:hAnsi="Verdana" w:cs="Arial"/>
                <w:b/>
                <w:sz w:val="15"/>
                <w:szCs w:val="15"/>
                <w:lang w:eastAsia="en-US"/>
              </w:rPr>
            </w:pPr>
            <w:r>
              <w:rPr>
                <w:rFonts w:ascii="Verdana" w:hAnsi="Verdana" w:cs="Arial"/>
                <w:b/>
                <w:sz w:val="15"/>
                <w:szCs w:val="15"/>
                <w:lang w:eastAsia="en-US"/>
              </w:rPr>
              <w:t>2 015</w:t>
            </w: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54951" w:rsidRPr="00AE5DA8" w:rsidRDefault="00454951" w:rsidP="00DB45F4">
            <w:pPr>
              <w:spacing w:line="360" w:lineRule="auto"/>
              <w:jc w:val="right"/>
              <w:rPr>
                <w:rFonts w:ascii="Verdana" w:hAnsi="Verdana" w:cs="Arial"/>
                <w:b/>
                <w:sz w:val="15"/>
                <w:szCs w:val="15"/>
                <w:lang w:eastAsia="en-US"/>
              </w:rPr>
            </w:pPr>
            <w:r>
              <w:rPr>
                <w:rFonts w:ascii="Verdana" w:hAnsi="Verdana" w:cs="Arial"/>
                <w:b/>
                <w:sz w:val="15"/>
                <w:szCs w:val="15"/>
                <w:lang w:eastAsia="en-US"/>
              </w:rPr>
              <w:t>672</w:t>
            </w:r>
          </w:p>
        </w:tc>
      </w:tr>
      <w:tr w:rsidR="00454951" w:rsidRPr="00D36D54" w:rsidTr="00D36D54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54951" w:rsidRPr="00D36D54" w:rsidRDefault="00454951" w:rsidP="00D450AC">
            <w:pPr>
              <w:rPr>
                <w:rFonts w:ascii="Verdana" w:hAnsi="Verdana" w:cs="Arial"/>
                <w:sz w:val="15"/>
                <w:szCs w:val="15"/>
                <w:lang w:eastAsia="en-US"/>
              </w:rPr>
            </w:pPr>
            <w:r>
              <w:rPr>
                <w:rFonts w:ascii="Verdana" w:hAnsi="Verdana" w:cs="Arial"/>
                <w:sz w:val="15"/>
                <w:szCs w:val="15"/>
                <w:lang w:eastAsia="en-US"/>
              </w:rPr>
              <w:t>Ostatné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54951" w:rsidRPr="00D36D54" w:rsidRDefault="00454951" w:rsidP="00DB45F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  <w:r>
              <w:rPr>
                <w:rFonts w:ascii="Verdana" w:hAnsi="Verdana" w:cs="Arial"/>
                <w:sz w:val="15"/>
                <w:szCs w:val="15"/>
                <w:lang w:eastAsia="en-US"/>
              </w:rPr>
              <w:t>1 494</w:t>
            </w:r>
          </w:p>
        </w:tc>
        <w:tc>
          <w:tcPr>
            <w:tcW w:w="2398" w:type="dxa"/>
            <w:tcBorders>
              <w:top w:val="single" w:sz="12" w:space="0" w:color="auto"/>
            </w:tcBorders>
            <w:vAlign w:val="center"/>
          </w:tcPr>
          <w:p w:rsidR="00454951" w:rsidRPr="00D36D54" w:rsidRDefault="00454951" w:rsidP="00DB45F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  <w:r>
              <w:rPr>
                <w:rFonts w:ascii="Verdana" w:hAnsi="Verdana" w:cs="Arial"/>
                <w:sz w:val="15"/>
                <w:szCs w:val="15"/>
                <w:lang w:eastAsia="en-US"/>
              </w:rPr>
              <w:t>672</w:t>
            </w:r>
          </w:p>
        </w:tc>
      </w:tr>
      <w:tr w:rsidR="00454951" w:rsidRPr="00D36D54" w:rsidTr="00D36D54">
        <w:trPr>
          <w:trHeight w:val="340"/>
          <w:jc w:val="center"/>
        </w:trPr>
        <w:tc>
          <w:tcPr>
            <w:tcW w:w="41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54951" w:rsidRPr="00D36D54" w:rsidRDefault="00454951" w:rsidP="00D36D54">
            <w:pPr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5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4951" w:rsidRPr="00D36D54" w:rsidRDefault="00454951" w:rsidP="00DB45F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  <w:r>
              <w:rPr>
                <w:rFonts w:ascii="Verdana" w:hAnsi="Verdana" w:cs="Arial"/>
                <w:sz w:val="15"/>
                <w:szCs w:val="15"/>
                <w:lang w:eastAsia="en-US"/>
              </w:rPr>
              <w:t>521</w:t>
            </w:r>
          </w:p>
        </w:tc>
        <w:tc>
          <w:tcPr>
            <w:tcW w:w="2398" w:type="dxa"/>
            <w:tcBorders>
              <w:bottom w:val="single" w:sz="12" w:space="0" w:color="auto"/>
            </w:tcBorders>
            <w:vAlign w:val="center"/>
          </w:tcPr>
          <w:p w:rsidR="00454951" w:rsidRPr="00D36D54" w:rsidRDefault="00454951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BF58EF" w:rsidRPr="00D36D54" w:rsidTr="00D36D54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58EF" w:rsidRPr="00D36D54" w:rsidRDefault="00BF58EF" w:rsidP="00D36D54">
            <w:pPr>
              <w:rPr>
                <w:rFonts w:ascii="Verdana" w:hAnsi="Verdana" w:cs="Arial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 w:cs="Arial"/>
                <w:b/>
                <w:sz w:val="15"/>
                <w:szCs w:val="15"/>
                <w:lang w:eastAsia="en-US"/>
              </w:rPr>
              <w:t>Príjmy budúcich období dlhodobé, z toho: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F58EF" w:rsidRPr="00D36D54" w:rsidRDefault="00BF58EF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F58EF" w:rsidRPr="00D36D54" w:rsidRDefault="00BF58EF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BF58EF" w:rsidRPr="00D36D54" w:rsidTr="00D36D54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F58EF" w:rsidRPr="00D36D54" w:rsidRDefault="00BF58EF" w:rsidP="00D36D54">
            <w:pPr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F58EF" w:rsidRPr="00D36D54" w:rsidRDefault="00BF58EF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</w:tcBorders>
            <w:vAlign w:val="center"/>
          </w:tcPr>
          <w:p w:rsidR="00BF58EF" w:rsidRPr="00D36D54" w:rsidRDefault="00BF58EF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BF58EF" w:rsidRPr="00D36D54" w:rsidTr="00D36D54">
        <w:trPr>
          <w:trHeight w:val="340"/>
          <w:jc w:val="center"/>
        </w:trPr>
        <w:tc>
          <w:tcPr>
            <w:tcW w:w="41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F58EF" w:rsidRPr="00D36D54" w:rsidRDefault="00BF58EF" w:rsidP="00D36D54">
            <w:pPr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5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F58EF" w:rsidRPr="00D36D54" w:rsidRDefault="00BF58EF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bottom w:val="single" w:sz="12" w:space="0" w:color="auto"/>
            </w:tcBorders>
            <w:vAlign w:val="center"/>
          </w:tcPr>
          <w:p w:rsidR="00BF58EF" w:rsidRPr="00D36D54" w:rsidRDefault="00BF58EF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BF58EF" w:rsidRPr="00D36D54" w:rsidTr="00D36D54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58EF" w:rsidRPr="00D36D54" w:rsidRDefault="00BF58EF" w:rsidP="00D36D54">
            <w:pPr>
              <w:rPr>
                <w:rFonts w:ascii="Verdana" w:hAnsi="Verdana" w:cs="Arial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 w:cs="Arial"/>
                <w:b/>
                <w:sz w:val="15"/>
                <w:szCs w:val="15"/>
                <w:lang w:eastAsia="en-US"/>
              </w:rPr>
              <w:t>Príjmy budúcich období krátkodobé, z toho: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F58EF" w:rsidRPr="00BF58EF" w:rsidRDefault="00454951" w:rsidP="00D36D54">
            <w:pPr>
              <w:spacing w:line="360" w:lineRule="auto"/>
              <w:jc w:val="right"/>
              <w:rPr>
                <w:rFonts w:ascii="Verdana" w:hAnsi="Verdana" w:cs="Arial"/>
                <w:b/>
                <w:sz w:val="15"/>
                <w:szCs w:val="15"/>
                <w:lang w:eastAsia="en-US"/>
              </w:rPr>
            </w:pPr>
            <w:r>
              <w:rPr>
                <w:rFonts w:ascii="Verdana" w:hAnsi="Verdana" w:cs="Arial"/>
                <w:b/>
                <w:sz w:val="15"/>
                <w:szCs w:val="15"/>
                <w:lang w:eastAsia="en-US"/>
              </w:rPr>
              <w:t>8 400</w:t>
            </w: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F58EF" w:rsidRPr="00BF58EF" w:rsidRDefault="00454951" w:rsidP="00D36D54">
            <w:pPr>
              <w:spacing w:line="360" w:lineRule="auto"/>
              <w:jc w:val="right"/>
              <w:rPr>
                <w:rFonts w:ascii="Verdana" w:hAnsi="Verdana" w:cs="Arial"/>
                <w:b/>
                <w:sz w:val="15"/>
                <w:szCs w:val="15"/>
                <w:lang w:eastAsia="en-US"/>
              </w:rPr>
            </w:pPr>
            <w:r>
              <w:rPr>
                <w:rFonts w:ascii="Verdana" w:hAnsi="Verdana" w:cs="Arial"/>
                <w:b/>
                <w:sz w:val="15"/>
                <w:szCs w:val="15"/>
                <w:lang w:eastAsia="en-US"/>
              </w:rPr>
              <w:t>743</w:t>
            </w:r>
          </w:p>
        </w:tc>
      </w:tr>
      <w:tr w:rsidR="00BF58EF" w:rsidRPr="00D36D54" w:rsidTr="00D36D54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F58EF" w:rsidRPr="00D36D54" w:rsidRDefault="00BF58EF" w:rsidP="00D36D54">
            <w:pPr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F58EF" w:rsidRPr="00D36D54" w:rsidRDefault="00BF58EF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</w:tcBorders>
            <w:vAlign w:val="center"/>
          </w:tcPr>
          <w:p w:rsidR="00BF58EF" w:rsidRPr="00D36D54" w:rsidRDefault="00BF58EF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  <w:tr w:rsidR="00BF58EF" w:rsidRPr="00D36D54" w:rsidTr="00D36D54">
        <w:trPr>
          <w:trHeight w:val="340"/>
          <w:jc w:val="center"/>
        </w:trPr>
        <w:tc>
          <w:tcPr>
            <w:tcW w:w="41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F58EF" w:rsidRPr="00D36D54" w:rsidRDefault="00BF58EF" w:rsidP="00D36D54">
            <w:pPr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5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F58EF" w:rsidRPr="00D36D54" w:rsidRDefault="00BF58EF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  <w:tc>
          <w:tcPr>
            <w:tcW w:w="2398" w:type="dxa"/>
            <w:tcBorders>
              <w:bottom w:val="single" w:sz="12" w:space="0" w:color="auto"/>
            </w:tcBorders>
            <w:vAlign w:val="center"/>
          </w:tcPr>
          <w:p w:rsidR="00BF58EF" w:rsidRPr="00D36D54" w:rsidRDefault="00BF58EF" w:rsidP="00D36D54">
            <w:pPr>
              <w:spacing w:line="360" w:lineRule="auto"/>
              <w:jc w:val="right"/>
              <w:rPr>
                <w:rFonts w:ascii="Verdana" w:hAnsi="Verdana" w:cs="Arial"/>
                <w:sz w:val="15"/>
                <w:szCs w:val="15"/>
                <w:lang w:eastAsia="en-US"/>
              </w:rPr>
            </w:pPr>
          </w:p>
        </w:tc>
      </w:tr>
    </w:tbl>
    <w:p w:rsidR="00D36D54" w:rsidRDefault="00D36D54" w:rsidP="00D36D54">
      <w:pPr>
        <w:jc w:val="both"/>
        <w:rPr>
          <w:rFonts w:ascii="Verdana" w:hAnsi="Verdana"/>
          <w:snapToGrid w:val="0"/>
          <w:sz w:val="18"/>
          <w:szCs w:val="20"/>
        </w:rPr>
      </w:pPr>
    </w:p>
    <w:p w:rsidR="00FE22AE" w:rsidRPr="00D36D54" w:rsidRDefault="00FE22AE" w:rsidP="00D36D54">
      <w:pPr>
        <w:jc w:val="both"/>
        <w:rPr>
          <w:rFonts w:ascii="Verdana" w:hAnsi="Verdana"/>
          <w:snapToGrid w:val="0"/>
          <w:sz w:val="18"/>
          <w:szCs w:val="20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ÚDAJE VYKÁZANÉ NA STRANE PASÍV SÚVAHY</w:t>
      </w:r>
    </w:p>
    <w:p w:rsidR="00D36D54" w:rsidRPr="00D36D54" w:rsidRDefault="00D36D54" w:rsidP="00D36D54">
      <w:pPr>
        <w:jc w:val="both"/>
        <w:rPr>
          <w:rFonts w:ascii="Verdana" w:hAnsi="Verdana"/>
          <w:b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Vlastné imanie (r. 067 súvahy) 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lastRenderedPageBreak/>
        <w:t>Informácie o vlastnom imaní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Základné imanie bolo celé upísané a splatené.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0C3C1A">
        <w:rPr>
          <w:rFonts w:ascii="Verdana" w:hAnsi="Verdana" w:cs="Arial"/>
          <w:bCs/>
          <w:sz w:val="17"/>
          <w:szCs w:val="26"/>
          <w:u w:val="single"/>
          <w:lang w:eastAsia="en-US"/>
        </w:rPr>
        <w:t>Rozdelenie účtovného zisku alebo vyrovnanie straty za rok 201</w:t>
      </w:r>
      <w:r w:rsidR="0016690A" w:rsidRPr="000C3C1A">
        <w:rPr>
          <w:rFonts w:ascii="Verdana" w:hAnsi="Verdana" w:cs="Arial"/>
          <w:bCs/>
          <w:sz w:val="17"/>
          <w:szCs w:val="26"/>
          <w:u w:val="single"/>
          <w:lang w:eastAsia="en-US"/>
        </w:rPr>
        <w:t>2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bookmarkStart w:id="57" w:name="_MON_1389768393"/>
    <w:bookmarkStart w:id="58" w:name="_MON_1389004638"/>
    <w:bookmarkEnd w:id="57"/>
    <w:bookmarkEnd w:id="58"/>
    <w:bookmarkStart w:id="59" w:name="_MON_1389004781"/>
    <w:bookmarkEnd w:id="59"/>
    <w:p w:rsidR="00D36D54" w:rsidRPr="00D36D54" w:rsidRDefault="00BF58EF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9302" w:dyaOrig="3552">
          <v:shape id="_x0000_i1031" type="#_x0000_t75" style="width:453pt;height:177.75pt" o:ole="" o:bordertopcolor="this" o:borderleftcolor="this">
            <v:imagedata r:id="rId23" o:title=""/>
            <w10:bordertop type="single" width="4"/>
            <w10:borderleft type="single" width="4"/>
          </v:shape>
          <o:OLEObject Type="Embed" ProgID="Excel.Sheet.8" ShapeID="_x0000_i1031" DrawAspect="Content" ObjectID="_1457096168" r:id="rId24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bookmarkStart w:id="60" w:name="_MON_1389768405"/>
    <w:bookmarkStart w:id="61" w:name="_MON_1389004838"/>
    <w:bookmarkStart w:id="62" w:name="_MON_1389004849"/>
    <w:bookmarkEnd w:id="60"/>
    <w:bookmarkEnd w:id="61"/>
    <w:bookmarkEnd w:id="62"/>
    <w:bookmarkStart w:id="63" w:name="_MON_1389005038"/>
    <w:bookmarkEnd w:id="63"/>
    <w:p w:rsidR="00D36D54" w:rsidRPr="00D36D54" w:rsidRDefault="00067156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9773" w:dyaOrig="3043">
          <v:shape id="_x0000_i1032" type="#_x0000_t75" style="width:452.25pt;height:152.25pt" o:ole="" o:bordertopcolor="this" o:borderleftcolor="this">
            <v:imagedata r:id="rId25" o:title=""/>
            <w10:bordertop type="single" width="4"/>
            <w10:borderleft type="single" width="4"/>
          </v:shape>
          <o:OLEObject Type="Embed" ProgID="Excel.Sheet.8" ShapeID="_x0000_i1032" DrawAspect="Content" ObjectID="_1457096169" r:id="rId26"/>
        </w:object>
      </w:r>
    </w:p>
    <w:p w:rsidR="0016690A" w:rsidRDefault="0016690A">
      <w:pPr>
        <w:rPr>
          <w:rFonts w:ascii="Verdana" w:hAnsi="Verdana" w:cs="Arial"/>
          <w:b/>
          <w:bCs/>
          <w:iCs/>
          <w:sz w:val="17"/>
          <w:szCs w:val="28"/>
          <w:lang w:eastAsia="en-US"/>
        </w:rPr>
        <w:sectPr w:rsidR="0016690A" w:rsidSect="00D30075">
          <w:footerReference w:type="default" r:id="rId27"/>
          <w:headerReference w:type="first" r:id="rId28"/>
          <w:pgSz w:w="11907" w:h="16840" w:code="9"/>
          <w:pgMar w:top="1418" w:right="1418" w:bottom="1418" w:left="1418" w:header="567" w:footer="567" w:gutter="0"/>
          <w:cols w:space="708"/>
          <w:docGrid w:linePitch="326"/>
        </w:sect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lastRenderedPageBreak/>
        <w:t>Rezervy (r. 089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BD4645" w:rsidRDefault="00BD4645" w:rsidP="00BD4645">
      <w:pPr>
        <w:pStyle w:val="Odsekzoznamu"/>
        <w:keepNext/>
        <w:numPr>
          <w:ilvl w:val="2"/>
          <w:numId w:val="20"/>
        </w:numPr>
        <w:jc w:val="both"/>
        <w:outlineLvl w:val="1"/>
        <w:rPr>
          <w:rFonts w:ascii="Verdana" w:hAnsi="Verdana"/>
          <w:snapToGrid w:val="0"/>
          <w:sz w:val="17"/>
          <w:szCs w:val="20"/>
        </w:rPr>
      </w:pPr>
      <w:bookmarkStart w:id="64" w:name="_MON_1389005097"/>
      <w:bookmarkEnd w:id="64"/>
      <w:r w:rsidRPr="00BD4645">
        <w:rPr>
          <w:rFonts w:ascii="Verdana" w:hAnsi="Verdana"/>
          <w:snapToGrid w:val="0"/>
          <w:sz w:val="17"/>
          <w:szCs w:val="20"/>
        </w:rPr>
        <w:t>Neboli</w:t>
      </w:r>
      <w:bookmarkStart w:id="65" w:name="_MON_1389768493"/>
      <w:bookmarkStart w:id="66" w:name="_MON_1389768499"/>
      <w:bookmarkStart w:id="67" w:name="_MON_1389016115"/>
      <w:bookmarkEnd w:id="65"/>
      <w:bookmarkEnd w:id="66"/>
      <w:bookmarkEnd w:id="67"/>
    </w:p>
    <w:p w:rsidR="00BD4645" w:rsidRDefault="00BD4645" w:rsidP="00D36D54">
      <w:pPr>
        <w:pStyle w:val="Odsekzoznamu"/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/>
          <w:snapToGrid w:val="0"/>
          <w:sz w:val="17"/>
          <w:szCs w:val="20"/>
        </w:rPr>
      </w:pPr>
    </w:p>
    <w:p w:rsidR="00D36D54" w:rsidRPr="00BD4645" w:rsidRDefault="00D36D54" w:rsidP="00D36D54">
      <w:pPr>
        <w:pStyle w:val="Odsekzoznamu"/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BD4645">
        <w:rPr>
          <w:rFonts w:ascii="Verdana" w:hAnsi="Verdana" w:cs="Arial"/>
          <w:b/>
          <w:bCs/>
          <w:iCs/>
          <w:sz w:val="17"/>
          <w:szCs w:val="28"/>
          <w:lang w:eastAsia="en-US"/>
        </w:rPr>
        <w:t>Záväzky (r. 094 a 106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Členenie záväzkov celkom, vrátane skupiny: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bookmarkStart w:id="68" w:name="_MON_1389006123"/>
    <w:bookmarkStart w:id="69" w:name="_MON_1389016163"/>
    <w:bookmarkStart w:id="70" w:name="_MON_1389174470"/>
    <w:bookmarkStart w:id="71" w:name="_MON_1389768457"/>
    <w:bookmarkStart w:id="72" w:name="_MON_1389768487"/>
    <w:bookmarkStart w:id="73" w:name="_MON_1389005635"/>
    <w:bookmarkStart w:id="74" w:name="_MON_1389005908"/>
    <w:bookmarkEnd w:id="68"/>
    <w:bookmarkEnd w:id="69"/>
    <w:bookmarkEnd w:id="70"/>
    <w:bookmarkEnd w:id="71"/>
    <w:bookmarkEnd w:id="72"/>
    <w:bookmarkEnd w:id="73"/>
    <w:bookmarkEnd w:id="74"/>
    <w:bookmarkStart w:id="75" w:name="_MON_1389006057"/>
    <w:bookmarkEnd w:id="75"/>
    <w:p w:rsidR="00D36D54" w:rsidRPr="00D36D54" w:rsidRDefault="00345798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  <w:r w:rsidRPr="00D36D54">
        <w:rPr>
          <w:rFonts w:ascii="Verdana" w:hAnsi="Verdana"/>
          <w:snapToGrid w:val="0"/>
          <w:sz w:val="17"/>
          <w:szCs w:val="20"/>
        </w:rPr>
        <w:object w:dxaOrig="9256" w:dyaOrig="9268">
          <v:shape id="_x0000_i1033" type="#_x0000_t75" style="width:451.5pt;height:463.5pt" o:ole="" o:bordertopcolor="this" o:borderleftcolor="this">
            <v:imagedata r:id="rId29" o:title=""/>
            <w10:bordertop type="single" width="4"/>
            <w10:borderleft type="single" width="4"/>
          </v:shape>
          <o:OLEObject Type="Embed" ProgID="Excel.Sheet.8" ShapeID="_x0000_i1033" DrawAspect="Content" ObjectID="_1457096170" r:id="rId30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 xml:space="preserve">Bežná lehota splatnosti záväzkov je </w:t>
      </w:r>
      <w:r w:rsidR="0017369E">
        <w:rPr>
          <w:rFonts w:ascii="Verdana" w:hAnsi="Verdana"/>
          <w:snapToGrid w:val="0"/>
          <w:sz w:val="17"/>
          <w:szCs w:val="20"/>
        </w:rPr>
        <w:t>14</w:t>
      </w:r>
      <w:r w:rsidRPr="00D36D54">
        <w:rPr>
          <w:rFonts w:ascii="Verdana" w:hAnsi="Verdana"/>
          <w:snapToGrid w:val="0"/>
          <w:sz w:val="17"/>
          <w:szCs w:val="20"/>
        </w:rPr>
        <w:t xml:space="preserve"> dní. 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  <w:u w:val="single"/>
        </w:rPr>
        <w:br w:type="page"/>
      </w:r>
      <w:bookmarkStart w:id="76" w:name="_MON_1389768474"/>
      <w:bookmarkStart w:id="77" w:name="_MON_1389006230"/>
      <w:bookmarkStart w:id="78" w:name="_MON_1389006285"/>
      <w:bookmarkStart w:id="79" w:name="_MON_1389006413"/>
      <w:bookmarkStart w:id="80" w:name="_MON_1389016276"/>
      <w:bookmarkEnd w:id="76"/>
      <w:bookmarkEnd w:id="77"/>
      <w:bookmarkEnd w:id="78"/>
      <w:bookmarkEnd w:id="79"/>
      <w:bookmarkEnd w:id="80"/>
      <w:bookmarkStart w:id="81" w:name="_MON_1389016315"/>
      <w:bookmarkEnd w:id="81"/>
      <w:r w:rsidR="00345798" w:rsidRPr="00D36D54">
        <w:rPr>
          <w:rFonts w:ascii="Verdana" w:hAnsi="Verdana"/>
          <w:snapToGrid w:val="0"/>
          <w:sz w:val="17"/>
          <w:szCs w:val="20"/>
        </w:rPr>
        <w:object w:dxaOrig="9412" w:dyaOrig="2954">
          <v:shape id="_x0000_i1034" type="#_x0000_t75" style="width:451.5pt;height:147.75pt" o:ole="" o:bordertopcolor="this" o:borderleftcolor="this">
            <v:imagedata r:id="rId31" o:title=""/>
            <w10:bordertop type="single" width="4"/>
            <w10:borderleft type="single" width="4"/>
          </v:shape>
          <o:OLEObject Type="Embed" ProgID="Excel.Sheet.8" ShapeID="_x0000_i1034" DrawAspect="Content" ObjectID="_1457096171" r:id="rId32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  <w:lang w:eastAsia="en-US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Záväzky zo sociálneho fondu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bookmarkStart w:id="82" w:name="_MON_1389006904"/>
    <w:bookmarkStart w:id="83" w:name="_MON_1389016405"/>
    <w:bookmarkStart w:id="84" w:name="_MON_1389016462"/>
    <w:bookmarkStart w:id="85" w:name="_MON_1389016498"/>
    <w:bookmarkStart w:id="86" w:name="_MON_1389768509"/>
    <w:bookmarkStart w:id="87" w:name="_MON_1389006672"/>
    <w:bookmarkStart w:id="88" w:name="_MON_1389006838"/>
    <w:bookmarkEnd w:id="82"/>
    <w:bookmarkEnd w:id="83"/>
    <w:bookmarkEnd w:id="84"/>
    <w:bookmarkEnd w:id="85"/>
    <w:bookmarkEnd w:id="86"/>
    <w:bookmarkEnd w:id="87"/>
    <w:bookmarkEnd w:id="88"/>
    <w:bookmarkStart w:id="89" w:name="_MON_1389006893"/>
    <w:bookmarkEnd w:id="89"/>
    <w:p w:rsidR="00D36D54" w:rsidRPr="00D36D54" w:rsidRDefault="00345798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object w:dxaOrig="9788" w:dyaOrig="3141">
          <v:shape id="_x0000_i1035" type="#_x0000_t75" style="width:451.5pt;height:156.75pt" o:ole="" o:bordertopcolor="this" o:borderleftcolor="this">
            <v:imagedata r:id="rId33" o:title=""/>
            <w10:bordertop type="single" width="4"/>
            <w10:borderleft type="single" width="4"/>
          </v:shape>
          <o:OLEObject Type="Embed" ProgID="Excel.Sheet.8" ShapeID="_x0000_i1035" DrawAspect="Content" ObjectID="_1457096172" r:id="rId34"/>
        </w:objec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Časové rozlíšenie (r. 121 súvahy)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lang w:val="en-GB"/>
        </w:rPr>
      </w:pPr>
    </w:p>
    <w:tbl>
      <w:tblPr>
        <w:tblW w:w="4851" w:type="pct"/>
        <w:tblInd w:w="108" w:type="dxa"/>
        <w:tblLook w:val="04A0" w:firstRow="1" w:lastRow="0" w:firstColumn="1" w:lastColumn="0" w:noHBand="0" w:noVBand="1"/>
      </w:tblPr>
      <w:tblGrid>
        <w:gridCol w:w="4217"/>
        <w:gridCol w:w="2528"/>
        <w:gridCol w:w="2265"/>
      </w:tblGrid>
      <w:tr w:rsidR="00D36D54" w:rsidRPr="00D36D54" w:rsidTr="00D36D54">
        <w:trPr>
          <w:trHeight w:val="772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Názov položky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Bežné účtovné obdobie</w:t>
            </w:r>
          </w:p>
        </w:tc>
        <w:tc>
          <w:tcPr>
            <w:tcW w:w="12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Bezprostredne predchádzajúce účtovné obdobie</w:t>
            </w: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Výdavky budúcich období dlhodobé, z toho: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Výdavky budúcich období krátkodobé, z toho: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Výnosy budúcich období dlhodobé, z toho: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Výnosy budúcich období krátkodobé, z toho: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4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25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</w:tbl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9008CC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724BB3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Výnosy</w:t>
      </w:r>
    </w:p>
    <w:p w:rsidR="00D36D54" w:rsidRPr="00D36D54" w:rsidRDefault="00D36D54" w:rsidP="00D36D54">
      <w:pPr>
        <w:jc w:val="both"/>
        <w:rPr>
          <w:rFonts w:ascii="Verdana" w:hAnsi="Verdana"/>
          <w:sz w:val="14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Výnosy z hospodárskej činnosti</w:t>
      </w:r>
    </w:p>
    <w:p w:rsidR="00D36D54" w:rsidRPr="00D36D54" w:rsidRDefault="00D36D54" w:rsidP="00D36D54">
      <w:pPr>
        <w:jc w:val="both"/>
        <w:rPr>
          <w:rFonts w:ascii="Verdana" w:hAnsi="Verdana"/>
          <w:b/>
          <w:snapToGrid w:val="0"/>
          <w:sz w:val="14"/>
          <w:szCs w:val="20"/>
        </w:rPr>
      </w:pPr>
    </w:p>
    <w:p w:rsidR="00D36D54" w:rsidRPr="00D36D54" w:rsidRDefault="00D36D54" w:rsidP="00D36D54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D36D54">
        <w:rPr>
          <w:rFonts w:ascii="Verdana" w:hAnsi="Verdana" w:cs="Arial"/>
          <w:bCs/>
          <w:sz w:val="17"/>
          <w:szCs w:val="26"/>
          <w:u w:val="single"/>
          <w:lang w:eastAsia="en-US"/>
        </w:rPr>
        <w:t>Tržby z predaja tovaru, vlastných výrobkov a služieb (r. 01 a 05 výkazu ziskov a strát)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17"/>
        </w:rPr>
      </w:pPr>
    </w:p>
    <w:bookmarkStart w:id="90" w:name="_MON_1389008160"/>
    <w:bookmarkStart w:id="91" w:name="_MON_1389008176"/>
    <w:bookmarkStart w:id="92" w:name="_MON_1389768574"/>
    <w:bookmarkStart w:id="93" w:name="_MON_1389768599"/>
    <w:bookmarkEnd w:id="90"/>
    <w:bookmarkEnd w:id="91"/>
    <w:bookmarkEnd w:id="92"/>
    <w:bookmarkEnd w:id="93"/>
    <w:bookmarkStart w:id="94" w:name="_MON_1389007952"/>
    <w:bookmarkEnd w:id="94"/>
    <w:p w:rsidR="00D36D54" w:rsidRPr="00D36D54" w:rsidRDefault="00B95904" w:rsidP="00D36D54">
      <w:pPr>
        <w:jc w:val="both"/>
        <w:rPr>
          <w:rFonts w:ascii="Verdana" w:hAnsi="Verdana"/>
          <w:snapToGrid w:val="0"/>
          <w:sz w:val="17"/>
          <w:szCs w:val="17"/>
        </w:rPr>
      </w:pPr>
      <w:r w:rsidRPr="00D36D54">
        <w:rPr>
          <w:rFonts w:ascii="Verdana" w:hAnsi="Verdana"/>
          <w:snapToGrid w:val="0"/>
          <w:sz w:val="17"/>
          <w:szCs w:val="17"/>
        </w:rPr>
        <w:object w:dxaOrig="9553" w:dyaOrig="3028">
          <v:shape id="_x0000_i1036" type="#_x0000_t75" style="width:453pt;height:151.5pt" o:ole="" o:bordertopcolor="this" o:borderleftcolor="this">
            <v:imagedata r:id="rId35" o:title=""/>
            <w10:bordertop type="single" width="4"/>
            <w10:borderleft type="single" width="4"/>
          </v:shape>
          <o:OLEObject Type="Embed" ProgID="Excel.Sheet.8" ShapeID="_x0000_i1036" DrawAspect="Content" ObjectID="_1457096173" r:id="rId36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17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17"/>
        </w:rPr>
      </w:pPr>
    </w:p>
    <w:p w:rsidR="00D36D54" w:rsidRPr="00990770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990770">
        <w:rPr>
          <w:rFonts w:ascii="Verdana" w:hAnsi="Verdana" w:cs="Arial"/>
          <w:b/>
          <w:bCs/>
          <w:iCs/>
          <w:sz w:val="17"/>
          <w:szCs w:val="28"/>
          <w:lang w:eastAsia="en-US"/>
        </w:rPr>
        <w:t>Výnosy pri aktivácií nákladov, ostatné výnosy z hospodárskej činnosti, výnosy z finančnej a mimoriadnej činnosti</w:t>
      </w:r>
    </w:p>
    <w:p w:rsidR="00D36D54" w:rsidRPr="00990770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tbl>
      <w:tblPr>
        <w:tblW w:w="4897" w:type="pct"/>
        <w:tblInd w:w="108" w:type="dxa"/>
        <w:tblLook w:val="04A0" w:firstRow="1" w:lastRow="0" w:firstColumn="1" w:lastColumn="0" w:noHBand="0" w:noVBand="1"/>
      </w:tblPr>
      <w:tblGrid>
        <w:gridCol w:w="5963"/>
        <w:gridCol w:w="1541"/>
        <w:gridCol w:w="1592"/>
      </w:tblGrid>
      <w:tr w:rsidR="00D36D54" w:rsidRPr="00D36D54" w:rsidTr="00D36D54">
        <w:trPr>
          <w:trHeight w:val="884"/>
        </w:trPr>
        <w:tc>
          <w:tcPr>
            <w:tcW w:w="32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990770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Názov položky</w:t>
            </w:r>
          </w:p>
        </w:tc>
        <w:tc>
          <w:tcPr>
            <w:tcW w:w="8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990770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Bežné účtovné obdobie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990770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Bezprostredne predchádzajúce účtovné obdobie</w:t>
            </w: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Významné položky pri aktivácii nákladov, z toho:</w:t>
            </w: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Ostatné významné položky výnosov z hospodárskej činnosti, z toho:</w:t>
            </w: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F2F7A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107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F2F7A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Odpis záväzku</w:t>
            </w: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F2F7A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107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Finančné výnosy, z toho:</w:t>
            </w: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766C6B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</w:tr>
      <w:tr w:rsidR="00D36D54" w:rsidRPr="00D36D54" w:rsidTr="00D36D54">
        <w:trPr>
          <w:trHeight w:val="345"/>
        </w:trPr>
        <w:tc>
          <w:tcPr>
            <w:tcW w:w="327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Mimoriadne výnosy, z toho:</w:t>
            </w:r>
          </w:p>
        </w:tc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278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5"/>
        </w:trPr>
        <w:tc>
          <w:tcPr>
            <w:tcW w:w="327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</w:p>
        </w:tc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</w:tbl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FE22AE" w:rsidRDefault="00FE22AE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FE22AE" w:rsidRPr="00D36D54" w:rsidRDefault="00FE22AE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766C6B" w:rsidRPr="00D36D54" w:rsidRDefault="00766C6B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napToGrid w:val="0"/>
          <w:sz w:val="17"/>
          <w:szCs w:val="28"/>
        </w:rPr>
      </w:pPr>
      <w:r w:rsidRPr="00D36D54">
        <w:rPr>
          <w:rFonts w:ascii="Verdana" w:hAnsi="Verdana" w:cs="Arial"/>
          <w:b/>
          <w:bCs/>
          <w:iCs/>
          <w:snapToGrid w:val="0"/>
          <w:sz w:val="17"/>
          <w:szCs w:val="28"/>
        </w:rPr>
        <w:lastRenderedPageBreak/>
        <w:t>Čistý obrat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</w:rPr>
      </w:pPr>
    </w:p>
    <w:bookmarkStart w:id="95" w:name="_MON_1389768644"/>
    <w:bookmarkStart w:id="96" w:name="_MON_1389008348"/>
    <w:bookmarkStart w:id="97" w:name="_MON_1389768630"/>
    <w:bookmarkEnd w:id="95"/>
    <w:bookmarkEnd w:id="96"/>
    <w:bookmarkEnd w:id="97"/>
    <w:bookmarkStart w:id="98" w:name="_MON_1389768639"/>
    <w:bookmarkEnd w:id="98"/>
    <w:p w:rsidR="00D36D54" w:rsidRPr="00D36D54" w:rsidRDefault="00F12575" w:rsidP="00D36D54">
      <w:pPr>
        <w:jc w:val="both"/>
        <w:rPr>
          <w:rFonts w:ascii="Verdana" w:hAnsi="Verdana"/>
          <w:sz w:val="17"/>
          <w:szCs w:val="20"/>
        </w:rPr>
      </w:pPr>
      <w:r w:rsidRPr="00D36D54">
        <w:rPr>
          <w:rFonts w:ascii="Verdana" w:hAnsi="Verdana"/>
          <w:sz w:val="17"/>
          <w:szCs w:val="20"/>
        </w:rPr>
        <w:object w:dxaOrig="9177" w:dyaOrig="2796">
          <v:shape id="_x0000_i1037" type="#_x0000_t75" style="width:453pt;height:139.5pt" o:ole="" o:bordertopcolor="this" o:borderleftcolor="this">
            <v:imagedata r:id="rId37" o:title=""/>
            <w10:bordertop type="single" width="4"/>
            <w10:borderleft type="single" width="4"/>
          </v:shape>
          <o:OLEObject Type="Embed" ProgID="Excel.Sheet.8" ShapeID="_x0000_i1037" DrawAspect="Content" ObjectID="_1457096174" r:id="rId38"/>
        </w:objec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br w:type="page"/>
      </w: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lastRenderedPageBreak/>
        <w:t>NÁKLADY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tbl>
      <w:tblPr>
        <w:tblW w:w="4897" w:type="pct"/>
        <w:tblInd w:w="108" w:type="dxa"/>
        <w:tblLayout w:type="fixed"/>
        <w:tblLook w:val="04A0" w:firstRow="1" w:lastRow="0" w:firstColumn="1" w:lastColumn="0" w:noHBand="0" w:noVBand="1"/>
      </w:tblPr>
      <w:tblGrid>
        <w:gridCol w:w="5704"/>
        <w:gridCol w:w="1777"/>
        <w:gridCol w:w="1615"/>
      </w:tblGrid>
      <w:tr w:rsidR="00D36D54" w:rsidRPr="00D36D54" w:rsidTr="00D36D54">
        <w:trPr>
          <w:trHeight w:val="1005"/>
        </w:trPr>
        <w:tc>
          <w:tcPr>
            <w:tcW w:w="31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Názov položky</w:t>
            </w:r>
          </w:p>
        </w:tc>
        <w:tc>
          <w:tcPr>
            <w:tcW w:w="9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Bežné účtovné obdobie</w:t>
            </w:r>
          </w:p>
        </w:tc>
        <w:tc>
          <w:tcPr>
            <w:tcW w:w="8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Bezprostredne predchádzajúce účtovné obdobie</w:t>
            </w:r>
          </w:p>
        </w:tc>
      </w:tr>
      <w:tr w:rsidR="00D36D54" w:rsidRPr="00D36D54" w:rsidTr="00D36D54">
        <w:trPr>
          <w:trHeight w:val="377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Náklady za poskytnuté služby,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897" w:rsidRPr="00D36D54" w:rsidRDefault="00541897" w:rsidP="00541897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77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Náklady voči audítorovi, audítorskej spoločnosti,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náklady za overenie individuálnej účtovnej závierky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 xml:space="preserve">iné </w:t>
            </w:r>
            <w:proofErr w:type="spellStart"/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uisťovacie</w:t>
            </w:r>
            <w:proofErr w:type="spellEnd"/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 xml:space="preserve"> audítorské služby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súvisiace audítorské služby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daňové poradenstvo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ostatné neaudítorské služby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Ostatné významné položky nákladov za poskytnuté služby, z toho: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218" w:rsidRPr="00D36D54" w:rsidRDefault="00CB2808" w:rsidP="005B0218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i/>
                <w:sz w:val="15"/>
                <w:szCs w:val="15"/>
                <w:lang w:eastAsia="en-US"/>
              </w:rPr>
              <w:t>17 815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B2808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i/>
                <w:sz w:val="15"/>
                <w:szCs w:val="15"/>
                <w:lang w:eastAsia="en-US"/>
              </w:rPr>
              <w:t>17 697</w:t>
            </w: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766C6B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Opravy a udržiavanie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B2808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12 099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766C6B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Cestovné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B2808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2 037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766C6B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Náklady na reprezentáciu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CB2808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1 069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766C6B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Provízie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766C6B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Prenájom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766C6B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Skladné a manipulácia s tovarom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766C6B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C1502E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Internetové pripojenie, server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6C6B" w:rsidRPr="00D36D54" w:rsidRDefault="00766C6B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C1502E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502E" w:rsidRPr="00D36D54" w:rsidRDefault="00C1502E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Právne a účtovné služby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502E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502E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C1502E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502E" w:rsidRPr="00D36D54" w:rsidRDefault="00C1502E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Náklady na telefón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502E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502E" w:rsidRPr="00D36D54" w:rsidRDefault="00C1502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1502E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Ostatné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CB2808" w:rsidP="00C1502E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2 610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Ostatné významné položky nákladov z hospodárskej činnosti</w:t>
            </w: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D30F3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717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043B3D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757</w:t>
            </w: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0B5001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Zostatková cena predaného dlhodobého majetku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0B5001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Penále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D54" w:rsidRPr="00D36D54" w:rsidRDefault="000B5001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Ostatné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Finančné náklady,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D30F3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591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D30F3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1 095</w:t>
            </w: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Kurzové straty,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29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kurzové straty ku dňu, ku ktorému sa zostavuje účtovná závierka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i/>
                <w:sz w:val="15"/>
                <w:szCs w:val="15"/>
                <w:lang w:eastAsia="en-US"/>
              </w:rPr>
              <w:t>Ostatné významné položky finančných nákladov, z toho: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i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C1502E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Nákladové úroky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D30F3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591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D30F3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1 095</w:t>
            </w:r>
          </w:p>
        </w:tc>
      </w:tr>
      <w:tr w:rsidR="00D36D54" w:rsidRPr="00D36D54" w:rsidTr="00D36D54">
        <w:trPr>
          <w:trHeight w:val="383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C1502E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Bankové poplatky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Mimoriadne náklady,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5"/>
        </w:trPr>
        <w:tc>
          <w:tcPr>
            <w:tcW w:w="3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</w:p>
        </w:tc>
        <w:tc>
          <w:tcPr>
            <w:tcW w:w="9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D36D54">
        <w:trPr>
          <w:trHeight w:val="345"/>
        </w:trPr>
        <w:tc>
          <w:tcPr>
            <w:tcW w:w="31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</w:p>
        </w:tc>
        <w:tc>
          <w:tcPr>
            <w:tcW w:w="9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</w:tbl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lastRenderedPageBreak/>
        <w:t>DAŇ Z PRÍJMOV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8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Sadzba dane z príjmov pre rok 201</w:t>
      </w:r>
      <w:r w:rsidR="00AB1BCE">
        <w:rPr>
          <w:rFonts w:ascii="Verdana" w:hAnsi="Verdana"/>
          <w:snapToGrid w:val="0"/>
          <w:sz w:val="17"/>
          <w:szCs w:val="20"/>
        </w:rPr>
        <w:t>3</w:t>
      </w:r>
      <w:r w:rsidRPr="00D36D54">
        <w:rPr>
          <w:rFonts w:ascii="Verdana" w:hAnsi="Verdana"/>
          <w:snapToGrid w:val="0"/>
          <w:sz w:val="17"/>
          <w:szCs w:val="20"/>
        </w:rPr>
        <w:t xml:space="preserve"> je </w:t>
      </w:r>
      <w:r w:rsidR="00AB1BCE">
        <w:rPr>
          <w:rFonts w:ascii="Verdana" w:hAnsi="Verdana"/>
          <w:snapToGrid w:val="0"/>
          <w:sz w:val="17"/>
          <w:szCs w:val="20"/>
        </w:rPr>
        <w:t>23</w:t>
      </w:r>
      <w:r w:rsidRPr="00D36D54">
        <w:rPr>
          <w:rFonts w:ascii="Verdana" w:hAnsi="Verdana"/>
          <w:snapToGrid w:val="0"/>
          <w:sz w:val="17"/>
          <w:szCs w:val="20"/>
        </w:rPr>
        <w:t xml:space="preserve"> %. Spoločnosť nemala žiadne úľavy z daní. Štruktúra výpočtu splatnej dane z príjmov za rok 2011 je uvedená v prílohe v tabuľke č. 2. </w:t>
      </w:r>
    </w:p>
    <w:p w:rsidR="00D36D54" w:rsidRPr="00D36D54" w:rsidRDefault="00D36D54" w:rsidP="00AB1BCE">
      <w:pPr>
        <w:jc w:val="right"/>
        <w:rPr>
          <w:rFonts w:ascii="Verdana" w:hAnsi="Verdana"/>
          <w:snapToGrid w:val="0"/>
          <w:sz w:val="18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  <w:r w:rsidRPr="0084288F">
        <w:rPr>
          <w:rFonts w:ascii="Verdana" w:hAnsi="Verdana"/>
          <w:snapToGrid w:val="0"/>
          <w:sz w:val="17"/>
          <w:szCs w:val="20"/>
          <w:u w:val="single"/>
        </w:rPr>
        <w:t>Odsúhlasenie dane z príjmov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tbl>
      <w:tblPr>
        <w:tblW w:w="4961" w:type="pct"/>
        <w:tblInd w:w="108" w:type="dxa"/>
        <w:tblLayout w:type="fixed"/>
        <w:tblLook w:val="04A0" w:firstRow="1" w:lastRow="0" w:firstColumn="1" w:lastColumn="0" w:noHBand="0" w:noVBand="1"/>
      </w:tblPr>
      <w:tblGrid>
        <w:gridCol w:w="2412"/>
        <w:gridCol w:w="1516"/>
        <w:gridCol w:w="1145"/>
        <w:gridCol w:w="712"/>
        <w:gridCol w:w="1548"/>
        <w:gridCol w:w="1047"/>
        <w:gridCol w:w="835"/>
      </w:tblGrid>
      <w:tr w:rsidR="00D36D54" w:rsidRPr="00D36D54" w:rsidTr="00AB1BCE">
        <w:trPr>
          <w:trHeight w:val="642"/>
        </w:trPr>
        <w:tc>
          <w:tcPr>
            <w:tcW w:w="24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Názov položky</w:t>
            </w:r>
          </w:p>
        </w:tc>
        <w:tc>
          <w:tcPr>
            <w:tcW w:w="33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Bežné účtovné obdobie</w:t>
            </w:r>
          </w:p>
        </w:tc>
        <w:tc>
          <w:tcPr>
            <w:tcW w:w="34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Bezprostredne predchádzajúce účtovné obdobie</w:t>
            </w:r>
          </w:p>
        </w:tc>
      </w:tr>
      <w:tr w:rsidR="00D36D54" w:rsidRPr="00D36D54" w:rsidTr="00AB1BCE">
        <w:trPr>
          <w:trHeight w:val="345"/>
        </w:trPr>
        <w:tc>
          <w:tcPr>
            <w:tcW w:w="241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Základ dane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Daň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Daň v %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Základ dane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Daň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z w:val="15"/>
                <w:szCs w:val="15"/>
                <w:lang w:eastAsia="en-US"/>
              </w:rPr>
              <w:t>Daň v %</w:t>
            </w: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a</w:t>
            </w:r>
          </w:p>
        </w:tc>
        <w:tc>
          <w:tcPr>
            <w:tcW w:w="151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b</w:t>
            </w:r>
          </w:p>
        </w:tc>
        <w:tc>
          <w:tcPr>
            <w:tcW w:w="11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c</w:t>
            </w:r>
          </w:p>
        </w:tc>
        <w:tc>
          <w:tcPr>
            <w:tcW w:w="71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d</w:t>
            </w:r>
          </w:p>
        </w:tc>
        <w:tc>
          <w:tcPr>
            <w:tcW w:w="15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e</w:t>
            </w:r>
          </w:p>
        </w:tc>
        <w:tc>
          <w:tcPr>
            <w:tcW w:w="10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f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g</w:t>
            </w: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Výsledok hospodárenia pred  zdanením, z toho: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31078F" w:rsidP="0031078F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-9 575</w:t>
            </w:r>
          </w:p>
        </w:tc>
        <w:tc>
          <w:tcPr>
            <w:tcW w:w="11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2D0945" w:rsidP="00B82587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-</w:t>
            </w:r>
            <w:r w:rsidR="00B82587">
              <w:rPr>
                <w:rFonts w:ascii="Verdana" w:hAnsi="Verdana"/>
                <w:sz w:val="15"/>
                <w:szCs w:val="15"/>
                <w:lang w:eastAsia="en-US"/>
              </w:rPr>
              <w:t>22 833</w:t>
            </w:r>
          </w:p>
        </w:tc>
        <w:tc>
          <w:tcPr>
            <w:tcW w:w="10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83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 xml:space="preserve">teoretická daň 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23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19</w:t>
            </w: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3FB2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>Daňovo neuznané náklady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31078F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1 259</w:t>
            </w:r>
          </w:p>
        </w:tc>
        <w:tc>
          <w:tcPr>
            <w:tcW w:w="114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B82587" w:rsidP="00AB1BCE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8 753</w:t>
            </w: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3FB2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>Výnosy nepodliehajúce dani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14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3FB2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>Umorenie daňovej straty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CC07B3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  <w:r w:rsidR="00AB1BCE">
              <w:rPr>
                <w:rFonts w:ascii="Verdana" w:hAnsi="Verdana"/>
                <w:sz w:val="15"/>
                <w:szCs w:val="15"/>
                <w:lang w:eastAsia="en-US"/>
              </w:rPr>
              <w:t>-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3FB2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>Spolu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2D0945" w:rsidP="0031078F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-</w:t>
            </w:r>
            <w:r w:rsidR="0031078F">
              <w:rPr>
                <w:rFonts w:ascii="Verdana" w:hAnsi="Verdana"/>
                <w:sz w:val="15"/>
                <w:szCs w:val="15"/>
                <w:lang w:eastAsia="en-US"/>
              </w:rPr>
              <w:t>8 316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B82587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14 080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3FB2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>Splatná daň z príjmov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0</w:t>
            </w:r>
            <w:r w:rsidR="00D36D54"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0</w:t>
            </w:r>
          </w:p>
        </w:tc>
      </w:tr>
      <w:tr w:rsidR="00D36D54" w:rsidRPr="00D36D54" w:rsidTr="00AB1BCE">
        <w:trPr>
          <w:trHeight w:val="330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3FB2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>Odložená daň z príjmov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0</w:t>
            </w:r>
            <w:r w:rsidR="00D36D54"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0</w:t>
            </w:r>
          </w:p>
        </w:tc>
      </w:tr>
      <w:tr w:rsidR="00D36D54" w:rsidRPr="00D36D54" w:rsidTr="00AB1BCE">
        <w:trPr>
          <w:trHeight w:val="345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3FB2" w:rsidRDefault="00D36D54" w:rsidP="00D36D54">
            <w:pPr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3FB2">
              <w:rPr>
                <w:rFonts w:ascii="Verdana" w:hAnsi="Verdana"/>
                <w:sz w:val="15"/>
                <w:szCs w:val="15"/>
                <w:lang w:eastAsia="en-US"/>
              </w:rPr>
              <w:t xml:space="preserve">Celková daň z príjmov 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right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0</w:t>
            </w:r>
            <w:r w:rsidR="00D36D54" w:rsidRPr="00D36D54">
              <w:rPr>
                <w:rFonts w:ascii="Verdana" w:hAnsi="Verdana"/>
                <w:sz w:val="15"/>
                <w:szCs w:val="15"/>
                <w:lang w:eastAsia="en-US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36D54" w:rsidRPr="00D36D54" w:rsidRDefault="00AB1BCE" w:rsidP="00D36D54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>
              <w:rPr>
                <w:rFonts w:ascii="Verdana" w:hAnsi="Verdana"/>
                <w:sz w:val="15"/>
                <w:szCs w:val="15"/>
                <w:lang w:eastAsia="en-US"/>
              </w:rPr>
              <w:t>0</w:t>
            </w:r>
          </w:p>
        </w:tc>
      </w:tr>
    </w:tbl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u w:val="single"/>
        </w:rPr>
      </w:pPr>
    </w:p>
    <w:p w:rsidR="00D36D54" w:rsidRPr="00D36D54" w:rsidRDefault="00D36D54" w:rsidP="00D36D54">
      <w:pPr>
        <w:jc w:val="both"/>
        <w:rPr>
          <w:rFonts w:ascii="Verdana" w:hAnsi="Verdana"/>
          <w:b/>
          <w:bCs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b/>
          <w:bCs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br w:type="page"/>
      </w: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lastRenderedPageBreak/>
        <w:t>PODSÚVAHOVÉ ÚČTY</w:t>
      </w:r>
    </w:p>
    <w:p w:rsidR="00D36D54" w:rsidRDefault="00D36D54" w:rsidP="00D36D54">
      <w:pPr>
        <w:jc w:val="both"/>
        <w:rPr>
          <w:rFonts w:ascii="Verdana" w:hAnsi="Verdana"/>
          <w:sz w:val="14"/>
          <w:szCs w:val="20"/>
          <w:lang w:eastAsia="en-US"/>
        </w:rPr>
      </w:pPr>
    </w:p>
    <w:p w:rsidR="00AB1BCE" w:rsidRPr="00D36D54" w:rsidRDefault="00AB1BCE" w:rsidP="00D36D54">
      <w:pPr>
        <w:jc w:val="both"/>
        <w:rPr>
          <w:rFonts w:ascii="Verdana" w:hAnsi="Verdana"/>
          <w:sz w:val="14"/>
          <w:szCs w:val="20"/>
          <w:lang w:eastAsia="en-US"/>
        </w:rPr>
      </w:pPr>
      <w:r>
        <w:rPr>
          <w:rFonts w:ascii="Verdana" w:hAnsi="Verdana"/>
          <w:sz w:val="14"/>
          <w:szCs w:val="20"/>
          <w:lang w:eastAsia="en-US"/>
        </w:rPr>
        <w:t>Spoločnosť nemá.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INÉ AKTÍVA A INÉ PASÍVA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Podmienené záväzky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7C13AA" w:rsidP="00D36D54">
      <w:pPr>
        <w:jc w:val="both"/>
        <w:rPr>
          <w:rFonts w:ascii="Verdana" w:hAnsi="Verdana"/>
          <w:snapToGrid w:val="0"/>
          <w:sz w:val="17"/>
          <w:szCs w:val="20"/>
          <w:lang w:eastAsia="en-US"/>
        </w:rPr>
      </w:pPr>
      <w:r>
        <w:rPr>
          <w:rFonts w:ascii="Verdana" w:hAnsi="Verdana"/>
          <w:snapToGrid w:val="0"/>
          <w:sz w:val="17"/>
          <w:szCs w:val="20"/>
          <w:lang w:eastAsia="en-US"/>
        </w:rPr>
        <w:t>Spoločnosť nemá.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Emisné kvóty</w:t>
      </w:r>
    </w:p>
    <w:p w:rsidR="00AB1BCE" w:rsidRDefault="00AB1BCE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</w:p>
    <w:p w:rsidR="00AB1BCE" w:rsidRPr="00AB1BCE" w:rsidRDefault="00AB1BCE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Cs/>
          <w:iCs/>
          <w:sz w:val="17"/>
          <w:szCs w:val="28"/>
          <w:lang w:eastAsia="en-US"/>
        </w:rPr>
      </w:pPr>
      <w:r w:rsidRPr="00AB1BCE">
        <w:rPr>
          <w:rFonts w:ascii="Verdana" w:hAnsi="Verdana" w:cs="Arial"/>
          <w:bCs/>
          <w:iCs/>
          <w:sz w:val="17"/>
          <w:szCs w:val="28"/>
          <w:lang w:eastAsia="en-US"/>
        </w:rPr>
        <w:t xml:space="preserve">Spoločnosť nemá. </w:t>
      </w:r>
    </w:p>
    <w:p w:rsidR="00AB1BCE" w:rsidRDefault="00AB1BCE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Budúce práva a</w:t>
      </w:r>
      <w:r w:rsidRPr="00D36D54">
        <w:rPr>
          <w:rFonts w:ascii="Verdana" w:hAnsi="Verdana" w:cs="Arial" w:hint="eastAsia"/>
          <w:b/>
          <w:bCs/>
          <w:iCs/>
          <w:sz w:val="17"/>
          <w:szCs w:val="28"/>
          <w:lang w:eastAsia="en-US"/>
        </w:rPr>
        <w:t> </w:t>
      </w: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povinnosti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AB1BCE" w:rsidRDefault="00AB1BCE" w:rsidP="00D36D54">
      <w:pPr>
        <w:jc w:val="both"/>
        <w:rPr>
          <w:rFonts w:ascii="Verdana" w:hAnsi="Verdana" w:cs="Arial"/>
          <w:color w:val="000000" w:themeColor="text1"/>
          <w:sz w:val="17"/>
          <w:szCs w:val="20"/>
          <w:lang w:eastAsia="en-US"/>
        </w:rPr>
      </w:pPr>
      <w:r w:rsidRPr="00AB1BCE">
        <w:rPr>
          <w:rFonts w:ascii="Verdana" w:hAnsi="Verdana" w:cs="Arial"/>
          <w:i/>
          <w:color w:val="000000" w:themeColor="text1"/>
          <w:sz w:val="17"/>
          <w:szCs w:val="20"/>
          <w:lang w:eastAsia="en-US"/>
        </w:rPr>
        <w:t>Netýka sa spoločnosti.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Podmienený majetok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AB1BCE" w:rsidRPr="00AB1BCE" w:rsidRDefault="00AB1BCE" w:rsidP="00AB1BCE">
      <w:pPr>
        <w:jc w:val="both"/>
        <w:rPr>
          <w:rFonts w:ascii="Verdana" w:hAnsi="Verdana" w:cs="Arial"/>
          <w:color w:val="000000" w:themeColor="text1"/>
          <w:sz w:val="17"/>
          <w:szCs w:val="20"/>
          <w:lang w:eastAsia="en-US"/>
        </w:rPr>
      </w:pPr>
      <w:r w:rsidRPr="00AB1BCE">
        <w:rPr>
          <w:rFonts w:ascii="Verdana" w:hAnsi="Verdana" w:cs="Arial"/>
          <w:i/>
          <w:color w:val="000000" w:themeColor="text1"/>
          <w:sz w:val="17"/>
          <w:szCs w:val="20"/>
          <w:lang w:eastAsia="en-US"/>
        </w:rPr>
        <w:t>Netýka sa spoločnosti.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PRÍJMY A VÝHODY ČLENOV ŠTATUTÁRNYCH, DOZORNÝCH A INÝCH ORGÁNOV SPOLOČNOSTI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AB1BCE" w:rsidRPr="00AB1BCE" w:rsidRDefault="00AB1BCE" w:rsidP="00AB1BCE">
      <w:pPr>
        <w:jc w:val="both"/>
        <w:rPr>
          <w:rFonts w:ascii="Verdana" w:hAnsi="Verdana" w:cs="Arial"/>
          <w:color w:val="000000" w:themeColor="text1"/>
          <w:sz w:val="17"/>
          <w:szCs w:val="20"/>
          <w:lang w:eastAsia="en-US"/>
        </w:rPr>
      </w:pPr>
      <w:r w:rsidRPr="00AB1BCE">
        <w:rPr>
          <w:rFonts w:ascii="Verdana" w:hAnsi="Verdana" w:cs="Arial"/>
          <w:i/>
          <w:color w:val="000000" w:themeColor="text1"/>
          <w:sz w:val="17"/>
          <w:szCs w:val="20"/>
          <w:lang w:eastAsia="en-US"/>
        </w:rPr>
        <w:t>Netýka sa spoločnosti.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color w:val="000000"/>
          <w:sz w:val="17"/>
          <w:szCs w:val="20"/>
        </w:rPr>
      </w:pPr>
    </w:p>
    <w:p w:rsidR="00D36D54" w:rsidRPr="00990770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990770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SPRIAZNENÉ OSOBY</w:t>
      </w:r>
    </w:p>
    <w:p w:rsidR="00D36D54" w:rsidRPr="00D36D54" w:rsidRDefault="00D36D54" w:rsidP="00D36D54">
      <w:pPr>
        <w:jc w:val="both"/>
        <w:rPr>
          <w:rFonts w:ascii="Verdana" w:hAnsi="Verdana"/>
          <w:b/>
          <w:snapToGrid w:val="0"/>
          <w:color w:val="00000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color w:val="000000"/>
          <w:sz w:val="17"/>
          <w:szCs w:val="20"/>
        </w:rPr>
      </w:pPr>
      <w:r w:rsidRPr="00D36D54">
        <w:rPr>
          <w:rFonts w:ascii="Verdana" w:hAnsi="Verdana"/>
          <w:snapToGrid w:val="0"/>
          <w:color w:val="000000"/>
          <w:sz w:val="17"/>
          <w:szCs w:val="20"/>
        </w:rPr>
        <w:t>Medzi spriaznené osoby patria akcionári, členovia predstavenstva, sesterské spoločnosti a spoločnosti, v ktorých podiel na základnom imaní presahuje 20 % (dcérske a pridružené spoločnosti a spoločné podniky).</w:t>
      </w:r>
    </w:p>
    <w:p w:rsidR="00D36D54" w:rsidRPr="00D36D54" w:rsidRDefault="00D36D54" w:rsidP="00D36D54">
      <w:pPr>
        <w:jc w:val="both"/>
        <w:rPr>
          <w:rFonts w:ascii="Verdana" w:hAnsi="Verdana"/>
          <w:b/>
          <w:snapToGrid w:val="0"/>
          <w:color w:val="000000"/>
          <w:sz w:val="17"/>
          <w:szCs w:val="20"/>
        </w:rPr>
      </w:pPr>
    </w:p>
    <w:p w:rsidR="00BC4CF8" w:rsidRPr="00AD0933" w:rsidRDefault="00AD0933" w:rsidP="00AD0933">
      <w:pPr>
        <w:pStyle w:val="Odsekzoznamu"/>
        <w:numPr>
          <w:ilvl w:val="2"/>
          <w:numId w:val="20"/>
        </w:numPr>
        <w:jc w:val="both"/>
        <w:rPr>
          <w:sz w:val="18"/>
          <w:szCs w:val="20"/>
          <w:lang w:eastAsia="en-US"/>
        </w:rPr>
      </w:pPr>
      <w:r>
        <w:rPr>
          <w:sz w:val="18"/>
          <w:szCs w:val="20"/>
          <w:lang w:eastAsia="en-US"/>
        </w:rPr>
        <w:t>Nie sú</w:t>
      </w:r>
    </w:p>
    <w:p w:rsidR="00BC4CF8" w:rsidRPr="00BC4CF8" w:rsidRDefault="00BC4CF8" w:rsidP="00BC4CF8">
      <w:pPr>
        <w:ind w:left="426"/>
        <w:jc w:val="both"/>
        <w:rPr>
          <w:sz w:val="18"/>
          <w:szCs w:val="20"/>
          <w:lang w:eastAsia="en-US"/>
        </w:rPr>
      </w:pPr>
    </w:p>
    <w:p w:rsidR="00BC4CF8" w:rsidRPr="00BC4CF8" w:rsidRDefault="00BC4CF8" w:rsidP="00BC4CF8">
      <w:pPr>
        <w:ind w:left="426"/>
        <w:jc w:val="both"/>
        <w:rPr>
          <w:sz w:val="18"/>
          <w:szCs w:val="20"/>
          <w:lang w:eastAsia="en-US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SKUTOČNOSTI, KTORÉ NASTALI PO DNI, KU KTORÉMU SA ZOSTAVUJE ÚČTOVNÁ ZÁVIERKA, A DO DŇA ZOSTAVENIA ÚČTOVNEJ ZÁVIERKY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u w:val="single"/>
          <w:lang w:eastAsia="en-US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Po 31. decembri 201</w:t>
      </w:r>
      <w:r w:rsidR="00AB1BCE">
        <w:rPr>
          <w:rFonts w:ascii="Verdana" w:hAnsi="Verdana"/>
          <w:snapToGrid w:val="0"/>
          <w:sz w:val="17"/>
          <w:szCs w:val="20"/>
        </w:rPr>
        <w:t>3</w:t>
      </w:r>
      <w:r w:rsidRPr="00D36D54">
        <w:rPr>
          <w:rFonts w:ascii="Verdana" w:hAnsi="Verdana"/>
          <w:snapToGrid w:val="0"/>
          <w:sz w:val="17"/>
          <w:szCs w:val="20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AB4FD7" w:rsidRPr="00AB4FD7" w:rsidRDefault="00AB4FD7" w:rsidP="00AB4FD7">
      <w:pPr>
        <w:pStyle w:val="Odsekzoznamu"/>
        <w:numPr>
          <w:ilvl w:val="2"/>
          <w:numId w:val="20"/>
        </w:numPr>
        <w:jc w:val="both"/>
        <w:rPr>
          <w:rFonts w:ascii="Verdana" w:hAnsi="Verdana"/>
          <w:snapToGrid w:val="0"/>
          <w:sz w:val="17"/>
          <w:szCs w:val="20"/>
        </w:rPr>
      </w:pPr>
      <w:r>
        <w:rPr>
          <w:rFonts w:ascii="Verdana" w:hAnsi="Verdana"/>
          <w:snapToGrid w:val="0"/>
          <w:sz w:val="17"/>
          <w:szCs w:val="20"/>
        </w:rPr>
        <w:t>nenastali</w:t>
      </w:r>
    </w:p>
    <w:p w:rsidR="00AB1BCE" w:rsidRDefault="00AB1BCE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7C13AA" w:rsidRDefault="007C13AA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7C13AA" w:rsidRDefault="007C13AA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7C13AA" w:rsidRDefault="007C13AA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7C13AA" w:rsidRDefault="007C13AA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7C13AA" w:rsidRDefault="007C13AA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7C13AA" w:rsidRDefault="007C13AA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7C13AA" w:rsidRDefault="007C13AA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347B57" w:rsidRDefault="00347B57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3FB2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3FB2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PREHĽAD ZMIEN VLASTNÉHO IMANIA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</w:p>
    <w:bookmarkStart w:id="99" w:name="_MON_1389609379"/>
    <w:bookmarkStart w:id="100" w:name="_MON_1389608253"/>
    <w:bookmarkStart w:id="101" w:name="_MON_1389608483"/>
    <w:bookmarkStart w:id="102" w:name="_MON_1389608588"/>
    <w:bookmarkStart w:id="103" w:name="_MON_1389609220"/>
    <w:bookmarkEnd w:id="99"/>
    <w:bookmarkEnd w:id="100"/>
    <w:bookmarkEnd w:id="101"/>
    <w:bookmarkEnd w:id="102"/>
    <w:bookmarkEnd w:id="103"/>
    <w:bookmarkStart w:id="104" w:name="_MON_1389609372"/>
    <w:bookmarkEnd w:id="104"/>
    <w:p w:rsidR="00D36D54" w:rsidRPr="00D36D54" w:rsidRDefault="00BD777F" w:rsidP="00D36D54">
      <w:pPr>
        <w:jc w:val="both"/>
        <w:rPr>
          <w:rFonts w:ascii="Verdana" w:hAnsi="Verdana"/>
          <w:snapToGrid w:val="0"/>
          <w:color w:val="000000"/>
          <w:sz w:val="17"/>
          <w:szCs w:val="20"/>
        </w:rPr>
      </w:pPr>
      <w:r w:rsidRPr="00D36D54">
        <w:rPr>
          <w:rFonts w:ascii="Verdana" w:hAnsi="Verdana"/>
          <w:snapToGrid w:val="0"/>
          <w:color w:val="000000"/>
          <w:sz w:val="17"/>
          <w:szCs w:val="20"/>
        </w:rPr>
        <w:object w:dxaOrig="9666" w:dyaOrig="7734">
          <v:shape id="_x0000_i1038" type="#_x0000_t75" style="width:453pt;height:387pt" o:ole="" o:bordertopcolor="this" o:borderleftcolor="this">
            <v:imagedata r:id="rId39" o:title=""/>
            <w10:bordertop type="single" width="4"/>
            <w10:borderleft type="single" width="4"/>
          </v:shape>
          <o:OLEObject Type="Embed" ProgID="Excel.Sheet.8" ShapeID="_x0000_i1038" DrawAspect="Content" ObjectID="_1457096175" r:id="rId40"/>
        </w:object>
      </w:r>
    </w:p>
    <w:bookmarkStart w:id="105" w:name="_MON_1389609428"/>
    <w:bookmarkStart w:id="106" w:name="_MON_1389608632"/>
    <w:bookmarkEnd w:id="105"/>
    <w:bookmarkEnd w:id="106"/>
    <w:bookmarkStart w:id="107" w:name="_MON_1389609402"/>
    <w:bookmarkEnd w:id="107"/>
    <w:p w:rsidR="00D36D54" w:rsidRPr="00D36D54" w:rsidRDefault="00BD777F" w:rsidP="00D36D54">
      <w:pPr>
        <w:jc w:val="both"/>
        <w:rPr>
          <w:rFonts w:ascii="Verdana" w:hAnsi="Verdana"/>
          <w:snapToGrid w:val="0"/>
          <w:color w:val="000000"/>
          <w:sz w:val="17"/>
          <w:szCs w:val="20"/>
          <w:u w:val="single"/>
        </w:rPr>
      </w:pPr>
      <w:r w:rsidRPr="00D36D54">
        <w:rPr>
          <w:rFonts w:ascii="Verdana" w:hAnsi="Verdana"/>
          <w:snapToGrid w:val="0"/>
          <w:color w:val="000000"/>
          <w:sz w:val="17"/>
          <w:szCs w:val="20"/>
        </w:rPr>
        <w:object w:dxaOrig="9666" w:dyaOrig="7749">
          <v:shape id="_x0000_i1039" type="#_x0000_t75" style="width:453pt;height:387.75pt" o:ole="" o:bordertopcolor="this" o:borderleftcolor="this">
            <v:imagedata r:id="rId41" o:title=""/>
            <w10:bordertop type="single" width="4"/>
            <w10:borderleft type="single" width="4"/>
          </v:shape>
          <o:OLEObject Type="Embed" ProgID="Excel.Sheet.8" ShapeID="_x0000_i1039" DrawAspect="Content" ObjectID="_1457096176" r:id="rId42"/>
        </w:objec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color w:val="000000"/>
          <w:sz w:val="17"/>
          <w:szCs w:val="20"/>
          <w:u w:val="single"/>
        </w:rPr>
      </w:pPr>
    </w:p>
    <w:p w:rsidR="00D36D54" w:rsidRPr="00D36D54" w:rsidRDefault="00D36D54" w:rsidP="00D36D54">
      <w:pPr>
        <w:keepNext/>
        <w:numPr>
          <w:ilvl w:val="0"/>
          <w:numId w:val="6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</w:pPr>
      <w:r w:rsidRPr="00D36D54">
        <w:rPr>
          <w:rFonts w:ascii="Verdana" w:hAnsi="Verdana" w:cs="Arial"/>
          <w:b/>
          <w:bCs/>
          <w:caps/>
          <w:kern w:val="32"/>
          <w:sz w:val="18"/>
          <w:szCs w:val="32"/>
          <w:u w:val="single"/>
          <w:lang w:eastAsia="en-US"/>
        </w:rPr>
        <w:t>PREHĽAD PEŇAŽNÝCH TOKOV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color w:val="000000"/>
          <w:sz w:val="17"/>
          <w:szCs w:val="20"/>
          <w:u w:val="single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color w:val="000000"/>
          <w:sz w:val="17"/>
          <w:szCs w:val="20"/>
        </w:rPr>
      </w:pPr>
      <w:r w:rsidRPr="00D36D54">
        <w:rPr>
          <w:rFonts w:ascii="Verdana" w:hAnsi="Verdana"/>
          <w:snapToGrid w:val="0"/>
          <w:color w:val="000000"/>
          <w:sz w:val="17"/>
          <w:szCs w:val="20"/>
        </w:rPr>
        <w:t>Prehľad peňažných tokov je uvedený v prílohe, tabuľka č. 1.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  <w:r w:rsidRPr="00D36D54">
        <w:rPr>
          <w:rFonts w:ascii="Verdana" w:hAnsi="Verdana"/>
          <w:snapToGrid w:val="0"/>
          <w:sz w:val="17"/>
          <w:szCs w:val="20"/>
        </w:rPr>
        <w:t>Peňažné prostriedky sú peňažné hotovosti, ekvivalenty peňažných hotovostí, peňažné prostriedky na bežných účtoch v bankách, kontokorentný účet a časť zostatku účtu „Peniaze na ceste“.</w:t>
      </w:r>
    </w:p>
    <w:p w:rsidR="00D36D54" w:rsidRPr="00D36D54" w:rsidRDefault="00D36D54" w:rsidP="00D36D54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t>Peňažné ekvivalenty sú krátkodobý finančný majetok, ktorý je zameniteľný za vopred známu sumu peňažných prostriedkov, pri ktorom nehrozí riziko výraznej zmeny jeho hodnoty v najbližších troch mesiacoch ku dňu, ku ktorému sa zostavuje účtovná závierka.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</w:rPr>
      </w:pP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lang w:eastAsia="en-US"/>
        </w:rPr>
      </w:pPr>
      <w:r w:rsidRPr="00D36D54">
        <w:rPr>
          <w:rFonts w:ascii="Verdana" w:hAnsi="Verdana"/>
          <w:snapToGrid w:val="0"/>
          <w:sz w:val="17"/>
          <w:szCs w:val="20"/>
          <w:lang w:eastAsia="en-US"/>
        </w:rPr>
        <w:t>Štruktúra peňažných prostriedkov a peňažných ekvivalentov:</w:t>
      </w:r>
    </w:p>
    <w:p w:rsidR="00D36D54" w:rsidRPr="00D36D54" w:rsidRDefault="00D36D54" w:rsidP="00D36D54">
      <w:pPr>
        <w:jc w:val="both"/>
        <w:rPr>
          <w:rFonts w:ascii="Verdana" w:hAnsi="Verdana"/>
          <w:snapToGrid w:val="0"/>
          <w:sz w:val="17"/>
          <w:szCs w:val="20"/>
          <w:lang w:eastAsia="en-US"/>
        </w:rPr>
      </w:pPr>
    </w:p>
    <w:tbl>
      <w:tblPr>
        <w:tblW w:w="9284" w:type="dxa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65"/>
        <w:gridCol w:w="992"/>
        <w:gridCol w:w="1843"/>
        <w:gridCol w:w="1984"/>
      </w:tblGrid>
      <w:tr w:rsidR="00D36D54" w:rsidRPr="00D36D54" w:rsidTr="0049510B">
        <w:trPr>
          <w:trHeight w:val="305"/>
        </w:trPr>
        <w:tc>
          <w:tcPr>
            <w:tcW w:w="44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Položka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Účet</w:t>
            </w:r>
          </w:p>
        </w:tc>
        <w:tc>
          <w:tcPr>
            <w:tcW w:w="1843" w:type="dxa"/>
            <w:tcBorders>
              <w:top w:val="single" w:sz="12" w:space="0" w:color="auto"/>
              <w:bottom w:val="nil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20"/>
                <w:lang w:val="en-GB"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Bežné účtovné obdobie</w:t>
            </w:r>
          </w:p>
        </w:tc>
        <w:tc>
          <w:tcPr>
            <w:tcW w:w="1984" w:type="dxa"/>
            <w:tcBorders>
              <w:top w:val="single" w:sz="12" w:space="0" w:color="auto"/>
              <w:bottom w:val="nil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20"/>
                <w:lang w:val="en-GB"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Bezprostredne predchádzajúce účtovné obdobie</w:t>
            </w:r>
          </w:p>
        </w:tc>
      </w:tr>
      <w:tr w:rsidR="00D36D54" w:rsidRPr="00D36D54" w:rsidTr="0049510B">
        <w:trPr>
          <w:trHeight w:val="305"/>
        </w:trPr>
        <w:tc>
          <w:tcPr>
            <w:tcW w:w="446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a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b</w:t>
            </w:r>
          </w:p>
        </w:tc>
        <w:tc>
          <w:tcPr>
            <w:tcW w:w="1843" w:type="dxa"/>
            <w:tcBorders>
              <w:top w:val="nil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val="en-GB"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val="en-GB" w:eastAsia="en-US"/>
              </w:rPr>
              <w:t>c</w:t>
            </w:r>
          </w:p>
        </w:tc>
        <w:tc>
          <w:tcPr>
            <w:tcW w:w="1984" w:type="dxa"/>
            <w:tcBorders>
              <w:top w:val="nil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sz w:val="15"/>
                <w:szCs w:val="15"/>
                <w:lang w:val="en-GB"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val="en-GB" w:eastAsia="en-US"/>
              </w:rPr>
              <w:t>d</w:t>
            </w:r>
          </w:p>
        </w:tc>
      </w:tr>
      <w:tr w:rsidR="00D36D54" w:rsidRPr="00D36D54" w:rsidTr="0049510B">
        <w:trPr>
          <w:trHeight w:val="263"/>
        </w:trPr>
        <w:tc>
          <w:tcPr>
            <w:tcW w:w="44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Peniaze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36D54" w:rsidRPr="00D36D54" w:rsidRDefault="007C13AA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235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D36D54" w:rsidRPr="00D36D54" w:rsidRDefault="007C13AA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18</w:t>
            </w:r>
          </w:p>
        </w:tc>
      </w:tr>
      <w:tr w:rsidR="00D36D54" w:rsidRPr="00D36D54" w:rsidTr="0049510B">
        <w:trPr>
          <w:trHeight w:val="253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Ceniny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213</w:t>
            </w:r>
          </w:p>
        </w:tc>
        <w:tc>
          <w:tcPr>
            <w:tcW w:w="1843" w:type="dxa"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  <w:tc>
          <w:tcPr>
            <w:tcW w:w="1984" w:type="dxa"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</w:tr>
      <w:tr w:rsidR="00D36D54" w:rsidRPr="00D36D54" w:rsidTr="0049510B">
        <w:trPr>
          <w:trHeight w:val="270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Účty v bankách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221</w:t>
            </w:r>
          </w:p>
        </w:tc>
        <w:tc>
          <w:tcPr>
            <w:tcW w:w="1843" w:type="dxa"/>
            <w:vAlign w:val="center"/>
          </w:tcPr>
          <w:p w:rsidR="00D36D54" w:rsidRPr="00D36D54" w:rsidRDefault="007C13AA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2 166</w:t>
            </w:r>
          </w:p>
        </w:tc>
        <w:tc>
          <w:tcPr>
            <w:tcW w:w="1984" w:type="dxa"/>
            <w:vAlign w:val="center"/>
          </w:tcPr>
          <w:p w:rsidR="006F0F0D" w:rsidRPr="00D36D54" w:rsidRDefault="007C13AA" w:rsidP="006F0F0D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4 731</w:t>
            </w:r>
          </w:p>
        </w:tc>
      </w:tr>
      <w:tr w:rsidR="00D36D54" w:rsidRPr="00D36D54" w:rsidTr="0049510B">
        <w:trPr>
          <w:trHeight w:val="275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Kontokorentný účet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D36D54" w:rsidRPr="00D36D54" w:rsidRDefault="00D36D54" w:rsidP="00FE22AE">
            <w:pPr>
              <w:jc w:val="center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221</w:t>
            </w:r>
          </w:p>
        </w:tc>
        <w:tc>
          <w:tcPr>
            <w:tcW w:w="1843" w:type="dxa"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  <w:tc>
          <w:tcPr>
            <w:tcW w:w="1984" w:type="dxa"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</w:tr>
      <w:tr w:rsidR="00D36D54" w:rsidRPr="00D36D54" w:rsidTr="0049510B">
        <w:trPr>
          <w:trHeight w:val="251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Krátkodobý finančný majetok – akcie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D36D54" w:rsidRPr="00D36D54" w:rsidRDefault="00D36D54" w:rsidP="00FE22AE">
            <w:pPr>
              <w:jc w:val="center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251</w:t>
            </w:r>
          </w:p>
        </w:tc>
        <w:tc>
          <w:tcPr>
            <w:tcW w:w="1843" w:type="dxa"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  <w:tc>
          <w:tcPr>
            <w:tcW w:w="1984" w:type="dxa"/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</w:tr>
      <w:tr w:rsidR="00D36D54" w:rsidRPr="00D36D54" w:rsidTr="0049510B">
        <w:trPr>
          <w:trHeight w:val="269"/>
        </w:trPr>
        <w:tc>
          <w:tcPr>
            <w:tcW w:w="44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Krátkodobý finančný majetok – dlhopisy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FE22AE">
            <w:pPr>
              <w:jc w:val="center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  <w:t>252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right"/>
              <w:rPr>
                <w:rFonts w:ascii="Verdana" w:hAnsi="Verdana"/>
                <w:snapToGrid w:val="0"/>
                <w:sz w:val="15"/>
                <w:szCs w:val="20"/>
                <w:lang w:eastAsia="en-US"/>
              </w:rPr>
            </w:pPr>
          </w:p>
        </w:tc>
      </w:tr>
      <w:tr w:rsidR="00D36D54" w:rsidRPr="00D36D54" w:rsidTr="0049510B">
        <w:trPr>
          <w:trHeight w:val="258"/>
        </w:trPr>
        <w:tc>
          <w:tcPr>
            <w:tcW w:w="44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6D54" w:rsidRPr="00D36D54" w:rsidRDefault="00D36D54" w:rsidP="00D36D54">
            <w:pPr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  <w:t>Spolu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D36D54" w:rsidP="00D36D54">
            <w:pPr>
              <w:jc w:val="center"/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</w:pPr>
            <w:r w:rsidRPr="00D36D54"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7C13AA" w:rsidP="00D36D54">
            <w:pPr>
              <w:jc w:val="right"/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</w:pPr>
            <w:r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  <w:t>2 401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36D54" w:rsidRPr="00D36D54" w:rsidRDefault="007C13AA" w:rsidP="00D36D54">
            <w:pPr>
              <w:jc w:val="right"/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</w:pPr>
            <w:r>
              <w:rPr>
                <w:rFonts w:ascii="Verdana" w:hAnsi="Verdana"/>
                <w:b/>
                <w:bCs/>
                <w:snapToGrid w:val="0"/>
                <w:sz w:val="15"/>
                <w:szCs w:val="20"/>
                <w:lang w:eastAsia="en-US"/>
              </w:rPr>
              <w:t>4 749</w:t>
            </w:r>
          </w:p>
        </w:tc>
      </w:tr>
    </w:tbl>
    <w:p w:rsidR="0049510B" w:rsidRDefault="0049510B" w:rsidP="003872E4">
      <w:pPr>
        <w:spacing w:after="120"/>
        <w:rPr>
          <w:rFonts w:ascii="Arial" w:hAnsi="Arial" w:cs="Arial"/>
          <w:sz w:val="22"/>
          <w:szCs w:val="22"/>
        </w:rPr>
      </w:pPr>
    </w:p>
    <w:sectPr w:rsidR="0049510B" w:rsidSect="00D30075"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562C" w:rsidRDefault="0010562C">
      <w:r>
        <w:separator/>
      </w:r>
    </w:p>
  </w:endnote>
  <w:endnote w:type="continuationSeparator" w:id="0">
    <w:p w:rsidR="0010562C" w:rsidRDefault="001056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28DD" w:rsidRDefault="00A028DD" w:rsidP="00D36D5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E4E6E">
      <w:rPr>
        <w:rStyle w:val="slostrany"/>
        <w:noProof/>
      </w:rPr>
      <w:t>2</w:t>
    </w:r>
    <w:r>
      <w:rPr>
        <w:rStyle w:val="slostrany"/>
      </w:rPr>
      <w:fldChar w:fldCharType="end"/>
    </w:r>
  </w:p>
  <w:p w:rsidR="00A028DD" w:rsidRDefault="00A028DD" w:rsidP="00D36D54">
    <w:pPr>
      <w:pStyle w:val="Pta"/>
      <w:pBdr>
        <w:top w:val="single" w:sz="4" w:space="1" w:color="auto"/>
      </w:pBd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28DD" w:rsidRDefault="00A028D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E4E6E">
      <w:rPr>
        <w:noProof/>
      </w:rPr>
      <w:t>22</w:t>
    </w:r>
    <w:r>
      <w:rPr>
        <w:noProof/>
      </w:rPr>
      <w:fldChar w:fldCharType="end"/>
    </w:r>
  </w:p>
  <w:p w:rsidR="00A028DD" w:rsidRDefault="00A028DD">
    <w:pPr>
      <w:pStyle w:val="Pta"/>
    </w:pPr>
  </w:p>
  <w:p w:rsidR="00A028DD" w:rsidRDefault="00A028DD"/>
  <w:p w:rsidR="00A028DD" w:rsidRDefault="00A028D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562C" w:rsidRDefault="0010562C">
      <w:r>
        <w:separator/>
      </w:r>
    </w:p>
  </w:footnote>
  <w:footnote w:type="continuationSeparator" w:id="0">
    <w:p w:rsidR="0010562C" w:rsidRDefault="0010562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280"/>
      <w:gridCol w:w="324"/>
      <w:gridCol w:w="324"/>
      <w:gridCol w:w="280"/>
      <w:gridCol w:w="280"/>
      <w:gridCol w:w="280"/>
      <w:gridCol w:w="280"/>
      <w:gridCol w:w="280"/>
      <w:gridCol w:w="280"/>
      <w:gridCol w:w="280"/>
    </w:tblGrid>
    <w:tr w:rsidR="00A028DD" w:rsidRPr="0093379F" w:rsidTr="00D36D5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028DD" w:rsidRPr="0093379F" w:rsidRDefault="00A028DD" w:rsidP="00D36D54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028DD" w:rsidRPr="0093379F" w:rsidRDefault="00A028DD" w:rsidP="00D36D54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028DD" w:rsidRPr="0093379F" w:rsidRDefault="00A028DD" w:rsidP="00D36D54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93379F" w:rsidRDefault="00A028DD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 xml:space="preserve">2 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93379F" w:rsidRDefault="00A028DD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93379F" w:rsidRDefault="00A028DD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93379F" w:rsidRDefault="001E4E6E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93379F" w:rsidRDefault="001E4E6E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93379F" w:rsidRDefault="001E4E6E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93379F" w:rsidRDefault="001E4E6E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93379F" w:rsidRDefault="001E4E6E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93379F" w:rsidRDefault="001E4E6E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93379F" w:rsidRDefault="001E4E6E" w:rsidP="00D36D54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</w:tr>
  </w:tbl>
  <w:p w:rsidR="00A028DD" w:rsidRPr="00D36D54" w:rsidRDefault="00A028DD" w:rsidP="00D36D5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028DD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028DD" w:rsidRPr="003F477D" w:rsidRDefault="00A028D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028DD" w:rsidRPr="003F477D" w:rsidRDefault="00A028DD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028DD" w:rsidRPr="003F477D" w:rsidRDefault="00A028D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3F477D" w:rsidRDefault="00A028DD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3F477D" w:rsidRDefault="00A028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3F477D" w:rsidRDefault="00A028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3F477D" w:rsidRDefault="00A028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3F477D" w:rsidRDefault="00A028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3F477D" w:rsidRDefault="00A028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3F477D" w:rsidRDefault="00A028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3F477D" w:rsidRDefault="00A028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3F477D" w:rsidRDefault="00A028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028DD" w:rsidRPr="003F477D" w:rsidRDefault="00A028D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A028DD" w:rsidRDefault="00A028DD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5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7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7CA34EA"/>
    <w:multiLevelType w:val="hybridMultilevel"/>
    <w:tmpl w:val="FF24B516"/>
    <w:lvl w:ilvl="0" w:tplc="840EADDA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30B66A9"/>
    <w:multiLevelType w:val="hybridMultilevel"/>
    <w:tmpl w:val="B06A6D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4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3F71E5F"/>
    <w:multiLevelType w:val="hybridMultilevel"/>
    <w:tmpl w:val="09E638D0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FE0CB2D4">
      <w:numFmt w:val="bullet"/>
      <w:lvlText w:val="-"/>
      <w:lvlJc w:val="left"/>
      <w:pPr>
        <w:ind w:left="2160" w:hanging="360"/>
      </w:pPr>
      <w:rPr>
        <w:rFonts w:ascii="Verdana" w:eastAsia="Times New Roman" w:hAnsi="Verdana" w:cs="Times New Roman" w:hint="default"/>
        <w:b w:val="0"/>
        <w:sz w:val="17"/>
        <w:u w:val="none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79686D7C"/>
    <w:multiLevelType w:val="multilevel"/>
    <w:tmpl w:val="67C8E190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1"/>
  </w:num>
  <w:num w:numId="3">
    <w:abstractNumId w:val="17"/>
  </w:num>
  <w:num w:numId="4">
    <w:abstractNumId w:val="37"/>
  </w:num>
  <w:num w:numId="5">
    <w:abstractNumId w:val="19"/>
  </w:num>
  <w:num w:numId="6">
    <w:abstractNumId w:val="36"/>
  </w:num>
  <w:num w:numId="7">
    <w:abstractNumId w:val="15"/>
  </w:num>
  <w:num w:numId="8">
    <w:abstractNumId w:val="22"/>
  </w:num>
  <w:num w:numId="9">
    <w:abstractNumId w:val="36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  <w:num w:numId="11">
    <w:abstractNumId w:val="7"/>
  </w:num>
  <w:num w:numId="12">
    <w:abstractNumId w:val="20"/>
  </w:num>
  <w:num w:numId="13">
    <w:abstractNumId w:val="10"/>
  </w:num>
  <w:num w:numId="14">
    <w:abstractNumId w:val="9"/>
  </w:num>
  <w:num w:numId="15">
    <w:abstractNumId w:val="24"/>
  </w:num>
  <w:num w:numId="16">
    <w:abstractNumId w:val="18"/>
  </w:num>
  <w:num w:numId="17">
    <w:abstractNumId w:val="34"/>
  </w:num>
  <w:num w:numId="18">
    <w:abstractNumId w:val="0"/>
  </w:num>
  <w:num w:numId="19">
    <w:abstractNumId w:val="16"/>
  </w:num>
  <w:num w:numId="20">
    <w:abstractNumId w:val="35"/>
  </w:num>
  <w:num w:numId="21">
    <w:abstractNumId w:val="8"/>
  </w:num>
  <w:num w:numId="22">
    <w:abstractNumId w:val="5"/>
  </w:num>
  <w:num w:numId="23">
    <w:abstractNumId w:val="21"/>
  </w:num>
  <w:num w:numId="24">
    <w:abstractNumId w:val="28"/>
  </w:num>
  <w:num w:numId="25">
    <w:abstractNumId w:val="4"/>
  </w:num>
  <w:num w:numId="26">
    <w:abstractNumId w:val="25"/>
  </w:num>
  <w:num w:numId="27">
    <w:abstractNumId w:val="13"/>
  </w:num>
  <w:num w:numId="28">
    <w:abstractNumId w:val="27"/>
  </w:num>
  <w:num w:numId="29">
    <w:abstractNumId w:val="31"/>
  </w:num>
  <w:num w:numId="30">
    <w:abstractNumId w:val="23"/>
  </w:num>
  <w:num w:numId="31">
    <w:abstractNumId w:val="3"/>
  </w:num>
  <w:num w:numId="32">
    <w:abstractNumId w:val="12"/>
  </w:num>
  <w:num w:numId="33">
    <w:abstractNumId w:val="14"/>
  </w:num>
  <w:num w:numId="34">
    <w:abstractNumId w:val="11"/>
  </w:num>
  <w:num w:numId="35">
    <w:abstractNumId w:val="2"/>
  </w:num>
  <w:num w:numId="36">
    <w:abstractNumId w:val="26"/>
  </w:num>
  <w:num w:numId="37">
    <w:abstractNumId w:val="33"/>
  </w:num>
  <w:num w:numId="38">
    <w:abstractNumId w:val="30"/>
  </w:num>
  <w:num w:numId="3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6B4"/>
    <w:rsid w:val="000104C1"/>
    <w:rsid w:val="00024CC8"/>
    <w:rsid w:val="0002705A"/>
    <w:rsid w:val="000433E0"/>
    <w:rsid w:val="00043B3D"/>
    <w:rsid w:val="00044E9F"/>
    <w:rsid w:val="00045B2B"/>
    <w:rsid w:val="00051B40"/>
    <w:rsid w:val="000538A8"/>
    <w:rsid w:val="00053F45"/>
    <w:rsid w:val="0005650F"/>
    <w:rsid w:val="0005664C"/>
    <w:rsid w:val="00057E69"/>
    <w:rsid w:val="00066BE0"/>
    <w:rsid w:val="00067156"/>
    <w:rsid w:val="00070129"/>
    <w:rsid w:val="00070DC9"/>
    <w:rsid w:val="00080329"/>
    <w:rsid w:val="000A46AB"/>
    <w:rsid w:val="000B1BA1"/>
    <w:rsid w:val="000B252C"/>
    <w:rsid w:val="000B2961"/>
    <w:rsid w:val="000B5001"/>
    <w:rsid w:val="000C3C1A"/>
    <w:rsid w:val="000E0FA5"/>
    <w:rsid w:val="000E4475"/>
    <w:rsid w:val="000E57B5"/>
    <w:rsid w:val="000E7875"/>
    <w:rsid w:val="000F1D23"/>
    <w:rsid w:val="000F226D"/>
    <w:rsid w:val="00105490"/>
    <w:rsid w:val="0010562C"/>
    <w:rsid w:val="001126C4"/>
    <w:rsid w:val="001148AB"/>
    <w:rsid w:val="00117BEB"/>
    <w:rsid w:val="00124A2A"/>
    <w:rsid w:val="001550FB"/>
    <w:rsid w:val="0016690A"/>
    <w:rsid w:val="00170535"/>
    <w:rsid w:val="00171D3D"/>
    <w:rsid w:val="0017369E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E4E6E"/>
    <w:rsid w:val="001F7CCE"/>
    <w:rsid w:val="002100EC"/>
    <w:rsid w:val="002145CD"/>
    <w:rsid w:val="0021761B"/>
    <w:rsid w:val="00223544"/>
    <w:rsid w:val="00223758"/>
    <w:rsid w:val="00235630"/>
    <w:rsid w:val="00246C6C"/>
    <w:rsid w:val="002474D2"/>
    <w:rsid w:val="00253BFC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945"/>
    <w:rsid w:val="002D0D47"/>
    <w:rsid w:val="002E1542"/>
    <w:rsid w:val="002E490E"/>
    <w:rsid w:val="002E6607"/>
    <w:rsid w:val="002F23B0"/>
    <w:rsid w:val="00302371"/>
    <w:rsid w:val="003023F7"/>
    <w:rsid w:val="00306960"/>
    <w:rsid w:val="0031078F"/>
    <w:rsid w:val="00312CE9"/>
    <w:rsid w:val="00326DFA"/>
    <w:rsid w:val="00331575"/>
    <w:rsid w:val="00331EB6"/>
    <w:rsid w:val="0033465E"/>
    <w:rsid w:val="00345798"/>
    <w:rsid w:val="00346F61"/>
    <w:rsid w:val="00347B57"/>
    <w:rsid w:val="00355441"/>
    <w:rsid w:val="00362212"/>
    <w:rsid w:val="0036452C"/>
    <w:rsid w:val="003872E4"/>
    <w:rsid w:val="00391A1E"/>
    <w:rsid w:val="003961BC"/>
    <w:rsid w:val="003974CA"/>
    <w:rsid w:val="003B22E0"/>
    <w:rsid w:val="003B28F4"/>
    <w:rsid w:val="003C13BE"/>
    <w:rsid w:val="003C20BE"/>
    <w:rsid w:val="003C4F72"/>
    <w:rsid w:val="003D1B77"/>
    <w:rsid w:val="003D3AF5"/>
    <w:rsid w:val="003D4C8A"/>
    <w:rsid w:val="003E330A"/>
    <w:rsid w:val="003E3C41"/>
    <w:rsid w:val="00400AA4"/>
    <w:rsid w:val="00406D81"/>
    <w:rsid w:val="0041493D"/>
    <w:rsid w:val="004233E2"/>
    <w:rsid w:val="004264CD"/>
    <w:rsid w:val="00434A9A"/>
    <w:rsid w:val="00453111"/>
    <w:rsid w:val="00454951"/>
    <w:rsid w:val="00454AEB"/>
    <w:rsid w:val="00454F2D"/>
    <w:rsid w:val="0045642D"/>
    <w:rsid w:val="00460CC6"/>
    <w:rsid w:val="0046493A"/>
    <w:rsid w:val="00472E0C"/>
    <w:rsid w:val="00482574"/>
    <w:rsid w:val="00484634"/>
    <w:rsid w:val="00487167"/>
    <w:rsid w:val="00487CB2"/>
    <w:rsid w:val="0049510B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0556"/>
    <w:rsid w:val="00524152"/>
    <w:rsid w:val="00526FB9"/>
    <w:rsid w:val="00527E38"/>
    <w:rsid w:val="00541897"/>
    <w:rsid w:val="00550F87"/>
    <w:rsid w:val="00556600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B0218"/>
    <w:rsid w:val="005C08D0"/>
    <w:rsid w:val="005C3B7A"/>
    <w:rsid w:val="005C7EEB"/>
    <w:rsid w:val="005D7097"/>
    <w:rsid w:val="005E12D2"/>
    <w:rsid w:val="005E4F88"/>
    <w:rsid w:val="005E6F68"/>
    <w:rsid w:val="005F18BA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0F0D"/>
    <w:rsid w:val="006F5596"/>
    <w:rsid w:val="006F5A49"/>
    <w:rsid w:val="00701C3B"/>
    <w:rsid w:val="00704DF2"/>
    <w:rsid w:val="00705E0D"/>
    <w:rsid w:val="0070649A"/>
    <w:rsid w:val="00711C27"/>
    <w:rsid w:val="007139BF"/>
    <w:rsid w:val="00723420"/>
    <w:rsid w:val="00724BB3"/>
    <w:rsid w:val="00733A07"/>
    <w:rsid w:val="00741A9D"/>
    <w:rsid w:val="007475DC"/>
    <w:rsid w:val="0075132C"/>
    <w:rsid w:val="0075484E"/>
    <w:rsid w:val="00755E77"/>
    <w:rsid w:val="007561E8"/>
    <w:rsid w:val="00760326"/>
    <w:rsid w:val="0076593D"/>
    <w:rsid w:val="00766C6B"/>
    <w:rsid w:val="00771D0D"/>
    <w:rsid w:val="007728FB"/>
    <w:rsid w:val="007753B9"/>
    <w:rsid w:val="00780227"/>
    <w:rsid w:val="007A17D1"/>
    <w:rsid w:val="007A6BEE"/>
    <w:rsid w:val="007B6B6C"/>
    <w:rsid w:val="007C13AA"/>
    <w:rsid w:val="007C40F2"/>
    <w:rsid w:val="007D50DA"/>
    <w:rsid w:val="007E4948"/>
    <w:rsid w:val="007E7210"/>
    <w:rsid w:val="007F26F7"/>
    <w:rsid w:val="007F523F"/>
    <w:rsid w:val="0080258D"/>
    <w:rsid w:val="008044E0"/>
    <w:rsid w:val="008119BF"/>
    <w:rsid w:val="0081496D"/>
    <w:rsid w:val="00815AE4"/>
    <w:rsid w:val="00825633"/>
    <w:rsid w:val="00832FF0"/>
    <w:rsid w:val="0084070B"/>
    <w:rsid w:val="0084288F"/>
    <w:rsid w:val="00861401"/>
    <w:rsid w:val="00861803"/>
    <w:rsid w:val="00867392"/>
    <w:rsid w:val="008721D3"/>
    <w:rsid w:val="00884A8C"/>
    <w:rsid w:val="00890711"/>
    <w:rsid w:val="008A1671"/>
    <w:rsid w:val="008A2E88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E6C3E"/>
    <w:rsid w:val="008F19DA"/>
    <w:rsid w:val="008F7BD4"/>
    <w:rsid w:val="009008CC"/>
    <w:rsid w:val="009053E4"/>
    <w:rsid w:val="00924716"/>
    <w:rsid w:val="00925C6F"/>
    <w:rsid w:val="0093379F"/>
    <w:rsid w:val="00936967"/>
    <w:rsid w:val="00940C7E"/>
    <w:rsid w:val="00945CB3"/>
    <w:rsid w:val="0095092B"/>
    <w:rsid w:val="0095296D"/>
    <w:rsid w:val="00952C06"/>
    <w:rsid w:val="0095638F"/>
    <w:rsid w:val="009663C2"/>
    <w:rsid w:val="00967EF0"/>
    <w:rsid w:val="00990770"/>
    <w:rsid w:val="00990840"/>
    <w:rsid w:val="009965DA"/>
    <w:rsid w:val="009A06CA"/>
    <w:rsid w:val="009A2535"/>
    <w:rsid w:val="009B124D"/>
    <w:rsid w:val="009B17D1"/>
    <w:rsid w:val="009B310E"/>
    <w:rsid w:val="009C2162"/>
    <w:rsid w:val="009C49BF"/>
    <w:rsid w:val="009C58C9"/>
    <w:rsid w:val="009D0C18"/>
    <w:rsid w:val="009F04E7"/>
    <w:rsid w:val="009F28AA"/>
    <w:rsid w:val="009F5D0D"/>
    <w:rsid w:val="009F65FA"/>
    <w:rsid w:val="009F6DA7"/>
    <w:rsid w:val="00A028DD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56256"/>
    <w:rsid w:val="00A6044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BCE"/>
    <w:rsid w:val="00AB4FD7"/>
    <w:rsid w:val="00AC5487"/>
    <w:rsid w:val="00AD0933"/>
    <w:rsid w:val="00AD1402"/>
    <w:rsid w:val="00AD5E55"/>
    <w:rsid w:val="00AE28DD"/>
    <w:rsid w:val="00AE433D"/>
    <w:rsid w:val="00AE5DA8"/>
    <w:rsid w:val="00AF0C89"/>
    <w:rsid w:val="00B1126C"/>
    <w:rsid w:val="00B13D40"/>
    <w:rsid w:val="00B13E94"/>
    <w:rsid w:val="00B14F57"/>
    <w:rsid w:val="00B23F82"/>
    <w:rsid w:val="00B46883"/>
    <w:rsid w:val="00B46A21"/>
    <w:rsid w:val="00B47D3C"/>
    <w:rsid w:val="00B50B0E"/>
    <w:rsid w:val="00B53B34"/>
    <w:rsid w:val="00B5432A"/>
    <w:rsid w:val="00B66313"/>
    <w:rsid w:val="00B811C0"/>
    <w:rsid w:val="00B82176"/>
    <w:rsid w:val="00B82587"/>
    <w:rsid w:val="00B87E21"/>
    <w:rsid w:val="00B95904"/>
    <w:rsid w:val="00BC3432"/>
    <w:rsid w:val="00BC3D4A"/>
    <w:rsid w:val="00BC4CF8"/>
    <w:rsid w:val="00BD2F98"/>
    <w:rsid w:val="00BD4645"/>
    <w:rsid w:val="00BD55A8"/>
    <w:rsid w:val="00BD777F"/>
    <w:rsid w:val="00BE76C3"/>
    <w:rsid w:val="00BF1944"/>
    <w:rsid w:val="00BF51A4"/>
    <w:rsid w:val="00BF58EF"/>
    <w:rsid w:val="00C035C7"/>
    <w:rsid w:val="00C0603C"/>
    <w:rsid w:val="00C1502E"/>
    <w:rsid w:val="00C15E63"/>
    <w:rsid w:val="00C20AE6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74333"/>
    <w:rsid w:val="00C80FCD"/>
    <w:rsid w:val="00C86E91"/>
    <w:rsid w:val="00CB2808"/>
    <w:rsid w:val="00CC07B3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256E1"/>
    <w:rsid w:val="00D30075"/>
    <w:rsid w:val="00D319A0"/>
    <w:rsid w:val="00D33FB2"/>
    <w:rsid w:val="00D343DA"/>
    <w:rsid w:val="00D35100"/>
    <w:rsid w:val="00D36D54"/>
    <w:rsid w:val="00D404F7"/>
    <w:rsid w:val="00D450AC"/>
    <w:rsid w:val="00D47EBF"/>
    <w:rsid w:val="00D65F08"/>
    <w:rsid w:val="00D82CA0"/>
    <w:rsid w:val="00D97CDB"/>
    <w:rsid w:val="00DA0016"/>
    <w:rsid w:val="00DA1265"/>
    <w:rsid w:val="00DA33E6"/>
    <w:rsid w:val="00DA41FC"/>
    <w:rsid w:val="00DA68AA"/>
    <w:rsid w:val="00DA7353"/>
    <w:rsid w:val="00DB00DC"/>
    <w:rsid w:val="00DC77A2"/>
    <w:rsid w:val="00DD30F3"/>
    <w:rsid w:val="00DD45F0"/>
    <w:rsid w:val="00DD6176"/>
    <w:rsid w:val="00DE00F7"/>
    <w:rsid w:val="00DE4D02"/>
    <w:rsid w:val="00DF0BC8"/>
    <w:rsid w:val="00DF2F7A"/>
    <w:rsid w:val="00DF3E8C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7400B"/>
    <w:rsid w:val="00E81C52"/>
    <w:rsid w:val="00E90529"/>
    <w:rsid w:val="00EB5BB2"/>
    <w:rsid w:val="00ED17D4"/>
    <w:rsid w:val="00ED7779"/>
    <w:rsid w:val="00EE2A3E"/>
    <w:rsid w:val="00EF6214"/>
    <w:rsid w:val="00F12575"/>
    <w:rsid w:val="00F1419E"/>
    <w:rsid w:val="00F15A2F"/>
    <w:rsid w:val="00F210A0"/>
    <w:rsid w:val="00F26D58"/>
    <w:rsid w:val="00F30374"/>
    <w:rsid w:val="00F30944"/>
    <w:rsid w:val="00F37C86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E22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nhideWhenUsed/>
    <w:qFormat/>
    <w:locked/>
    <w:rsid w:val="00EE2A3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nhideWhenUsed/>
    <w:qFormat/>
    <w:locked/>
    <w:rsid w:val="00EE2A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qFormat/>
    <w:locked/>
    <w:rsid w:val="00D36D54"/>
    <w:pPr>
      <w:tabs>
        <w:tab w:val="num" w:pos="1008"/>
      </w:tabs>
      <w:spacing w:before="240" w:after="60"/>
      <w:ind w:left="1008" w:hanging="1008"/>
      <w:jc w:val="both"/>
      <w:outlineLvl w:val="4"/>
    </w:pPr>
    <w:rPr>
      <w:rFonts w:ascii="Verdana" w:hAnsi="Verdana"/>
      <w:b/>
      <w:bCs/>
      <w:i/>
      <w:iCs/>
      <w:sz w:val="17"/>
      <w:szCs w:val="26"/>
      <w:lang w:eastAsia="en-US"/>
    </w:rPr>
  </w:style>
  <w:style w:type="paragraph" w:styleId="Nadpis6">
    <w:name w:val="heading 6"/>
    <w:basedOn w:val="Normlny"/>
    <w:next w:val="Normlny"/>
    <w:link w:val="Nadpis6Char"/>
    <w:qFormat/>
    <w:locked/>
    <w:rsid w:val="00D36D54"/>
    <w:pPr>
      <w:tabs>
        <w:tab w:val="num" w:pos="1152"/>
      </w:tabs>
      <w:spacing w:before="240" w:after="60"/>
      <w:ind w:left="1152" w:hanging="1152"/>
      <w:jc w:val="both"/>
      <w:outlineLvl w:val="5"/>
    </w:pPr>
    <w:rPr>
      <w:rFonts w:ascii="Verdana" w:hAnsi="Verdana"/>
      <w:b/>
      <w:bCs/>
      <w:sz w:val="17"/>
      <w:szCs w:val="22"/>
      <w:lang w:eastAsia="en-US"/>
    </w:rPr>
  </w:style>
  <w:style w:type="paragraph" w:styleId="Nadpis7">
    <w:name w:val="heading 7"/>
    <w:basedOn w:val="Normlny"/>
    <w:next w:val="Normlny"/>
    <w:link w:val="Nadpis7Char"/>
    <w:qFormat/>
    <w:locked/>
    <w:rsid w:val="00D36D54"/>
    <w:pPr>
      <w:tabs>
        <w:tab w:val="num" w:pos="1296"/>
      </w:tabs>
      <w:spacing w:before="240" w:after="60"/>
      <w:ind w:left="1296" w:hanging="1296"/>
      <w:jc w:val="both"/>
      <w:outlineLvl w:val="6"/>
    </w:pPr>
    <w:rPr>
      <w:rFonts w:ascii="Verdana" w:hAnsi="Verdana"/>
      <w:sz w:val="17"/>
      <w:lang w:eastAsia="en-US"/>
    </w:rPr>
  </w:style>
  <w:style w:type="paragraph" w:styleId="Nadpis8">
    <w:name w:val="heading 8"/>
    <w:basedOn w:val="Normlny"/>
    <w:next w:val="Normlny"/>
    <w:link w:val="Nadpis8Char"/>
    <w:qFormat/>
    <w:locked/>
    <w:rsid w:val="00D36D54"/>
    <w:pPr>
      <w:tabs>
        <w:tab w:val="num" w:pos="1440"/>
      </w:tabs>
      <w:spacing w:before="240" w:after="60"/>
      <w:ind w:left="1440" w:hanging="1440"/>
      <w:jc w:val="both"/>
      <w:outlineLvl w:val="7"/>
    </w:pPr>
    <w:rPr>
      <w:rFonts w:ascii="Verdana" w:hAnsi="Verdana"/>
      <w:i/>
      <w:iCs/>
      <w:sz w:val="17"/>
      <w:lang w:eastAsia="en-US"/>
    </w:rPr>
  </w:style>
  <w:style w:type="paragraph" w:styleId="Nadpis9">
    <w:name w:val="heading 9"/>
    <w:basedOn w:val="Normlny"/>
    <w:next w:val="Normlny"/>
    <w:link w:val="Nadpis9Char"/>
    <w:qFormat/>
    <w:locked/>
    <w:rsid w:val="00D36D54"/>
    <w:pPr>
      <w:tabs>
        <w:tab w:val="num" w:pos="1584"/>
      </w:tabs>
      <w:spacing w:before="240" w:after="60"/>
      <w:ind w:left="1584" w:hanging="1584"/>
      <w:jc w:val="both"/>
      <w:outlineLvl w:val="8"/>
    </w:pPr>
    <w:rPr>
      <w:rFonts w:ascii="Verdana" w:hAnsi="Verdana" w:cs="Arial"/>
      <w:sz w:val="17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7400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locked/>
    <w:rsid w:val="00E7400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7400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locked/>
    <w:rsid w:val="00E7400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character" w:customStyle="1" w:styleId="Nadpis3Char">
    <w:name w:val="Nadpis 3 Char"/>
    <w:basedOn w:val="Predvolenpsmoodseku"/>
    <w:link w:val="Nadpis3"/>
    <w:rsid w:val="00EE2A3E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Nadpis4Char">
    <w:name w:val="Nadpis 4 Char"/>
    <w:basedOn w:val="Predvolenpsmoodseku"/>
    <w:link w:val="Nadpis4"/>
    <w:rsid w:val="00EE2A3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Nadpis5Char">
    <w:name w:val="Nadpis 5 Char"/>
    <w:basedOn w:val="Predvolenpsmoodseku"/>
    <w:link w:val="Nadpis5"/>
    <w:rsid w:val="00D36D54"/>
    <w:rPr>
      <w:rFonts w:ascii="Verdana" w:hAnsi="Verdana"/>
      <w:b/>
      <w:bCs/>
      <w:i/>
      <w:iCs/>
      <w:sz w:val="17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rsid w:val="00D36D54"/>
    <w:rPr>
      <w:rFonts w:ascii="Verdana" w:hAnsi="Verdana"/>
      <w:b/>
      <w:bCs/>
      <w:sz w:val="17"/>
      <w:szCs w:val="22"/>
      <w:lang w:eastAsia="en-US"/>
    </w:rPr>
  </w:style>
  <w:style w:type="character" w:customStyle="1" w:styleId="Nadpis7Char">
    <w:name w:val="Nadpis 7 Char"/>
    <w:basedOn w:val="Predvolenpsmoodseku"/>
    <w:link w:val="Nadpis7"/>
    <w:rsid w:val="00D36D54"/>
    <w:rPr>
      <w:rFonts w:ascii="Verdana" w:hAnsi="Verdana"/>
      <w:sz w:val="17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rsid w:val="00D36D54"/>
    <w:rPr>
      <w:rFonts w:ascii="Verdana" w:hAnsi="Verdana"/>
      <w:i/>
      <w:iCs/>
      <w:sz w:val="17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rsid w:val="00D36D54"/>
    <w:rPr>
      <w:rFonts w:ascii="Verdana" w:hAnsi="Verdana" w:cs="Arial"/>
      <w:sz w:val="17"/>
      <w:szCs w:val="22"/>
      <w:lang w:eastAsia="en-US"/>
    </w:rPr>
  </w:style>
  <w:style w:type="numbering" w:customStyle="1" w:styleId="Bezzoznamu1">
    <w:name w:val="Bez zoznamu1"/>
    <w:next w:val="Bezzoznamu"/>
    <w:semiHidden/>
    <w:unhideWhenUsed/>
    <w:rsid w:val="00D36D54"/>
  </w:style>
  <w:style w:type="table" w:customStyle="1" w:styleId="Mriekatabuky1">
    <w:name w:val="Mriežka tabuľky1"/>
    <w:basedOn w:val="Normlnatabuka"/>
    <w:next w:val="Mriekatabuky"/>
    <w:rsid w:val="00D36D54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0">
    <w:name w:val="Body Text"/>
    <w:basedOn w:val="Normlny"/>
    <w:link w:val="ZkladntextChar"/>
    <w:rsid w:val="00D36D54"/>
    <w:pPr>
      <w:jc w:val="both"/>
    </w:pPr>
    <w:rPr>
      <w:rFonts w:ascii="Verdana" w:hAnsi="Verdana"/>
      <w:snapToGrid w:val="0"/>
      <w:szCs w:val="20"/>
      <w:lang w:val="cs-CZ"/>
    </w:rPr>
  </w:style>
  <w:style w:type="character" w:customStyle="1" w:styleId="ZkladntextChar">
    <w:name w:val="Základný text Char"/>
    <w:basedOn w:val="Predvolenpsmoodseku"/>
    <w:link w:val="Zkladntext0"/>
    <w:rsid w:val="00D36D54"/>
    <w:rPr>
      <w:rFonts w:ascii="Verdana" w:hAnsi="Verdana"/>
      <w:snapToGrid w:val="0"/>
      <w:sz w:val="24"/>
      <w:lang w:val="cs-CZ"/>
    </w:rPr>
  </w:style>
  <w:style w:type="paragraph" w:styleId="Textbubliny">
    <w:name w:val="Balloon Text"/>
    <w:basedOn w:val="Normlny"/>
    <w:link w:val="TextbublinyChar"/>
    <w:rsid w:val="00D36D54"/>
    <w:pPr>
      <w:jc w:val="both"/>
    </w:pPr>
    <w:rPr>
      <w:rFonts w:ascii="Tahoma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Predvolenpsmoodseku"/>
    <w:link w:val="Textbubliny"/>
    <w:rsid w:val="00D36D54"/>
    <w:rPr>
      <w:rFonts w:ascii="Tahoma" w:hAnsi="Tahoma" w:cs="Tahoma"/>
      <w:sz w:val="16"/>
      <w:szCs w:val="16"/>
      <w:lang w:eastAsia="en-US"/>
    </w:rPr>
  </w:style>
  <w:style w:type="character" w:styleId="Odkaznakomentr">
    <w:name w:val="annotation reference"/>
    <w:rsid w:val="00D36D54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D36D54"/>
    <w:pPr>
      <w:jc w:val="both"/>
    </w:pPr>
    <w:rPr>
      <w:rFonts w:ascii="Verdana" w:hAnsi="Verdana"/>
      <w:sz w:val="20"/>
      <w:szCs w:val="20"/>
      <w:lang w:eastAsia="en-US"/>
    </w:rPr>
  </w:style>
  <w:style w:type="character" w:customStyle="1" w:styleId="TextkomentraChar">
    <w:name w:val="Text komentára Char"/>
    <w:basedOn w:val="Predvolenpsmoodseku"/>
    <w:link w:val="Textkomentra"/>
    <w:rsid w:val="00D36D54"/>
    <w:rPr>
      <w:rFonts w:ascii="Verdana" w:hAnsi="Verdana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rsid w:val="00D36D5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D36D54"/>
    <w:rPr>
      <w:rFonts w:ascii="Verdana" w:hAnsi="Verdana"/>
      <w:b/>
      <w:bCs/>
      <w:lang w:eastAsia="en-US"/>
    </w:rPr>
  </w:style>
  <w:style w:type="paragraph" w:customStyle="1" w:styleId="tableheader">
    <w:name w:val="table header"/>
    <w:basedOn w:val="Normlny"/>
    <w:rsid w:val="00D36D54"/>
    <w:pPr>
      <w:jc w:val="center"/>
    </w:pPr>
    <w:rPr>
      <w:rFonts w:ascii="Times New Roman Bold" w:hAnsi="Times New Roman Bold"/>
      <w:b/>
      <w:i/>
      <w:snapToGrid w:val="0"/>
      <w:sz w:val="20"/>
      <w:szCs w:val="20"/>
    </w:rPr>
  </w:style>
  <w:style w:type="paragraph" w:styleId="Revzia">
    <w:name w:val="Revision"/>
    <w:hidden/>
    <w:uiPriority w:val="99"/>
    <w:semiHidden/>
    <w:rsid w:val="00D36D54"/>
    <w:rPr>
      <w:rFonts w:ascii="Verdana" w:hAnsi="Verdana"/>
      <w:sz w:val="17"/>
      <w:lang w:eastAsia="en-US"/>
    </w:rPr>
  </w:style>
  <w:style w:type="character" w:customStyle="1" w:styleId="ra">
    <w:name w:val="ra"/>
    <w:basedOn w:val="Predvolenpsmoodseku"/>
    <w:rsid w:val="00D36D54"/>
  </w:style>
  <w:style w:type="paragraph" w:styleId="Odsekzoznamu">
    <w:name w:val="List Paragraph"/>
    <w:basedOn w:val="Normlny"/>
    <w:uiPriority w:val="34"/>
    <w:qFormat/>
    <w:rsid w:val="00D36D5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nhideWhenUsed/>
    <w:qFormat/>
    <w:locked/>
    <w:rsid w:val="00EE2A3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nhideWhenUsed/>
    <w:qFormat/>
    <w:locked/>
    <w:rsid w:val="00EE2A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qFormat/>
    <w:locked/>
    <w:rsid w:val="00D36D54"/>
    <w:pPr>
      <w:tabs>
        <w:tab w:val="num" w:pos="1008"/>
      </w:tabs>
      <w:spacing w:before="240" w:after="60"/>
      <w:ind w:left="1008" w:hanging="1008"/>
      <w:jc w:val="both"/>
      <w:outlineLvl w:val="4"/>
    </w:pPr>
    <w:rPr>
      <w:rFonts w:ascii="Verdana" w:hAnsi="Verdana"/>
      <w:b/>
      <w:bCs/>
      <w:i/>
      <w:iCs/>
      <w:sz w:val="17"/>
      <w:szCs w:val="26"/>
      <w:lang w:eastAsia="en-US"/>
    </w:rPr>
  </w:style>
  <w:style w:type="paragraph" w:styleId="Nadpis6">
    <w:name w:val="heading 6"/>
    <w:basedOn w:val="Normlny"/>
    <w:next w:val="Normlny"/>
    <w:link w:val="Nadpis6Char"/>
    <w:qFormat/>
    <w:locked/>
    <w:rsid w:val="00D36D54"/>
    <w:pPr>
      <w:tabs>
        <w:tab w:val="num" w:pos="1152"/>
      </w:tabs>
      <w:spacing w:before="240" w:after="60"/>
      <w:ind w:left="1152" w:hanging="1152"/>
      <w:jc w:val="both"/>
      <w:outlineLvl w:val="5"/>
    </w:pPr>
    <w:rPr>
      <w:rFonts w:ascii="Verdana" w:hAnsi="Verdana"/>
      <w:b/>
      <w:bCs/>
      <w:sz w:val="17"/>
      <w:szCs w:val="22"/>
      <w:lang w:eastAsia="en-US"/>
    </w:rPr>
  </w:style>
  <w:style w:type="paragraph" w:styleId="Nadpis7">
    <w:name w:val="heading 7"/>
    <w:basedOn w:val="Normlny"/>
    <w:next w:val="Normlny"/>
    <w:link w:val="Nadpis7Char"/>
    <w:qFormat/>
    <w:locked/>
    <w:rsid w:val="00D36D54"/>
    <w:pPr>
      <w:tabs>
        <w:tab w:val="num" w:pos="1296"/>
      </w:tabs>
      <w:spacing w:before="240" w:after="60"/>
      <w:ind w:left="1296" w:hanging="1296"/>
      <w:jc w:val="both"/>
      <w:outlineLvl w:val="6"/>
    </w:pPr>
    <w:rPr>
      <w:rFonts w:ascii="Verdana" w:hAnsi="Verdana"/>
      <w:sz w:val="17"/>
      <w:lang w:eastAsia="en-US"/>
    </w:rPr>
  </w:style>
  <w:style w:type="paragraph" w:styleId="Nadpis8">
    <w:name w:val="heading 8"/>
    <w:basedOn w:val="Normlny"/>
    <w:next w:val="Normlny"/>
    <w:link w:val="Nadpis8Char"/>
    <w:qFormat/>
    <w:locked/>
    <w:rsid w:val="00D36D54"/>
    <w:pPr>
      <w:tabs>
        <w:tab w:val="num" w:pos="1440"/>
      </w:tabs>
      <w:spacing w:before="240" w:after="60"/>
      <w:ind w:left="1440" w:hanging="1440"/>
      <w:jc w:val="both"/>
      <w:outlineLvl w:val="7"/>
    </w:pPr>
    <w:rPr>
      <w:rFonts w:ascii="Verdana" w:hAnsi="Verdana"/>
      <w:i/>
      <w:iCs/>
      <w:sz w:val="17"/>
      <w:lang w:eastAsia="en-US"/>
    </w:rPr>
  </w:style>
  <w:style w:type="paragraph" w:styleId="Nadpis9">
    <w:name w:val="heading 9"/>
    <w:basedOn w:val="Normlny"/>
    <w:next w:val="Normlny"/>
    <w:link w:val="Nadpis9Char"/>
    <w:qFormat/>
    <w:locked/>
    <w:rsid w:val="00D36D54"/>
    <w:pPr>
      <w:tabs>
        <w:tab w:val="num" w:pos="1584"/>
      </w:tabs>
      <w:spacing w:before="240" w:after="60"/>
      <w:ind w:left="1584" w:hanging="1584"/>
      <w:jc w:val="both"/>
      <w:outlineLvl w:val="8"/>
    </w:pPr>
    <w:rPr>
      <w:rFonts w:ascii="Verdana" w:hAnsi="Verdana" w:cs="Arial"/>
      <w:sz w:val="17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7400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locked/>
    <w:rsid w:val="00E7400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7400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locked/>
    <w:rsid w:val="00E7400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character" w:customStyle="1" w:styleId="Nadpis3Char">
    <w:name w:val="Nadpis 3 Char"/>
    <w:basedOn w:val="Predvolenpsmoodseku"/>
    <w:link w:val="Nadpis3"/>
    <w:rsid w:val="00EE2A3E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Nadpis4Char">
    <w:name w:val="Nadpis 4 Char"/>
    <w:basedOn w:val="Predvolenpsmoodseku"/>
    <w:link w:val="Nadpis4"/>
    <w:rsid w:val="00EE2A3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Nadpis5Char">
    <w:name w:val="Nadpis 5 Char"/>
    <w:basedOn w:val="Predvolenpsmoodseku"/>
    <w:link w:val="Nadpis5"/>
    <w:rsid w:val="00D36D54"/>
    <w:rPr>
      <w:rFonts w:ascii="Verdana" w:hAnsi="Verdana"/>
      <w:b/>
      <w:bCs/>
      <w:i/>
      <w:iCs/>
      <w:sz w:val="17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rsid w:val="00D36D54"/>
    <w:rPr>
      <w:rFonts w:ascii="Verdana" w:hAnsi="Verdana"/>
      <w:b/>
      <w:bCs/>
      <w:sz w:val="17"/>
      <w:szCs w:val="22"/>
      <w:lang w:eastAsia="en-US"/>
    </w:rPr>
  </w:style>
  <w:style w:type="character" w:customStyle="1" w:styleId="Nadpis7Char">
    <w:name w:val="Nadpis 7 Char"/>
    <w:basedOn w:val="Predvolenpsmoodseku"/>
    <w:link w:val="Nadpis7"/>
    <w:rsid w:val="00D36D54"/>
    <w:rPr>
      <w:rFonts w:ascii="Verdana" w:hAnsi="Verdana"/>
      <w:sz w:val="17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rsid w:val="00D36D54"/>
    <w:rPr>
      <w:rFonts w:ascii="Verdana" w:hAnsi="Verdana"/>
      <w:i/>
      <w:iCs/>
      <w:sz w:val="17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rsid w:val="00D36D54"/>
    <w:rPr>
      <w:rFonts w:ascii="Verdana" w:hAnsi="Verdana" w:cs="Arial"/>
      <w:sz w:val="17"/>
      <w:szCs w:val="22"/>
      <w:lang w:eastAsia="en-US"/>
    </w:rPr>
  </w:style>
  <w:style w:type="numbering" w:customStyle="1" w:styleId="Bezzoznamu1">
    <w:name w:val="Bez zoznamu1"/>
    <w:next w:val="Bezzoznamu"/>
    <w:semiHidden/>
    <w:unhideWhenUsed/>
    <w:rsid w:val="00D36D54"/>
  </w:style>
  <w:style w:type="table" w:customStyle="1" w:styleId="Mriekatabuky1">
    <w:name w:val="Mriežka tabuľky1"/>
    <w:basedOn w:val="Normlnatabuka"/>
    <w:next w:val="Mriekatabuky"/>
    <w:rsid w:val="00D36D54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0">
    <w:name w:val="Body Text"/>
    <w:basedOn w:val="Normlny"/>
    <w:link w:val="ZkladntextChar"/>
    <w:rsid w:val="00D36D54"/>
    <w:pPr>
      <w:jc w:val="both"/>
    </w:pPr>
    <w:rPr>
      <w:rFonts w:ascii="Verdana" w:hAnsi="Verdana"/>
      <w:snapToGrid w:val="0"/>
      <w:szCs w:val="20"/>
      <w:lang w:val="cs-CZ"/>
    </w:rPr>
  </w:style>
  <w:style w:type="character" w:customStyle="1" w:styleId="ZkladntextChar">
    <w:name w:val="Základný text Char"/>
    <w:basedOn w:val="Predvolenpsmoodseku"/>
    <w:link w:val="Zkladntext0"/>
    <w:rsid w:val="00D36D54"/>
    <w:rPr>
      <w:rFonts w:ascii="Verdana" w:hAnsi="Verdana"/>
      <w:snapToGrid w:val="0"/>
      <w:sz w:val="24"/>
      <w:lang w:val="cs-CZ"/>
    </w:rPr>
  </w:style>
  <w:style w:type="paragraph" w:styleId="Textbubliny">
    <w:name w:val="Balloon Text"/>
    <w:basedOn w:val="Normlny"/>
    <w:link w:val="TextbublinyChar"/>
    <w:rsid w:val="00D36D54"/>
    <w:pPr>
      <w:jc w:val="both"/>
    </w:pPr>
    <w:rPr>
      <w:rFonts w:ascii="Tahoma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Predvolenpsmoodseku"/>
    <w:link w:val="Textbubliny"/>
    <w:rsid w:val="00D36D54"/>
    <w:rPr>
      <w:rFonts w:ascii="Tahoma" w:hAnsi="Tahoma" w:cs="Tahoma"/>
      <w:sz w:val="16"/>
      <w:szCs w:val="16"/>
      <w:lang w:eastAsia="en-US"/>
    </w:rPr>
  </w:style>
  <w:style w:type="character" w:styleId="Odkaznakomentr">
    <w:name w:val="annotation reference"/>
    <w:rsid w:val="00D36D54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D36D54"/>
    <w:pPr>
      <w:jc w:val="both"/>
    </w:pPr>
    <w:rPr>
      <w:rFonts w:ascii="Verdana" w:hAnsi="Verdana"/>
      <w:sz w:val="20"/>
      <w:szCs w:val="20"/>
      <w:lang w:eastAsia="en-US"/>
    </w:rPr>
  </w:style>
  <w:style w:type="character" w:customStyle="1" w:styleId="TextkomentraChar">
    <w:name w:val="Text komentára Char"/>
    <w:basedOn w:val="Predvolenpsmoodseku"/>
    <w:link w:val="Textkomentra"/>
    <w:rsid w:val="00D36D54"/>
    <w:rPr>
      <w:rFonts w:ascii="Verdana" w:hAnsi="Verdana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rsid w:val="00D36D5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D36D54"/>
    <w:rPr>
      <w:rFonts w:ascii="Verdana" w:hAnsi="Verdana"/>
      <w:b/>
      <w:bCs/>
      <w:lang w:eastAsia="en-US"/>
    </w:rPr>
  </w:style>
  <w:style w:type="paragraph" w:customStyle="1" w:styleId="tableheader">
    <w:name w:val="table header"/>
    <w:basedOn w:val="Normlny"/>
    <w:rsid w:val="00D36D54"/>
    <w:pPr>
      <w:jc w:val="center"/>
    </w:pPr>
    <w:rPr>
      <w:rFonts w:ascii="Times New Roman Bold" w:hAnsi="Times New Roman Bold"/>
      <w:b/>
      <w:i/>
      <w:snapToGrid w:val="0"/>
      <w:sz w:val="20"/>
      <w:szCs w:val="20"/>
    </w:rPr>
  </w:style>
  <w:style w:type="paragraph" w:styleId="Revzia">
    <w:name w:val="Revision"/>
    <w:hidden/>
    <w:uiPriority w:val="99"/>
    <w:semiHidden/>
    <w:rsid w:val="00D36D54"/>
    <w:rPr>
      <w:rFonts w:ascii="Verdana" w:hAnsi="Verdana"/>
      <w:sz w:val="17"/>
      <w:lang w:eastAsia="en-US"/>
    </w:rPr>
  </w:style>
  <w:style w:type="character" w:customStyle="1" w:styleId="ra">
    <w:name w:val="ra"/>
    <w:basedOn w:val="Predvolenpsmoodseku"/>
    <w:rsid w:val="00D36D54"/>
  </w:style>
  <w:style w:type="paragraph" w:styleId="Odsekzoznamu">
    <w:name w:val="List Paragraph"/>
    <w:basedOn w:val="Normlny"/>
    <w:uiPriority w:val="34"/>
    <w:qFormat/>
    <w:rsid w:val="00D36D5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2.emf"/><Relationship Id="rId18" Type="http://schemas.openxmlformats.org/officeDocument/2006/relationships/oleObject" Target="embeddings/Microsoft_Excel_97-2003_Worksheet4.xls"/><Relationship Id="rId26" Type="http://schemas.openxmlformats.org/officeDocument/2006/relationships/oleObject" Target="embeddings/Microsoft_Excel_97-2003_Worksheet8.xls"/><Relationship Id="rId39" Type="http://schemas.openxmlformats.org/officeDocument/2006/relationships/image" Target="media/image14.emf"/><Relationship Id="rId3" Type="http://schemas.openxmlformats.org/officeDocument/2006/relationships/styles" Target="styles.xml"/><Relationship Id="rId21" Type="http://schemas.openxmlformats.org/officeDocument/2006/relationships/image" Target="media/image6.emf"/><Relationship Id="rId34" Type="http://schemas.openxmlformats.org/officeDocument/2006/relationships/oleObject" Target="embeddings/Microsoft_Excel_97-2003_Worksheet11.xls"/><Relationship Id="rId42" Type="http://schemas.openxmlformats.org/officeDocument/2006/relationships/oleObject" Target="embeddings/Microsoft_Excel_97-2003_Worksheet15.xls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image" Target="media/image4.emf"/><Relationship Id="rId25" Type="http://schemas.openxmlformats.org/officeDocument/2006/relationships/image" Target="media/image8.emf"/><Relationship Id="rId33" Type="http://schemas.openxmlformats.org/officeDocument/2006/relationships/image" Target="media/image11.emf"/><Relationship Id="rId38" Type="http://schemas.openxmlformats.org/officeDocument/2006/relationships/oleObject" Target="embeddings/Microsoft_Excel_97-2003_Worksheet13.xls"/><Relationship Id="rId2" Type="http://schemas.openxmlformats.org/officeDocument/2006/relationships/numbering" Target="numbering.xml"/><Relationship Id="rId16" Type="http://schemas.openxmlformats.org/officeDocument/2006/relationships/oleObject" Target="embeddings/Microsoft_Excel_97-2003_Worksheet3.xls"/><Relationship Id="rId20" Type="http://schemas.openxmlformats.org/officeDocument/2006/relationships/oleObject" Target="embeddings/Microsoft_Excel_97-2003_Worksheet5.xls"/><Relationship Id="rId29" Type="http://schemas.openxmlformats.org/officeDocument/2006/relationships/image" Target="media/image9.emf"/><Relationship Id="rId41" Type="http://schemas.openxmlformats.org/officeDocument/2006/relationships/image" Target="media/image15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24" Type="http://schemas.openxmlformats.org/officeDocument/2006/relationships/oleObject" Target="embeddings/Microsoft_Excel_97-2003_Worksheet7.xls"/><Relationship Id="rId32" Type="http://schemas.openxmlformats.org/officeDocument/2006/relationships/oleObject" Target="embeddings/Microsoft_Excel_97-2003_Worksheet10.xls"/><Relationship Id="rId37" Type="http://schemas.openxmlformats.org/officeDocument/2006/relationships/image" Target="media/image13.emf"/><Relationship Id="rId40" Type="http://schemas.openxmlformats.org/officeDocument/2006/relationships/oleObject" Target="embeddings/Microsoft_Excel_97-2003_Worksheet14.xls"/><Relationship Id="rId5" Type="http://schemas.openxmlformats.org/officeDocument/2006/relationships/settings" Target="settings.xml"/><Relationship Id="rId15" Type="http://schemas.openxmlformats.org/officeDocument/2006/relationships/image" Target="media/image3.emf"/><Relationship Id="rId23" Type="http://schemas.openxmlformats.org/officeDocument/2006/relationships/image" Target="media/image7.emf"/><Relationship Id="rId28" Type="http://schemas.openxmlformats.org/officeDocument/2006/relationships/header" Target="header2.xml"/><Relationship Id="rId36" Type="http://schemas.openxmlformats.org/officeDocument/2006/relationships/oleObject" Target="embeddings/Microsoft_Excel_97-2003_Worksheet12.xls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5.emf"/><Relationship Id="rId31" Type="http://schemas.openxmlformats.org/officeDocument/2006/relationships/image" Target="media/image10.emf"/><Relationship Id="rId44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oleObject" Target="embeddings/Microsoft_Excel_97-2003_Worksheet2.xls"/><Relationship Id="rId22" Type="http://schemas.openxmlformats.org/officeDocument/2006/relationships/oleObject" Target="embeddings/Microsoft_Excel_97-2003_Worksheet6.xls"/><Relationship Id="rId27" Type="http://schemas.openxmlformats.org/officeDocument/2006/relationships/footer" Target="footer2.xml"/><Relationship Id="rId30" Type="http://schemas.openxmlformats.org/officeDocument/2006/relationships/oleObject" Target="embeddings/Microsoft_Excel_97-2003_Worksheet9.xls"/><Relationship Id="rId35" Type="http://schemas.openxmlformats.org/officeDocument/2006/relationships/image" Target="media/image12.emf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4D69CD-1A32-411A-B671-84EC4D607E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21</Pages>
  <Words>3449</Words>
  <Characters>19660</Characters>
  <Application>Microsoft Office Word</Application>
  <DocSecurity>0</DocSecurity>
  <Lines>163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23063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t</cp:lastModifiedBy>
  <cp:revision>2</cp:revision>
  <cp:lastPrinted>2010-04-22T15:02:00Z</cp:lastPrinted>
  <dcterms:created xsi:type="dcterms:W3CDTF">2014-03-23T15:09:00Z</dcterms:created>
  <dcterms:modified xsi:type="dcterms:W3CDTF">2014-03-23T15:09:00Z</dcterms:modified>
</cp:coreProperties>
</file>