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F77" w:rsidRDefault="002F7F77" w:rsidP="002F7F77">
      <w:pPr>
        <w:jc w:val="center"/>
        <w:rPr>
          <w:rFonts w:ascii="Times New Roman" w:hAnsi="Times New Roman" w:cs="Times New Roman"/>
          <w:b/>
          <w:sz w:val="32"/>
          <w:szCs w:val="32"/>
        </w:rPr>
      </w:pPr>
    </w:p>
    <w:p w:rsidR="00731035" w:rsidRPr="00381086" w:rsidRDefault="00E60DC9" w:rsidP="002F7F77">
      <w:pPr>
        <w:jc w:val="center"/>
        <w:rPr>
          <w:rFonts w:ascii="Times New Roman" w:hAnsi="Times New Roman" w:cs="Times New Roman"/>
          <w:b/>
          <w:sz w:val="32"/>
          <w:szCs w:val="32"/>
        </w:rPr>
      </w:pPr>
      <w:r w:rsidRPr="00381086">
        <w:rPr>
          <w:rFonts w:ascii="Times New Roman" w:hAnsi="Times New Roman" w:cs="Times New Roman"/>
          <w:b/>
          <w:sz w:val="32"/>
          <w:szCs w:val="32"/>
        </w:rPr>
        <w:t>SP.Plast, s.r.o., Nitrianska cesta 503/60, 958 01  Partizánske</w:t>
      </w:r>
    </w:p>
    <w:p w:rsidR="00E60DC9" w:rsidRDefault="00E60DC9" w:rsidP="00E60DC9">
      <w:pPr>
        <w:jc w:val="center"/>
        <w:rPr>
          <w:rFonts w:ascii="Times New Roman" w:hAnsi="Times New Roman" w:cs="Times New Roman"/>
          <w:sz w:val="20"/>
          <w:szCs w:val="20"/>
        </w:rPr>
      </w:pPr>
      <w:r>
        <w:rPr>
          <w:rFonts w:ascii="Times New Roman" w:hAnsi="Times New Roman" w:cs="Times New Roman"/>
          <w:sz w:val="20"/>
          <w:szCs w:val="20"/>
        </w:rPr>
        <w:t>Zapísaná v obchodnom registri Okresného súdu Trenčín, oddiel: Sro, vložka číslo: 19225/R</w:t>
      </w: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Default="00E60DC9" w:rsidP="00E60DC9">
      <w:pPr>
        <w:jc w:val="center"/>
        <w:rPr>
          <w:rFonts w:ascii="Times New Roman" w:hAnsi="Times New Roman" w:cs="Times New Roman"/>
          <w:sz w:val="20"/>
          <w:szCs w:val="20"/>
        </w:rPr>
      </w:pPr>
    </w:p>
    <w:p w:rsidR="00E60DC9" w:rsidRPr="00381086" w:rsidRDefault="00E60DC9" w:rsidP="00E60DC9">
      <w:pPr>
        <w:jc w:val="center"/>
        <w:rPr>
          <w:rFonts w:ascii="Times New Roman" w:hAnsi="Times New Roman" w:cs="Times New Roman"/>
          <w:b/>
          <w:sz w:val="36"/>
          <w:szCs w:val="36"/>
        </w:rPr>
      </w:pPr>
      <w:r w:rsidRPr="00381086">
        <w:rPr>
          <w:rFonts w:ascii="Times New Roman" w:hAnsi="Times New Roman" w:cs="Times New Roman"/>
          <w:b/>
          <w:sz w:val="36"/>
          <w:szCs w:val="36"/>
        </w:rPr>
        <w:t>V Ý R O Č N Á    S P R Á V A</w:t>
      </w:r>
    </w:p>
    <w:p w:rsidR="00E60DC9" w:rsidRPr="00381086" w:rsidRDefault="00E60DC9" w:rsidP="00E60DC9">
      <w:pPr>
        <w:jc w:val="center"/>
        <w:rPr>
          <w:rFonts w:ascii="Times New Roman" w:hAnsi="Times New Roman" w:cs="Times New Roman"/>
          <w:b/>
          <w:sz w:val="36"/>
          <w:szCs w:val="36"/>
        </w:rPr>
      </w:pPr>
      <w:r w:rsidRPr="00381086">
        <w:rPr>
          <w:rFonts w:ascii="Times New Roman" w:hAnsi="Times New Roman" w:cs="Times New Roman"/>
          <w:b/>
          <w:sz w:val="36"/>
          <w:szCs w:val="36"/>
        </w:rPr>
        <w:t>R O K    2 0 1 3</w:t>
      </w: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381086">
      <w:pP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r>
        <w:rPr>
          <w:rFonts w:ascii="Times New Roman" w:hAnsi="Times New Roman" w:cs="Times New Roman"/>
          <w:b/>
          <w:sz w:val="24"/>
          <w:szCs w:val="24"/>
        </w:rPr>
        <w:t>September 2014</w:t>
      </w:r>
    </w:p>
    <w:p w:rsidR="00E60DC9" w:rsidRDefault="00E60DC9" w:rsidP="00E60DC9">
      <w:pPr>
        <w:jc w:val="center"/>
        <w:rPr>
          <w:rFonts w:ascii="Times New Roman" w:hAnsi="Times New Roman" w:cs="Times New Roman"/>
          <w:b/>
          <w:sz w:val="24"/>
          <w:szCs w:val="24"/>
        </w:rPr>
      </w:pPr>
      <w:r>
        <w:rPr>
          <w:rFonts w:ascii="Times New Roman" w:hAnsi="Times New Roman" w:cs="Times New Roman"/>
          <w:b/>
          <w:sz w:val="24"/>
          <w:szCs w:val="24"/>
        </w:rPr>
        <w:lastRenderedPageBreak/>
        <w:t>SP.Plast, s.r.o., Partizánske</w:t>
      </w: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Pr="00381086" w:rsidRDefault="00E60DC9" w:rsidP="00E60DC9">
      <w:pPr>
        <w:jc w:val="center"/>
        <w:rPr>
          <w:rFonts w:ascii="Times New Roman" w:hAnsi="Times New Roman" w:cs="Times New Roman"/>
          <w:b/>
          <w:sz w:val="28"/>
          <w:szCs w:val="28"/>
        </w:rPr>
      </w:pPr>
      <w:r w:rsidRPr="00381086">
        <w:rPr>
          <w:rFonts w:ascii="Times New Roman" w:hAnsi="Times New Roman" w:cs="Times New Roman"/>
          <w:b/>
          <w:sz w:val="28"/>
          <w:szCs w:val="28"/>
        </w:rPr>
        <w:t>Výročná správa spoločnosti s ručením obmedzeným za rok 2013</w:t>
      </w:r>
    </w:p>
    <w:p w:rsidR="00E60DC9" w:rsidRDefault="00E60DC9" w:rsidP="00E60DC9">
      <w:pPr>
        <w:jc w:val="center"/>
        <w:rPr>
          <w:rFonts w:ascii="Times New Roman" w:hAnsi="Times New Roman" w:cs="Times New Roman"/>
          <w:b/>
          <w:sz w:val="24"/>
          <w:szCs w:val="24"/>
        </w:rPr>
      </w:pPr>
    </w:p>
    <w:p w:rsidR="00E60DC9" w:rsidRDefault="00E60DC9" w:rsidP="00E60DC9">
      <w:pPr>
        <w:rPr>
          <w:rFonts w:ascii="Times New Roman" w:hAnsi="Times New Roman" w:cs="Times New Roman"/>
          <w:b/>
          <w:sz w:val="24"/>
          <w:szCs w:val="24"/>
        </w:rPr>
      </w:pPr>
    </w:p>
    <w:p w:rsidR="00E60DC9" w:rsidRPr="00381086" w:rsidRDefault="00E60DC9" w:rsidP="00E60DC9">
      <w:pPr>
        <w:rPr>
          <w:rFonts w:ascii="Times New Roman" w:hAnsi="Times New Roman" w:cs="Times New Roman"/>
          <w:b/>
          <w:sz w:val="24"/>
          <w:szCs w:val="24"/>
        </w:rPr>
      </w:pPr>
    </w:p>
    <w:p w:rsidR="00E60DC9" w:rsidRPr="00381086" w:rsidRDefault="00E60DC9" w:rsidP="00E60DC9">
      <w:pPr>
        <w:rPr>
          <w:rFonts w:ascii="Times New Roman" w:hAnsi="Times New Roman" w:cs="Times New Roman"/>
          <w:b/>
          <w:sz w:val="24"/>
          <w:szCs w:val="24"/>
        </w:rPr>
      </w:pPr>
      <w:r w:rsidRPr="00381086">
        <w:rPr>
          <w:rFonts w:ascii="Times New Roman" w:hAnsi="Times New Roman" w:cs="Times New Roman"/>
          <w:b/>
          <w:sz w:val="24"/>
          <w:szCs w:val="24"/>
        </w:rPr>
        <w:t xml:space="preserve">Predkladá konateľ spoločnosti s ručením obmedzeným </w:t>
      </w:r>
    </w:p>
    <w:p w:rsidR="00E60DC9" w:rsidRDefault="00E60DC9" w:rsidP="00E60DC9">
      <w:pPr>
        <w:rPr>
          <w:rFonts w:ascii="Times New Roman" w:hAnsi="Times New Roman" w:cs="Times New Roman"/>
          <w:b/>
          <w:sz w:val="20"/>
          <w:szCs w:val="20"/>
        </w:rPr>
      </w:pPr>
    </w:p>
    <w:p w:rsidR="00381086" w:rsidRDefault="00381086" w:rsidP="00E60DC9">
      <w:pPr>
        <w:rPr>
          <w:rFonts w:ascii="Times New Roman" w:hAnsi="Times New Roman" w:cs="Times New Roman"/>
          <w:b/>
          <w:sz w:val="20"/>
          <w:szCs w:val="20"/>
        </w:rPr>
      </w:pPr>
    </w:p>
    <w:p w:rsidR="00381086" w:rsidRDefault="00381086" w:rsidP="00E60DC9">
      <w:pPr>
        <w:rPr>
          <w:rFonts w:ascii="Times New Roman" w:hAnsi="Times New Roman" w:cs="Times New Roman"/>
          <w:b/>
          <w:sz w:val="20"/>
          <w:szCs w:val="20"/>
        </w:rPr>
      </w:pPr>
    </w:p>
    <w:p w:rsidR="00E60DC9" w:rsidRPr="00E60DC9" w:rsidRDefault="00E60DC9" w:rsidP="00E60DC9">
      <w:pPr>
        <w:rPr>
          <w:rFonts w:ascii="Times New Roman" w:hAnsi="Times New Roman" w:cs="Times New Roman"/>
          <w:sz w:val="20"/>
          <w:szCs w:val="20"/>
        </w:rPr>
      </w:pPr>
      <w:r w:rsidRPr="00381086">
        <w:rPr>
          <w:rFonts w:ascii="Times New Roman" w:hAnsi="Times New Roman" w:cs="Times New Roman"/>
          <w:sz w:val="24"/>
          <w:szCs w:val="24"/>
        </w:rPr>
        <w:t>Franck Lapie</w:t>
      </w:r>
      <w:r w:rsidR="004B6A60" w:rsidRPr="00381086">
        <w:rPr>
          <w:rFonts w:ascii="Times New Roman" w:hAnsi="Times New Roman" w:cs="Times New Roman"/>
          <w:sz w:val="24"/>
          <w:szCs w:val="24"/>
        </w:rPr>
        <w:t>r</w:t>
      </w:r>
      <w:r w:rsidRPr="00381086">
        <w:rPr>
          <w:rFonts w:ascii="Times New Roman" w:hAnsi="Times New Roman" w:cs="Times New Roman"/>
          <w:sz w:val="24"/>
          <w:szCs w:val="24"/>
        </w:rPr>
        <w:t>re</w:t>
      </w:r>
      <w:r w:rsidR="00381086">
        <w:rPr>
          <w:rFonts w:ascii="Times New Roman" w:hAnsi="Times New Roman" w:cs="Times New Roman"/>
          <w:sz w:val="24"/>
          <w:szCs w:val="24"/>
        </w:rPr>
        <w:t xml:space="preserve">                          </w:t>
      </w:r>
      <w:r>
        <w:rPr>
          <w:rFonts w:ascii="Times New Roman" w:hAnsi="Times New Roman" w:cs="Times New Roman"/>
          <w:sz w:val="20"/>
          <w:szCs w:val="20"/>
        </w:rPr>
        <w:t>.................................................</w:t>
      </w:r>
    </w:p>
    <w:p w:rsidR="00E60DC9" w:rsidRPr="00E60DC9" w:rsidRDefault="00E60DC9" w:rsidP="00E60DC9">
      <w:pPr>
        <w:rPr>
          <w:rFonts w:ascii="Times New Roman" w:hAnsi="Times New Roman" w:cs="Times New Roman"/>
          <w:b/>
          <w:sz w:val="20"/>
          <w:szCs w:val="20"/>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jc w:val="center"/>
        <w:rPr>
          <w:rFonts w:ascii="Times New Roman" w:hAnsi="Times New Roman" w:cs="Times New Roman"/>
          <w:b/>
          <w:sz w:val="24"/>
          <w:szCs w:val="24"/>
        </w:rPr>
      </w:pPr>
    </w:p>
    <w:p w:rsidR="00E60DC9" w:rsidRDefault="00E60DC9" w:rsidP="00E60DC9">
      <w:pPr>
        <w:rPr>
          <w:rFonts w:ascii="Times New Roman" w:hAnsi="Times New Roman" w:cs="Times New Roman"/>
          <w:b/>
          <w:sz w:val="24"/>
          <w:szCs w:val="24"/>
        </w:rPr>
      </w:pPr>
      <w:r>
        <w:rPr>
          <w:rFonts w:ascii="Times New Roman" w:hAnsi="Times New Roman" w:cs="Times New Roman"/>
          <w:b/>
          <w:sz w:val="24"/>
          <w:szCs w:val="24"/>
        </w:rPr>
        <w:lastRenderedPageBreak/>
        <w:t>OBSAH SPRÁVY</w:t>
      </w:r>
    </w:p>
    <w:p w:rsidR="00E60DC9" w:rsidRDefault="00E60DC9" w:rsidP="00E60DC9">
      <w:pPr>
        <w:rPr>
          <w:rFonts w:ascii="Times New Roman" w:hAnsi="Times New Roman" w:cs="Times New Roman"/>
          <w:b/>
          <w:sz w:val="24"/>
          <w:szCs w:val="24"/>
        </w:rPr>
      </w:pPr>
    </w:p>
    <w:p w:rsidR="00E60DC9" w:rsidRDefault="00E60DC9" w:rsidP="00E60DC9">
      <w:pPr>
        <w:rPr>
          <w:rFonts w:ascii="Times New Roman" w:hAnsi="Times New Roman" w:cs="Times New Roman"/>
          <w:b/>
          <w:sz w:val="24"/>
          <w:szCs w:val="24"/>
        </w:rPr>
      </w:pP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Základné údaje o spoločnosti  ...............................................................................................................</w:t>
      </w:r>
      <w:r w:rsidR="009F126D">
        <w:rPr>
          <w:rFonts w:ascii="Times New Roman" w:hAnsi="Times New Roman" w:cs="Times New Roman"/>
          <w:b/>
          <w:sz w:val="20"/>
          <w:szCs w:val="20"/>
        </w:rPr>
        <w:t xml:space="preserve"> 4</w:t>
      </w: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Výročná správa   ....................................................................................................................................</w:t>
      </w:r>
      <w:r w:rsidR="009F126D">
        <w:rPr>
          <w:rFonts w:ascii="Times New Roman" w:hAnsi="Times New Roman" w:cs="Times New Roman"/>
          <w:b/>
          <w:sz w:val="20"/>
          <w:szCs w:val="20"/>
        </w:rPr>
        <w:t xml:space="preserve"> </w:t>
      </w:r>
      <w:r w:rsidR="00161EF0">
        <w:rPr>
          <w:rFonts w:ascii="Times New Roman" w:hAnsi="Times New Roman" w:cs="Times New Roman"/>
          <w:b/>
          <w:sz w:val="20"/>
          <w:szCs w:val="20"/>
        </w:rPr>
        <w:t>7</w:t>
      </w: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Plán na rok 2014   ..................................................................................................................................</w:t>
      </w:r>
      <w:r w:rsidR="009F126D">
        <w:rPr>
          <w:rFonts w:ascii="Times New Roman" w:hAnsi="Times New Roman" w:cs="Times New Roman"/>
          <w:b/>
          <w:sz w:val="20"/>
          <w:szCs w:val="20"/>
        </w:rPr>
        <w:t xml:space="preserve"> </w:t>
      </w:r>
      <w:r w:rsidR="003C00A3">
        <w:rPr>
          <w:rFonts w:ascii="Times New Roman" w:hAnsi="Times New Roman" w:cs="Times New Roman"/>
          <w:b/>
          <w:sz w:val="20"/>
          <w:szCs w:val="20"/>
        </w:rPr>
        <w:t>9</w:t>
      </w: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PRÍLOHY:</w:t>
      </w: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Príloha č. 1: Hospodárske výsledky</w:t>
      </w:r>
      <w:r w:rsidR="00161EF0">
        <w:rPr>
          <w:rFonts w:ascii="Times New Roman" w:hAnsi="Times New Roman" w:cs="Times New Roman"/>
          <w:b/>
          <w:sz w:val="20"/>
          <w:szCs w:val="20"/>
        </w:rPr>
        <w:t xml:space="preserve"> .................................................................................................... </w:t>
      </w:r>
      <w:r w:rsidR="003C00A3">
        <w:rPr>
          <w:rFonts w:ascii="Times New Roman" w:hAnsi="Times New Roman" w:cs="Times New Roman"/>
          <w:b/>
          <w:sz w:val="20"/>
          <w:szCs w:val="20"/>
        </w:rPr>
        <w:t>10</w:t>
      </w: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OSOBITNÁ PRÍLOHA</w:t>
      </w:r>
    </w:p>
    <w:p w:rsidR="00E60DC9" w:rsidRDefault="00E60DC9" w:rsidP="00E60DC9">
      <w:pPr>
        <w:rPr>
          <w:rFonts w:ascii="Times New Roman" w:hAnsi="Times New Roman" w:cs="Times New Roman"/>
          <w:b/>
          <w:sz w:val="20"/>
          <w:szCs w:val="20"/>
        </w:rPr>
      </w:pPr>
      <w:r>
        <w:rPr>
          <w:rFonts w:ascii="Times New Roman" w:hAnsi="Times New Roman" w:cs="Times New Roman"/>
          <w:b/>
          <w:sz w:val="20"/>
          <w:szCs w:val="20"/>
        </w:rPr>
        <w:t>Správa audítora</w:t>
      </w:r>
    </w:p>
    <w:p w:rsidR="000713B3" w:rsidRDefault="000713B3" w:rsidP="00E60DC9">
      <w:pPr>
        <w:rPr>
          <w:rFonts w:ascii="Times New Roman" w:hAnsi="Times New Roman" w:cs="Times New Roman"/>
          <w:b/>
          <w:sz w:val="20"/>
          <w:szCs w:val="20"/>
        </w:rPr>
      </w:pPr>
      <w:r w:rsidRPr="00251D27">
        <w:rPr>
          <w:rFonts w:ascii="Times New Roman" w:hAnsi="Times New Roman" w:cs="Times New Roman"/>
          <w:b/>
          <w:sz w:val="20"/>
          <w:szCs w:val="20"/>
        </w:rPr>
        <w:t>Finančné výkazy za rok 2013</w:t>
      </w: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E60DC9" w:rsidRDefault="00E60DC9" w:rsidP="00E60DC9">
      <w:pPr>
        <w:rPr>
          <w:rFonts w:ascii="Times New Roman" w:hAnsi="Times New Roman" w:cs="Times New Roman"/>
          <w:b/>
          <w:sz w:val="20"/>
          <w:szCs w:val="20"/>
        </w:rPr>
      </w:pPr>
    </w:p>
    <w:p w:rsidR="002F7F77" w:rsidRDefault="002F7F77" w:rsidP="00E60DC9">
      <w:pPr>
        <w:jc w:val="center"/>
        <w:rPr>
          <w:rFonts w:ascii="Times New Roman" w:hAnsi="Times New Roman" w:cs="Times New Roman"/>
          <w:b/>
          <w:sz w:val="24"/>
          <w:szCs w:val="24"/>
        </w:rPr>
      </w:pPr>
    </w:p>
    <w:p w:rsidR="00E60DC9" w:rsidRPr="009F126D" w:rsidRDefault="00E60DC9" w:rsidP="00E60DC9">
      <w:pPr>
        <w:jc w:val="center"/>
        <w:rPr>
          <w:rFonts w:ascii="Times New Roman" w:hAnsi="Times New Roman" w:cs="Times New Roman"/>
          <w:b/>
          <w:sz w:val="24"/>
          <w:szCs w:val="24"/>
        </w:rPr>
      </w:pPr>
      <w:r w:rsidRPr="009F126D">
        <w:rPr>
          <w:rFonts w:ascii="Times New Roman" w:hAnsi="Times New Roman" w:cs="Times New Roman"/>
          <w:b/>
          <w:sz w:val="24"/>
          <w:szCs w:val="24"/>
        </w:rPr>
        <w:t>Základné údaje o</w:t>
      </w:r>
      <w:r w:rsidR="004B6A60" w:rsidRPr="009F126D">
        <w:rPr>
          <w:rFonts w:ascii="Times New Roman" w:hAnsi="Times New Roman" w:cs="Times New Roman"/>
          <w:b/>
          <w:sz w:val="24"/>
          <w:szCs w:val="24"/>
        </w:rPr>
        <w:t> </w:t>
      </w:r>
      <w:r w:rsidRPr="009F126D">
        <w:rPr>
          <w:rFonts w:ascii="Times New Roman" w:hAnsi="Times New Roman" w:cs="Times New Roman"/>
          <w:b/>
          <w:sz w:val="24"/>
          <w:szCs w:val="24"/>
        </w:rPr>
        <w:t>spoločnosti</w:t>
      </w:r>
    </w:p>
    <w:p w:rsidR="004B6A60" w:rsidRDefault="004B6A60" w:rsidP="004B6A60">
      <w:pPr>
        <w:jc w:val="both"/>
        <w:rPr>
          <w:rFonts w:ascii="Times New Roman" w:hAnsi="Times New Roman" w:cs="Times New Roman"/>
          <w:sz w:val="20"/>
          <w:szCs w:val="20"/>
        </w:rPr>
      </w:pPr>
    </w:p>
    <w:p w:rsidR="005B1124" w:rsidRDefault="004B6A60" w:rsidP="004B6A60">
      <w:pPr>
        <w:jc w:val="both"/>
        <w:rPr>
          <w:rFonts w:ascii="Times New Roman" w:hAnsi="Times New Roman" w:cs="Times New Roman"/>
          <w:sz w:val="20"/>
          <w:szCs w:val="20"/>
        </w:rPr>
      </w:pPr>
      <w:r>
        <w:rPr>
          <w:rFonts w:ascii="Times New Roman" w:hAnsi="Times New Roman" w:cs="Times New Roman"/>
          <w:sz w:val="20"/>
          <w:szCs w:val="20"/>
        </w:rPr>
        <w:tab/>
        <w:t>Spoločnosť SP.Plast, s.r.o., vznikla 1</w:t>
      </w:r>
      <w:r w:rsidR="00634F96">
        <w:rPr>
          <w:rFonts w:ascii="Times New Roman" w:hAnsi="Times New Roman" w:cs="Times New Roman"/>
          <w:sz w:val="20"/>
          <w:szCs w:val="20"/>
        </w:rPr>
        <w:t>8.</w:t>
      </w:r>
      <w:r>
        <w:rPr>
          <w:rFonts w:ascii="Times New Roman" w:hAnsi="Times New Roman" w:cs="Times New Roman"/>
          <w:sz w:val="20"/>
          <w:szCs w:val="20"/>
        </w:rPr>
        <w:t>5.</w:t>
      </w:r>
      <w:r w:rsidR="00634F96">
        <w:rPr>
          <w:rFonts w:ascii="Times New Roman" w:hAnsi="Times New Roman" w:cs="Times New Roman"/>
          <w:sz w:val="20"/>
          <w:szCs w:val="20"/>
        </w:rPr>
        <w:t>2006 a do obchodného registra bola zapísaná 15.6.2006 v Obchodnom registri Okresného súdu Bratislava I v Bratislave, oddiel Sro, vložka číslo 41088/B. Z dôvodu zmen sídla spoločnosti je od 4.1.2007 Spoločnosť registrovaná v Obchodnom registri</w:t>
      </w:r>
      <w:r>
        <w:rPr>
          <w:rFonts w:ascii="Times New Roman" w:hAnsi="Times New Roman" w:cs="Times New Roman"/>
          <w:sz w:val="20"/>
          <w:szCs w:val="20"/>
        </w:rPr>
        <w:t xml:space="preserve"> </w:t>
      </w:r>
      <w:r w:rsidR="00634F96">
        <w:rPr>
          <w:rFonts w:ascii="Times New Roman" w:hAnsi="Times New Roman" w:cs="Times New Roman"/>
          <w:sz w:val="20"/>
          <w:szCs w:val="20"/>
        </w:rPr>
        <w:t xml:space="preserve">Okresného súdu Trenčín. </w:t>
      </w:r>
      <w:r>
        <w:rPr>
          <w:rFonts w:ascii="Times New Roman" w:hAnsi="Times New Roman" w:cs="Times New Roman"/>
          <w:sz w:val="20"/>
          <w:szCs w:val="20"/>
        </w:rPr>
        <w:t>Jej výrobná činnosť bola uvedená do prevádzky 2.5.2007.</w:t>
      </w:r>
      <w:r w:rsidR="00192501">
        <w:rPr>
          <w:rFonts w:ascii="Times New Roman" w:hAnsi="Times New Roman" w:cs="Times New Roman"/>
          <w:sz w:val="20"/>
          <w:szCs w:val="20"/>
        </w:rPr>
        <w:t xml:space="preserve"> </w:t>
      </w:r>
      <w:r w:rsidR="00192501" w:rsidRPr="00251D27">
        <w:rPr>
          <w:rFonts w:ascii="Times New Roman" w:hAnsi="Times New Roman" w:cs="Times New Roman"/>
          <w:sz w:val="20"/>
          <w:szCs w:val="20"/>
        </w:rPr>
        <w:t>Spoločnosť nemá organizačnú zložku v zahraničí.</w:t>
      </w:r>
      <w:r w:rsidR="00192501">
        <w:rPr>
          <w:rFonts w:ascii="Times New Roman" w:hAnsi="Times New Roman" w:cs="Times New Roman"/>
          <w:sz w:val="20"/>
          <w:szCs w:val="20"/>
        </w:rPr>
        <w:t xml:space="preserve"> </w:t>
      </w:r>
      <w:r>
        <w:rPr>
          <w:rFonts w:ascii="Times New Roman" w:hAnsi="Times New Roman" w:cs="Times New Roman"/>
          <w:sz w:val="20"/>
          <w:szCs w:val="20"/>
        </w:rPr>
        <w:t xml:space="preserve"> Jediným spoločníkom spoločnosti je Recherche et Developpement des Plastiques Holding, s.a.s. so sídlom Corveissiat, Francúzsko. Štatutárnym orgánom spoločnosti od začiatku vzniku spoločnosti do 10.2.2014 bol konateľ p. Roland Didienne. Od 11.2.2014 je konateľom spoločnosti p. Franck Lapierre, štátny občan Francúzska s trvalým pobytom vo Francúzsku.</w:t>
      </w:r>
      <w:r w:rsidR="005B1124">
        <w:rPr>
          <w:rFonts w:ascii="Times New Roman" w:hAnsi="Times New Roman" w:cs="Times New Roman"/>
          <w:sz w:val="20"/>
          <w:szCs w:val="20"/>
        </w:rPr>
        <w:t xml:space="preserve"> Uvedená zmena nastala rozhodnutím jediného spoločníka spoločnosti Recherche et developpement des Plastiques Holding, s.a.s., so sídlom 01250 Corveissiat, Francúzsko o odvolaní p. Rolanda Didienna z funkcie konateľa spoločnosti SP.Plast, s.r.o. a vymenovaní p. Francka Lapierra do funkcie konateľa spoločnosti SP.Plast, s.r.o. dňa 11.2.2014.</w:t>
      </w:r>
    </w:p>
    <w:p w:rsidR="009F126D" w:rsidRDefault="009F126D" w:rsidP="004B6A60">
      <w:pPr>
        <w:jc w:val="both"/>
        <w:rPr>
          <w:rFonts w:ascii="Times New Roman" w:hAnsi="Times New Roman" w:cs="Times New Roman"/>
          <w:sz w:val="20"/>
          <w:szCs w:val="20"/>
        </w:rPr>
      </w:pPr>
    </w:p>
    <w:p w:rsidR="004B6A60" w:rsidRDefault="004B6A60" w:rsidP="004B6A60">
      <w:pPr>
        <w:jc w:val="both"/>
        <w:rPr>
          <w:rFonts w:ascii="Times New Roman" w:hAnsi="Times New Roman" w:cs="Times New Roman"/>
          <w:b/>
          <w:sz w:val="20"/>
          <w:szCs w:val="20"/>
        </w:rPr>
      </w:pPr>
      <w:r>
        <w:rPr>
          <w:rFonts w:ascii="Times New Roman" w:hAnsi="Times New Roman" w:cs="Times New Roman"/>
          <w:b/>
          <w:sz w:val="20"/>
          <w:szCs w:val="20"/>
        </w:rPr>
        <w:t>Stav k 31.12.2013</w:t>
      </w:r>
    </w:p>
    <w:p w:rsidR="004B6A60"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Obchodné meno:</w:t>
      </w:r>
      <w:r>
        <w:rPr>
          <w:rFonts w:ascii="Times New Roman" w:hAnsi="Times New Roman" w:cs="Times New Roman"/>
          <w:b/>
          <w:sz w:val="20"/>
          <w:szCs w:val="20"/>
        </w:rPr>
        <w:tab/>
      </w:r>
      <w:r>
        <w:rPr>
          <w:rFonts w:ascii="Times New Roman" w:hAnsi="Times New Roman" w:cs="Times New Roman"/>
          <w:sz w:val="20"/>
          <w:szCs w:val="20"/>
        </w:rPr>
        <w:t>SP.Plast, s.r.o.</w:t>
      </w:r>
    </w:p>
    <w:p w:rsidR="004B6A60" w:rsidRPr="004B6A60"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Sídlo:</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Nitrianska cesta 503/60, 958 01  Partizánske</w:t>
      </w:r>
    </w:p>
    <w:p w:rsidR="004B6A60" w:rsidRPr="004B6A60"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IČO:</w:t>
      </w:r>
      <w:r>
        <w:rPr>
          <w:rFonts w:ascii="Times New Roman" w:hAnsi="Times New Roman" w:cs="Times New Roman"/>
          <w:b/>
          <w:sz w:val="20"/>
          <w:szCs w:val="20"/>
        </w:rPr>
        <w:tab/>
      </w:r>
      <w:r>
        <w:rPr>
          <w:rFonts w:ascii="Times New Roman" w:hAnsi="Times New Roman" w:cs="Times New Roman"/>
          <w:sz w:val="20"/>
          <w:szCs w:val="20"/>
        </w:rPr>
        <w:tab/>
      </w:r>
      <w:r>
        <w:rPr>
          <w:rFonts w:ascii="Times New Roman" w:hAnsi="Times New Roman" w:cs="Times New Roman"/>
          <w:sz w:val="20"/>
          <w:szCs w:val="20"/>
        </w:rPr>
        <w:tab/>
        <w:t>36 610 127</w:t>
      </w:r>
    </w:p>
    <w:p w:rsidR="004B6A60" w:rsidRPr="004B6A60"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IČ DPH:</w:t>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sz w:val="20"/>
          <w:szCs w:val="20"/>
        </w:rPr>
        <w:t>SK2022201269</w:t>
      </w:r>
    </w:p>
    <w:p w:rsidR="004B6A60" w:rsidRPr="004B6A60"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Dátum vzniku:</w:t>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sz w:val="20"/>
          <w:szCs w:val="20"/>
        </w:rPr>
        <w:t>15. jún 2006</w:t>
      </w:r>
    </w:p>
    <w:p w:rsidR="004B6A60" w:rsidRPr="004B6A60"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Právna forma:</w:t>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sz w:val="20"/>
          <w:szCs w:val="20"/>
        </w:rPr>
        <w:t>spoločnosť s ručením obmedzeným</w:t>
      </w:r>
    </w:p>
    <w:p w:rsidR="006954F2" w:rsidRDefault="004B6A60" w:rsidP="004B6A60">
      <w:pPr>
        <w:spacing w:line="240" w:lineRule="auto"/>
        <w:jc w:val="both"/>
        <w:rPr>
          <w:rFonts w:ascii="Times New Roman" w:hAnsi="Times New Roman" w:cs="Times New Roman"/>
          <w:sz w:val="20"/>
          <w:szCs w:val="20"/>
        </w:rPr>
      </w:pPr>
      <w:r>
        <w:rPr>
          <w:rFonts w:ascii="Times New Roman" w:hAnsi="Times New Roman" w:cs="Times New Roman"/>
          <w:b/>
          <w:sz w:val="20"/>
          <w:szCs w:val="20"/>
        </w:rPr>
        <w:t>Predmet podnikania:</w:t>
      </w:r>
      <w:r w:rsidR="006954F2">
        <w:rPr>
          <w:rFonts w:ascii="Times New Roman" w:hAnsi="Times New Roman" w:cs="Times New Roman"/>
          <w:b/>
          <w:sz w:val="20"/>
          <w:szCs w:val="20"/>
        </w:rPr>
        <w:tab/>
      </w:r>
      <w:r w:rsidR="006954F2">
        <w:rPr>
          <w:rFonts w:ascii="Times New Roman" w:hAnsi="Times New Roman" w:cs="Times New Roman"/>
          <w:sz w:val="20"/>
          <w:szCs w:val="20"/>
        </w:rPr>
        <w:t xml:space="preserve">v zmysle výpisu z obchodného registra  je  hlavným  predmetom činnosti  spoločnosti </w:t>
      </w:r>
    </w:p>
    <w:p w:rsidR="004B6A60" w:rsidRDefault="006954F2" w:rsidP="004B6A60">
      <w:pPr>
        <w:spacing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k 31.12.2013:</w:t>
      </w:r>
    </w:p>
    <w:p w:rsidR="006954F2" w:rsidRDefault="006954F2" w:rsidP="006954F2">
      <w:pPr>
        <w:pStyle w:val="Odsekzoznamu"/>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Výroba gumových a plastových výrobkov</w:t>
      </w:r>
    </w:p>
    <w:p w:rsidR="006954F2" w:rsidRDefault="006954F2" w:rsidP="006954F2">
      <w:pPr>
        <w:pStyle w:val="Odsekzoznamu"/>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Kúpa tovaru za účelom jeho predaja konečnému spotrebiteľovi (maloobchod)</w:t>
      </w:r>
    </w:p>
    <w:p w:rsidR="006954F2" w:rsidRDefault="006954F2" w:rsidP="006954F2">
      <w:pPr>
        <w:pStyle w:val="Odsekzoznamu"/>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Kúpa tovaru za účelom jeho predaja iným prevádzkovateľom živnosti (veľkoobchod)</w:t>
      </w:r>
    </w:p>
    <w:p w:rsidR="006954F2" w:rsidRDefault="006954F2" w:rsidP="006954F2">
      <w:pPr>
        <w:pStyle w:val="Odsekzoznamu"/>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Manipulácia s tovarom</w:t>
      </w:r>
    </w:p>
    <w:p w:rsidR="006954F2" w:rsidRDefault="006954F2" w:rsidP="006954F2">
      <w:pPr>
        <w:pStyle w:val="Odsekzoznamu"/>
        <w:numPr>
          <w:ilvl w:val="0"/>
          <w:numId w:val="1"/>
        </w:numPr>
        <w:spacing w:line="240" w:lineRule="auto"/>
        <w:jc w:val="both"/>
        <w:rPr>
          <w:rFonts w:ascii="Times New Roman" w:hAnsi="Times New Roman" w:cs="Times New Roman"/>
          <w:sz w:val="20"/>
          <w:szCs w:val="20"/>
        </w:rPr>
      </w:pPr>
      <w:r>
        <w:rPr>
          <w:rFonts w:ascii="Times New Roman" w:hAnsi="Times New Roman" w:cs="Times New Roman"/>
          <w:sz w:val="20"/>
          <w:szCs w:val="20"/>
        </w:rPr>
        <w:t>Skladovanie okrem prevádzkovania verejných skladov</w:t>
      </w:r>
    </w:p>
    <w:p w:rsidR="006954F2" w:rsidRDefault="006954F2" w:rsidP="006954F2">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Štatutárny orgán:</w:t>
      </w:r>
      <w:r>
        <w:rPr>
          <w:rFonts w:ascii="Times New Roman" w:hAnsi="Times New Roman" w:cs="Times New Roman"/>
          <w:b/>
          <w:sz w:val="20"/>
          <w:szCs w:val="20"/>
        </w:rPr>
        <w:tab/>
      </w:r>
      <w:r>
        <w:rPr>
          <w:rFonts w:ascii="Times New Roman" w:hAnsi="Times New Roman" w:cs="Times New Roman"/>
          <w:sz w:val="20"/>
          <w:szCs w:val="20"/>
        </w:rPr>
        <w:t xml:space="preserve">konateľ – Roland Didienne, nar. 9.4.1952, bytom Rue du Praillon – Alex 41, </w:t>
      </w:r>
    </w:p>
    <w:p w:rsidR="006954F2" w:rsidRDefault="006954F2" w:rsidP="006954F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01100 Oyonnax, Francúzsko (do 10.2.2014)</w:t>
      </w:r>
    </w:p>
    <w:p w:rsidR="006954F2" w:rsidRDefault="006954F2" w:rsidP="006954F2">
      <w:pPr>
        <w:spacing w:after="0" w:line="240" w:lineRule="auto"/>
        <w:jc w:val="both"/>
        <w:rPr>
          <w:rFonts w:ascii="Times New Roman" w:hAnsi="Times New Roman" w:cs="Times New Roman"/>
          <w:sz w:val="20"/>
          <w:szCs w:val="20"/>
        </w:rPr>
      </w:pPr>
    </w:p>
    <w:p w:rsidR="006954F2" w:rsidRDefault="006954F2" w:rsidP="006954F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konateľ – Franck Lapierre, nar. 13.2.1968, bytom Le By, Chemin des Combes,</w:t>
      </w:r>
    </w:p>
    <w:p w:rsidR="006954F2" w:rsidRDefault="006954F2" w:rsidP="006954F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38970 Saint Georges d´Espéranche, Francúzsko (od 11.2.2014)</w:t>
      </w:r>
    </w:p>
    <w:p w:rsidR="006954F2" w:rsidRDefault="006954F2" w:rsidP="006954F2">
      <w:pPr>
        <w:spacing w:after="0" w:line="240" w:lineRule="auto"/>
        <w:jc w:val="both"/>
        <w:rPr>
          <w:rFonts w:ascii="Times New Roman" w:hAnsi="Times New Roman" w:cs="Times New Roman"/>
          <w:sz w:val="20"/>
          <w:szCs w:val="20"/>
        </w:rPr>
      </w:pPr>
    </w:p>
    <w:p w:rsidR="005B1124" w:rsidRDefault="005B1124" w:rsidP="00634F96">
      <w:pPr>
        <w:jc w:val="both"/>
        <w:rPr>
          <w:rFonts w:ascii="Times New Roman" w:hAnsi="Times New Roman" w:cs="Times New Roman"/>
          <w:sz w:val="20"/>
          <w:szCs w:val="20"/>
        </w:rPr>
      </w:pPr>
      <w:r>
        <w:rPr>
          <w:rFonts w:ascii="Times New Roman" w:hAnsi="Times New Roman" w:cs="Times New Roman"/>
          <w:b/>
          <w:sz w:val="20"/>
          <w:szCs w:val="20"/>
        </w:rPr>
        <w:t>Výška základného imania:</w:t>
      </w:r>
      <w:r>
        <w:rPr>
          <w:rFonts w:ascii="Times New Roman" w:hAnsi="Times New Roman" w:cs="Times New Roman"/>
          <w:b/>
          <w:sz w:val="20"/>
          <w:szCs w:val="20"/>
        </w:rPr>
        <w:tab/>
      </w:r>
      <w:r>
        <w:rPr>
          <w:rFonts w:ascii="Times New Roman" w:hAnsi="Times New Roman" w:cs="Times New Roman"/>
          <w:sz w:val="20"/>
          <w:szCs w:val="20"/>
        </w:rPr>
        <w:t>6.639</w:t>
      </w:r>
      <w:r w:rsidR="000713B3">
        <w:rPr>
          <w:rFonts w:ascii="Times New Roman" w:hAnsi="Times New Roman" w:cs="Times New Roman"/>
          <w:sz w:val="20"/>
          <w:szCs w:val="20"/>
        </w:rPr>
        <w:t xml:space="preserve"> </w:t>
      </w:r>
      <w:r>
        <w:rPr>
          <w:rFonts w:ascii="Times New Roman" w:hAnsi="Times New Roman" w:cs="Times New Roman"/>
          <w:sz w:val="20"/>
          <w:szCs w:val="20"/>
        </w:rPr>
        <w:t>EUR</w:t>
      </w:r>
    </w:p>
    <w:p w:rsidR="00634F96" w:rsidRDefault="00634F96" w:rsidP="00634F96">
      <w:pPr>
        <w:jc w:val="both"/>
        <w:rPr>
          <w:rFonts w:ascii="Times New Roman" w:hAnsi="Times New Roman" w:cs="Times New Roman"/>
          <w:sz w:val="20"/>
          <w:szCs w:val="20"/>
        </w:rPr>
      </w:pPr>
      <w:r>
        <w:rPr>
          <w:rFonts w:ascii="Times New Roman" w:hAnsi="Times New Roman" w:cs="Times New Roman"/>
          <w:b/>
          <w:sz w:val="20"/>
          <w:szCs w:val="20"/>
        </w:rPr>
        <w:t>Rozsah splatenia:</w:t>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sz w:val="20"/>
          <w:szCs w:val="20"/>
        </w:rPr>
        <w:t>6.639</w:t>
      </w:r>
      <w:r w:rsidR="000713B3">
        <w:rPr>
          <w:rFonts w:ascii="Times New Roman" w:hAnsi="Times New Roman" w:cs="Times New Roman"/>
          <w:sz w:val="20"/>
          <w:szCs w:val="20"/>
        </w:rPr>
        <w:t xml:space="preserve"> </w:t>
      </w:r>
      <w:r>
        <w:rPr>
          <w:rFonts w:ascii="Times New Roman" w:hAnsi="Times New Roman" w:cs="Times New Roman"/>
          <w:sz w:val="20"/>
          <w:szCs w:val="20"/>
        </w:rPr>
        <w:t>EUR</w:t>
      </w:r>
    </w:p>
    <w:p w:rsidR="00634F96" w:rsidRDefault="00634F96" w:rsidP="00634F96">
      <w:pPr>
        <w:jc w:val="both"/>
        <w:rPr>
          <w:rFonts w:ascii="Times New Roman" w:hAnsi="Times New Roman" w:cs="Times New Roman"/>
          <w:sz w:val="20"/>
          <w:szCs w:val="20"/>
        </w:rPr>
      </w:pPr>
    </w:p>
    <w:p w:rsidR="009F126D" w:rsidRDefault="009F126D" w:rsidP="00634F96">
      <w:pPr>
        <w:jc w:val="both"/>
        <w:rPr>
          <w:rFonts w:ascii="Times New Roman" w:hAnsi="Times New Roman" w:cs="Times New Roman"/>
          <w:sz w:val="20"/>
          <w:szCs w:val="20"/>
        </w:rPr>
      </w:pPr>
    </w:p>
    <w:p w:rsidR="002C6082" w:rsidRDefault="002C6082" w:rsidP="00634F96">
      <w:pPr>
        <w:jc w:val="both"/>
        <w:rPr>
          <w:rFonts w:ascii="Times New Roman" w:hAnsi="Times New Roman" w:cs="Times New Roman"/>
          <w:b/>
          <w:sz w:val="20"/>
          <w:szCs w:val="20"/>
        </w:rPr>
      </w:pPr>
      <w:r>
        <w:rPr>
          <w:rFonts w:ascii="Times New Roman" w:hAnsi="Times New Roman" w:cs="Times New Roman"/>
          <w:b/>
          <w:sz w:val="20"/>
          <w:szCs w:val="20"/>
        </w:rPr>
        <w:lastRenderedPageBreak/>
        <w:t>Sortimentná skladba výrobkov a polotovarov</w:t>
      </w:r>
    </w:p>
    <w:p w:rsidR="008C7E6A" w:rsidRDefault="002C6082" w:rsidP="00634F96">
      <w:pPr>
        <w:jc w:val="both"/>
        <w:rPr>
          <w:rFonts w:ascii="Times New Roman" w:hAnsi="Times New Roman" w:cs="Times New Roman"/>
          <w:sz w:val="20"/>
          <w:szCs w:val="20"/>
        </w:rPr>
      </w:pPr>
      <w:r>
        <w:rPr>
          <w:rFonts w:ascii="Times New Roman" w:hAnsi="Times New Roman" w:cs="Times New Roman"/>
          <w:sz w:val="20"/>
          <w:szCs w:val="20"/>
        </w:rPr>
        <w:t>Spoločnosť vyrába a opracováva výrobky a polotovary vyrábané z plastového granulátu s alebo bez pridania farbív. Za plastový granulát, ako vstupný materiál, je používaný polykarbonát, polyamid, polyetylén,</w:t>
      </w:r>
      <w:r w:rsidR="009F6970">
        <w:rPr>
          <w:rFonts w:ascii="Times New Roman" w:hAnsi="Times New Roman" w:cs="Times New Roman"/>
          <w:sz w:val="20"/>
          <w:szCs w:val="20"/>
        </w:rPr>
        <w:t xml:space="preserve"> polypropylén, </w:t>
      </w:r>
      <w:r w:rsidR="009F6970">
        <w:rPr>
          <w:rStyle w:val="st"/>
          <w:rFonts w:ascii="Times New Roman" w:hAnsi="Times New Roman" w:cs="Times New Roman"/>
          <w:sz w:val="20"/>
          <w:szCs w:val="20"/>
        </w:rPr>
        <w:t>a</w:t>
      </w:r>
      <w:r w:rsidR="009F6970" w:rsidRPr="009F6970">
        <w:rPr>
          <w:rStyle w:val="st"/>
          <w:rFonts w:ascii="Times New Roman" w:hAnsi="Times New Roman" w:cs="Times New Roman"/>
          <w:sz w:val="20"/>
          <w:szCs w:val="20"/>
        </w:rPr>
        <w:t>krylonitrilbutadiénstyrén</w:t>
      </w:r>
      <w:r w:rsidR="009F6970">
        <w:rPr>
          <w:rStyle w:val="st"/>
          <w:rFonts w:ascii="Times New Roman" w:hAnsi="Times New Roman" w:cs="Times New Roman"/>
          <w:sz w:val="20"/>
          <w:szCs w:val="20"/>
        </w:rPr>
        <w:t>,</w:t>
      </w:r>
      <w:r w:rsidR="008C7E6A">
        <w:rPr>
          <w:rStyle w:val="st"/>
          <w:rFonts w:ascii="Times New Roman" w:hAnsi="Times New Roman" w:cs="Times New Roman"/>
          <w:sz w:val="20"/>
          <w:szCs w:val="20"/>
        </w:rPr>
        <w:t xml:space="preserve"> polyoxymetylén a polyuretán</w:t>
      </w:r>
      <w:r w:rsidR="009F6970">
        <w:rPr>
          <w:rFonts w:ascii="Times New Roman" w:hAnsi="Times New Roman" w:cs="Times New Roman"/>
          <w:sz w:val="20"/>
          <w:szCs w:val="20"/>
        </w:rPr>
        <w:t xml:space="preserve">. </w:t>
      </w:r>
    </w:p>
    <w:p w:rsidR="002C6082" w:rsidRPr="008C7E6A" w:rsidRDefault="009F6970" w:rsidP="00634F96">
      <w:pPr>
        <w:jc w:val="both"/>
        <w:rPr>
          <w:rFonts w:ascii="Times New Roman" w:hAnsi="Times New Roman" w:cs="Times New Roman"/>
          <w:b/>
          <w:sz w:val="20"/>
          <w:szCs w:val="20"/>
        </w:rPr>
      </w:pPr>
      <w:r w:rsidRPr="008C7E6A">
        <w:rPr>
          <w:rFonts w:ascii="Times New Roman" w:hAnsi="Times New Roman" w:cs="Times New Roman"/>
          <w:b/>
          <w:sz w:val="20"/>
          <w:szCs w:val="20"/>
        </w:rPr>
        <w:t>Produkcia je delená na:</w:t>
      </w:r>
    </w:p>
    <w:p w:rsidR="009F6970" w:rsidRDefault="009F6970" w:rsidP="00830F62">
      <w:pPr>
        <w:pStyle w:val="Odsekzoznamu"/>
        <w:numPr>
          <w:ilvl w:val="0"/>
          <w:numId w:val="2"/>
        </w:numPr>
        <w:spacing w:after="0"/>
        <w:jc w:val="both"/>
        <w:rPr>
          <w:rFonts w:ascii="Times New Roman" w:hAnsi="Times New Roman" w:cs="Times New Roman"/>
          <w:sz w:val="20"/>
          <w:szCs w:val="20"/>
        </w:rPr>
      </w:pPr>
      <w:r>
        <w:rPr>
          <w:rFonts w:ascii="Times New Roman" w:hAnsi="Times New Roman" w:cs="Times New Roman"/>
          <w:sz w:val="20"/>
          <w:szCs w:val="20"/>
        </w:rPr>
        <w:t>Kancelárske alebo školské potreby z plastov (štatistický kód výrobku – 2229250000)</w:t>
      </w:r>
    </w:p>
    <w:p w:rsidR="00A4524B" w:rsidRDefault="00A4524B" w:rsidP="00830F62">
      <w:pPr>
        <w:spacing w:after="0"/>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1764674" cy="1332963"/>
            <wp:effectExtent l="19050" t="0" r="6976"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1765168" cy="1333336"/>
                    </a:xfrm>
                    <a:prstGeom prst="rect">
                      <a:avLst/>
                    </a:prstGeom>
                    <a:noFill/>
                    <a:ln w="9525">
                      <a:noFill/>
                      <a:miter lim="800000"/>
                      <a:headEnd/>
                      <a:tailEnd/>
                    </a:ln>
                  </pic:spPr>
                </pic:pic>
              </a:graphicData>
            </a:graphic>
          </wp:inline>
        </w:drawing>
      </w:r>
    </w:p>
    <w:p w:rsidR="009F6970" w:rsidRDefault="009F6970" w:rsidP="00830F62">
      <w:pPr>
        <w:pStyle w:val="Odsekzoznamu"/>
        <w:numPr>
          <w:ilvl w:val="0"/>
          <w:numId w:val="2"/>
        </w:numPr>
        <w:spacing w:after="0"/>
        <w:jc w:val="both"/>
        <w:rPr>
          <w:rFonts w:ascii="Times New Roman" w:hAnsi="Times New Roman" w:cs="Times New Roman"/>
          <w:sz w:val="20"/>
          <w:szCs w:val="20"/>
        </w:rPr>
      </w:pPr>
      <w:r>
        <w:rPr>
          <w:rFonts w:ascii="Times New Roman" w:hAnsi="Times New Roman" w:cs="Times New Roman"/>
          <w:sz w:val="20"/>
          <w:szCs w:val="20"/>
        </w:rPr>
        <w:t>Ostatné výrobky z plastov alebo iných materiálov (štatistický kód výrobku – 2229299000)</w:t>
      </w:r>
    </w:p>
    <w:p w:rsidR="00A4524B" w:rsidRDefault="00A4524B" w:rsidP="00830F62">
      <w:pPr>
        <w:spacing w:after="0"/>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1764764" cy="1326524"/>
            <wp:effectExtent l="19050" t="0" r="6886"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srcRect/>
                    <a:stretch>
                      <a:fillRect/>
                    </a:stretch>
                  </pic:blipFill>
                  <pic:spPr bwMode="auto">
                    <a:xfrm>
                      <a:off x="0" y="0"/>
                      <a:ext cx="1764634" cy="1326426"/>
                    </a:xfrm>
                    <a:prstGeom prst="rect">
                      <a:avLst/>
                    </a:prstGeom>
                    <a:noFill/>
                    <a:ln w="9525">
                      <a:noFill/>
                      <a:miter lim="800000"/>
                      <a:headEnd/>
                      <a:tailEnd/>
                    </a:ln>
                  </pic:spPr>
                </pic:pic>
              </a:graphicData>
            </a:graphic>
          </wp:inline>
        </w:drawing>
      </w:r>
      <w:r>
        <w:rPr>
          <w:rFonts w:ascii="Times New Roman" w:hAnsi="Times New Roman" w:cs="Times New Roman"/>
          <w:noProof/>
          <w:sz w:val="20"/>
          <w:szCs w:val="20"/>
        </w:rPr>
        <w:drawing>
          <wp:inline distT="0" distB="0" distL="0" distR="0">
            <wp:extent cx="1783991" cy="1332963"/>
            <wp:effectExtent l="19050" t="0" r="6709" b="0"/>
            <wp:docPr id="3"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cstate="print"/>
                    <a:srcRect/>
                    <a:stretch>
                      <a:fillRect/>
                    </a:stretch>
                  </pic:blipFill>
                  <pic:spPr bwMode="auto">
                    <a:xfrm>
                      <a:off x="0" y="0"/>
                      <a:ext cx="1783859" cy="1332864"/>
                    </a:xfrm>
                    <a:prstGeom prst="rect">
                      <a:avLst/>
                    </a:prstGeom>
                    <a:noFill/>
                    <a:ln w="9525">
                      <a:noFill/>
                      <a:miter lim="800000"/>
                      <a:headEnd/>
                      <a:tailEnd/>
                    </a:ln>
                  </pic:spPr>
                </pic:pic>
              </a:graphicData>
            </a:graphic>
          </wp:inline>
        </w:drawing>
      </w:r>
      <w:r w:rsidR="00830F62">
        <w:rPr>
          <w:rFonts w:ascii="Times New Roman" w:hAnsi="Times New Roman" w:cs="Times New Roman"/>
          <w:noProof/>
          <w:sz w:val="20"/>
          <w:szCs w:val="20"/>
        </w:rPr>
        <w:drawing>
          <wp:inline distT="0" distB="0" distL="0" distR="0">
            <wp:extent cx="1764764" cy="1332964"/>
            <wp:effectExtent l="19050" t="0" r="6886" b="0"/>
            <wp:docPr id="6"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cstate="print"/>
                    <a:srcRect/>
                    <a:stretch>
                      <a:fillRect/>
                    </a:stretch>
                  </pic:blipFill>
                  <pic:spPr bwMode="auto">
                    <a:xfrm>
                      <a:off x="0" y="0"/>
                      <a:ext cx="1764634" cy="1332866"/>
                    </a:xfrm>
                    <a:prstGeom prst="rect">
                      <a:avLst/>
                    </a:prstGeom>
                    <a:noFill/>
                    <a:ln w="9525">
                      <a:noFill/>
                      <a:miter lim="800000"/>
                      <a:headEnd/>
                      <a:tailEnd/>
                    </a:ln>
                  </pic:spPr>
                </pic:pic>
              </a:graphicData>
            </a:graphic>
          </wp:inline>
        </w:drawing>
      </w:r>
    </w:p>
    <w:p w:rsidR="00830F62" w:rsidRDefault="00830F62" w:rsidP="00A4524B">
      <w:pPr>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1764764" cy="1352282"/>
            <wp:effectExtent l="19050" t="0" r="6886" b="0"/>
            <wp:docPr id="5"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cstate="print"/>
                    <a:srcRect/>
                    <a:stretch>
                      <a:fillRect/>
                    </a:stretch>
                  </pic:blipFill>
                  <pic:spPr bwMode="auto">
                    <a:xfrm>
                      <a:off x="0" y="0"/>
                      <a:ext cx="1764632" cy="1352181"/>
                    </a:xfrm>
                    <a:prstGeom prst="rect">
                      <a:avLst/>
                    </a:prstGeom>
                    <a:noFill/>
                    <a:ln w="9525">
                      <a:noFill/>
                      <a:miter lim="800000"/>
                      <a:headEnd/>
                      <a:tailEnd/>
                    </a:ln>
                  </pic:spPr>
                </pic:pic>
              </a:graphicData>
            </a:graphic>
          </wp:inline>
        </w:drawing>
      </w:r>
      <w:r>
        <w:rPr>
          <w:rFonts w:ascii="Times New Roman" w:hAnsi="Times New Roman" w:cs="Times New Roman"/>
          <w:noProof/>
          <w:sz w:val="20"/>
          <w:szCs w:val="20"/>
        </w:rPr>
        <w:drawing>
          <wp:inline distT="0" distB="0" distL="0" distR="0">
            <wp:extent cx="1784081" cy="1352282"/>
            <wp:effectExtent l="19050" t="0" r="6619" b="0"/>
            <wp:docPr id="8"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cstate="print"/>
                    <a:srcRect/>
                    <a:stretch>
                      <a:fillRect/>
                    </a:stretch>
                  </pic:blipFill>
                  <pic:spPr bwMode="auto">
                    <a:xfrm>
                      <a:off x="0" y="0"/>
                      <a:ext cx="1783948" cy="1352181"/>
                    </a:xfrm>
                    <a:prstGeom prst="rect">
                      <a:avLst/>
                    </a:prstGeom>
                    <a:noFill/>
                    <a:ln w="9525">
                      <a:noFill/>
                      <a:miter lim="800000"/>
                      <a:headEnd/>
                      <a:tailEnd/>
                    </a:ln>
                  </pic:spPr>
                </pic:pic>
              </a:graphicData>
            </a:graphic>
          </wp:inline>
        </w:drawing>
      </w:r>
      <w:r w:rsidR="00161EF0">
        <w:rPr>
          <w:rFonts w:ascii="Times New Roman" w:hAnsi="Times New Roman" w:cs="Times New Roman"/>
          <w:noProof/>
          <w:sz w:val="20"/>
          <w:szCs w:val="20"/>
        </w:rPr>
        <w:drawing>
          <wp:inline distT="0" distB="0" distL="0" distR="0">
            <wp:extent cx="1764764" cy="1345354"/>
            <wp:effectExtent l="19050" t="0" r="6886" b="0"/>
            <wp:docPr id="12"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 cstate="print"/>
                    <a:srcRect/>
                    <a:stretch>
                      <a:fillRect/>
                    </a:stretch>
                  </pic:blipFill>
                  <pic:spPr bwMode="auto">
                    <a:xfrm>
                      <a:off x="0" y="0"/>
                      <a:ext cx="1765912" cy="1346229"/>
                    </a:xfrm>
                    <a:prstGeom prst="rect">
                      <a:avLst/>
                    </a:prstGeom>
                    <a:noFill/>
                    <a:ln w="9525">
                      <a:noFill/>
                      <a:miter lim="800000"/>
                      <a:headEnd/>
                      <a:tailEnd/>
                    </a:ln>
                  </pic:spPr>
                </pic:pic>
              </a:graphicData>
            </a:graphic>
          </wp:inline>
        </w:drawing>
      </w:r>
    </w:p>
    <w:p w:rsidR="00CF1774" w:rsidRDefault="009F6970" w:rsidP="00830F62">
      <w:pPr>
        <w:pStyle w:val="Odsekzoznamu"/>
        <w:numPr>
          <w:ilvl w:val="0"/>
          <w:numId w:val="2"/>
        </w:numPr>
        <w:spacing w:after="0"/>
        <w:jc w:val="both"/>
        <w:rPr>
          <w:rFonts w:ascii="Times New Roman" w:hAnsi="Times New Roman" w:cs="Times New Roman"/>
          <w:sz w:val="20"/>
          <w:szCs w:val="20"/>
        </w:rPr>
      </w:pPr>
      <w:r>
        <w:rPr>
          <w:rFonts w:ascii="Times New Roman" w:hAnsi="Times New Roman" w:cs="Times New Roman"/>
          <w:sz w:val="20"/>
          <w:szCs w:val="20"/>
        </w:rPr>
        <w:t>Stolné a kuchynské vybavenie (náčinie) z plastov (štatistický kód výrobku – 2229232000)</w:t>
      </w:r>
    </w:p>
    <w:p w:rsidR="00A4524B" w:rsidRDefault="00A4524B" w:rsidP="00161EF0">
      <w:pPr>
        <w:spacing w:after="0"/>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1790164" cy="1332237"/>
            <wp:effectExtent l="19050" t="0" r="536"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1795748" cy="1336393"/>
                    </a:xfrm>
                    <a:prstGeom prst="rect">
                      <a:avLst/>
                    </a:prstGeom>
                    <a:noFill/>
                    <a:ln w="9525">
                      <a:noFill/>
                      <a:miter lim="800000"/>
                      <a:headEnd/>
                      <a:tailEnd/>
                    </a:ln>
                  </pic:spPr>
                </pic:pic>
              </a:graphicData>
            </a:graphic>
          </wp:inline>
        </w:drawing>
      </w:r>
      <w:r>
        <w:rPr>
          <w:rFonts w:ascii="Times New Roman" w:hAnsi="Times New Roman" w:cs="Times New Roman"/>
          <w:noProof/>
          <w:sz w:val="20"/>
          <w:szCs w:val="20"/>
        </w:rPr>
        <w:drawing>
          <wp:inline distT="0" distB="0" distL="0" distR="0">
            <wp:extent cx="1784081" cy="1336498"/>
            <wp:effectExtent l="19050" t="0" r="6619" b="0"/>
            <wp:docPr id="1"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1790283" cy="1341144"/>
                    </a:xfrm>
                    <a:prstGeom prst="rect">
                      <a:avLst/>
                    </a:prstGeom>
                    <a:noFill/>
                    <a:ln w="9525">
                      <a:noFill/>
                      <a:miter lim="800000"/>
                      <a:headEnd/>
                      <a:tailEnd/>
                    </a:ln>
                  </pic:spPr>
                </pic:pic>
              </a:graphicData>
            </a:graphic>
          </wp:inline>
        </w:drawing>
      </w:r>
      <w:r w:rsidR="00830F62">
        <w:rPr>
          <w:rFonts w:ascii="Times New Roman" w:hAnsi="Times New Roman" w:cs="Times New Roman"/>
          <w:noProof/>
          <w:sz w:val="20"/>
          <w:szCs w:val="20"/>
        </w:rPr>
        <w:drawing>
          <wp:inline distT="0" distB="0" distL="0" distR="0">
            <wp:extent cx="1764764" cy="1352281"/>
            <wp:effectExtent l="19050" t="0" r="6886" b="0"/>
            <wp:docPr id="9"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srcRect/>
                    <a:stretch>
                      <a:fillRect/>
                    </a:stretch>
                  </pic:blipFill>
                  <pic:spPr bwMode="auto">
                    <a:xfrm>
                      <a:off x="0" y="0"/>
                      <a:ext cx="1765882" cy="1353138"/>
                    </a:xfrm>
                    <a:prstGeom prst="rect">
                      <a:avLst/>
                    </a:prstGeom>
                    <a:noFill/>
                    <a:ln w="9525">
                      <a:noFill/>
                      <a:miter lim="800000"/>
                      <a:headEnd/>
                      <a:tailEnd/>
                    </a:ln>
                  </pic:spPr>
                </pic:pic>
              </a:graphicData>
            </a:graphic>
          </wp:inline>
        </w:drawing>
      </w:r>
    </w:p>
    <w:p w:rsidR="00A4524B" w:rsidRDefault="00A4524B" w:rsidP="00A4524B">
      <w:pPr>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1784081" cy="1352282"/>
            <wp:effectExtent l="19050" t="0" r="6619" b="0"/>
            <wp:docPr id="2"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cstate="print"/>
                    <a:srcRect/>
                    <a:stretch>
                      <a:fillRect/>
                    </a:stretch>
                  </pic:blipFill>
                  <pic:spPr bwMode="auto">
                    <a:xfrm>
                      <a:off x="0" y="0"/>
                      <a:ext cx="1783949" cy="1352182"/>
                    </a:xfrm>
                    <a:prstGeom prst="rect">
                      <a:avLst/>
                    </a:prstGeom>
                    <a:noFill/>
                    <a:ln w="9525">
                      <a:noFill/>
                      <a:miter lim="800000"/>
                      <a:headEnd/>
                      <a:tailEnd/>
                    </a:ln>
                  </pic:spPr>
                </pic:pic>
              </a:graphicData>
            </a:graphic>
          </wp:inline>
        </w:drawing>
      </w:r>
      <w:r w:rsidR="00830F62">
        <w:rPr>
          <w:rFonts w:ascii="Times New Roman" w:hAnsi="Times New Roman" w:cs="Times New Roman"/>
          <w:noProof/>
          <w:sz w:val="20"/>
          <w:szCs w:val="20"/>
        </w:rPr>
        <w:drawing>
          <wp:inline distT="0" distB="0" distL="0" distR="0">
            <wp:extent cx="1790164" cy="1352282"/>
            <wp:effectExtent l="19050" t="0" r="536" b="0"/>
            <wp:docPr id="11"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cstate="print"/>
                    <a:srcRect/>
                    <a:stretch>
                      <a:fillRect/>
                    </a:stretch>
                  </pic:blipFill>
                  <pic:spPr bwMode="auto">
                    <a:xfrm>
                      <a:off x="0" y="0"/>
                      <a:ext cx="1790030" cy="1352181"/>
                    </a:xfrm>
                    <a:prstGeom prst="rect">
                      <a:avLst/>
                    </a:prstGeom>
                    <a:noFill/>
                    <a:ln w="9525">
                      <a:noFill/>
                      <a:miter lim="800000"/>
                      <a:headEnd/>
                      <a:tailEnd/>
                    </a:ln>
                  </pic:spPr>
                </pic:pic>
              </a:graphicData>
            </a:graphic>
          </wp:inline>
        </w:drawing>
      </w:r>
      <w:r w:rsidR="00161EF0">
        <w:rPr>
          <w:rFonts w:ascii="Times New Roman" w:hAnsi="Times New Roman" w:cs="Times New Roman"/>
          <w:noProof/>
          <w:sz w:val="20"/>
          <w:szCs w:val="20"/>
        </w:rPr>
        <w:drawing>
          <wp:inline distT="0" distB="0" distL="0" distR="0">
            <wp:extent cx="1764763" cy="1351339"/>
            <wp:effectExtent l="19050" t="0" r="6887" b="0"/>
            <wp:docPr id="14"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0" cstate="print"/>
                    <a:srcRect/>
                    <a:stretch>
                      <a:fillRect/>
                    </a:stretch>
                  </pic:blipFill>
                  <pic:spPr bwMode="auto">
                    <a:xfrm>
                      <a:off x="0" y="0"/>
                      <a:ext cx="1766552" cy="1352709"/>
                    </a:xfrm>
                    <a:prstGeom prst="rect">
                      <a:avLst/>
                    </a:prstGeom>
                    <a:noFill/>
                    <a:ln w="9525">
                      <a:noFill/>
                      <a:miter lim="800000"/>
                      <a:headEnd/>
                      <a:tailEnd/>
                    </a:ln>
                  </pic:spPr>
                </pic:pic>
              </a:graphicData>
            </a:graphic>
          </wp:inline>
        </w:drawing>
      </w:r>
    </w:p>
    <w:p w:rsidR="00161EF0" w:rsidRDefault="00161EF0" w:rsidP="00A4524B">
      <w:pPr>
        <w:jc w:val="both"/>
        <w:rPr>
          <w:rFonts w:ascii="Times New Roman" w:hAnsi="Times New Roman" w:cs="Times New Roman"/>
          <w:sz w:val="20"/>
          <w:szCs w:val="20"/>
        </w:rPr>
      </w:pPr>
    </w:p>
    <w:p w:rsidR="008C7E6A" w:rsidRDefault="008C7E6A" w:rsidP="008C7E6A">
      <w:pPr>
        <w:jc w:val="both"/>
        <w:rPr>
          <w:rFonts w:ascii="Times New Roman" w:hAnsi="Times New Roman" w:cs="Times New Roman"/>
          <w:b/>
          <w:sz w:val="20"/>
          <w:szCs w:val="20"/>
        </w:rPr>
      </w:pPr>
      <w:r>
        <w:rPr>
          <w:rFonts w:ascii="Times New Roman" w:hAnsi="Times New Roman" w:cs="Times New Roman"/>
          <w:b/>
          <w:sz w:val="20"/>
          <w:szCs w:val="20"/>
        </w:rPr>
        <w:t>Účtovná závierka spoločnosti k 31.12.2013</w:t>
      </w:r>
    </w:p>
    <w:p w:rsidR="008C7E6A" w:rsidRDefault="008C7E6A" w:rsidP="008C7E6A">
      <w:pPr>
        <w:jc w:val="both"/>
        <w:rPr>
          <w:rFonts w:ascii="Times New Roman" w:hAnsi="Times New Roman" w:cs="Times New Roman"/>
          <w:sz w:val="20"/>
          <w:szCs w:val="20"/>
        </w:rPr>
      </w:pPr>
      <w:r>
        <w:rPr>
          <w:rFonts w:ascii="Times New Roman" w:hAnsi="Times New Roman" w:cs="Times New Roman"/>
          <w:sz w:val="20"/>
          <w:szCs w:val="20"/>
        </w:rPr>
        <w:t>Účtovná závierka spoločnosti k 31.12.2013 je zostavená ako riadna účtovná závierka podľa § 17 ods. 6 zákona NR SR č. 431/2002 Z. z. o účtovníctve za účtovné obdobie od 1. januára 2013 do 31. decembra 2013.</w:t>
      </w:r>
    </w:p>
    <w:p w:rsidR="002F7F77" w:rsidRPr="008C7E6A" w:rsidRDefault="002F7F77" w:rsidP="008C7E6A">
      <w:pPr>
        <w:jc w:val="both"/>
        <w:rPr>
          <w:rFonts w:ascii="Times New Roman" w:hAnsi="Times New Roman" w:cs="Times New Roman"/>
          <w:sz w:val="20"/>
          <w:szCs w:val="20"/>
        </w:rPr>
      </w:pPr>
    </w:p>
    <w:p w:rsidR="008C7E6A" w:rsidRDefault="008C7E6A" w:rsidP="008C7E6A">
      <w:pPr>
        <w:jc w:val="both"/>
        <w:rPr>
          <w:rFonts w:ascii="Times New Roman" w:hAnsi="Times New Roman" w:cs="Times New Roman"/>
          <w:b/>
          <w:sz w:val="20"/>
          <w:szCs w:val="20"/>
        </w:rPr>
      </w:pPr>
      <w:r>
        <w:rPr>
          <w:rFonts w:ascii="Times New Roman" w:hAnsi="Times New Roman" w:cs="Times New Roman"/>
          <w:b/>
          <w:sz w:val="20"/>
          <w:szCs w:val="20"/>
        </w:rPr>
        <w:t>Konsolidovaná účtovná závierka</w:t>
      </w:r>
    </w:p>
    <w:p w:rsidR="008C7E6A" w:rsidRDefault="008C7E6A" w:rsidP="008C7E6A">
      <w:pPr>
        <w:jc w:val="both"/>
        <w:rPr>
          <w:rFonts w:ascii="Times New Roman" w:hAnsi="Times New Roman" w:cs="Times New Roman"/>
          <w:sz w:val="20"/>
          <w:szCs w:val="20"/>
        </w:rPr>
      </w:pPr>
      <w:r>
        <w:rPr>
          <w:rFonts w:ascii="Times New Roman" w:hAnsi="Times New Roman" w:cs="Times New Roman"/>
          <w:sz w:val="20"/>
          <w:szCs w:val="20"/>
        </w:rPr>
        <w:t>Spoločnosť SP.Plast, s.r.o. aplikovala výnimku z povinnosti zostaviť konsolidovanú účtovnú závierku a konsolidovanú výročnú správu v súlade s § 22 ods. 8 Zákona o účtovníctve. Materská spoločnosť RDP Holding, Francúzsko vlastní 100%-ný podiel v Spoločnosti a zostavuje svoju konsolidovanú účtovnú závierku podľa IFRS v znení prijatom Európskou úniou. Do tejto konsolidovanej účtovnej závierky sa zahŕňa Spoločnosť a všetky jej dcérske spoločnosti.</w:t>
      </w:r>
    </w:p>
    <w:p w:rsidR="002F7F77" w:rsidRDefault="002F7F77" w:rsidP="008C7E6A">
      <w:pPr>
        <w:jc w:val="both"/>
        <w:rPr>
          <w:rFonts w:ascii="Times New Roman" w:hAnsi="Times New Roman" w:cs="Times New Roman"/>
          <w:sz w:val="20"/>
          <w:szCs w:val="20"/>
        </w:rPr>
      </w:pPr>
    </w:p>
    <w:p w:rsidR="008C7E6A" w:rsidRDefault="008C7E6A" w:rsidP="008C7E6A">
      <w:pPr>
        <w:jc w:val="both"/>
        <w:rPr>
          <w:rFonts w:ascii="Times New Roman" w:hAnsi="Times New Roman" w:cs="Times New Roman"/>
          <w:b/>
          <w:sz w:val="20"/>
          <w:szCs w:val="20"/>
        </w:rPr>
      </w:pPr>
      <w:r>
        <w:rPr>
          <w:rFonts w:ascii="Times New Roman" w:hAnsi="Times New Roman" w:cs="Times New Roman"/>
          <w:b/>
          <w:sz w:val="20"/>
          <w:szCs w:val="20"/>
        </w:rPr>
        <w:t>Audítorom spoločnosti je:</w:t>
      </w:r>
    </w:p>
    <w:p w:rsidR="008C7E6A" w:rsidRDefault="008C7E6A" w:rsidP="008C7E6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Mazars Slovensko, s.r.o., lic. UDVA č. 236</w:t>
      </w:r>
    </w:p>
    <w:p w:rsidR="008C7E6A" w:rsidRDefault="008C7E6A" w:rsidP="008C7E6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Zodpovedná audítorka:   Ing. Barbora Lux, MBA, lic. UDVA č. 993</w:t>
      </w: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334D2" w:rsidRDefault="00C334D2"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CF1774" w:rsidRDefault="00CF1774" w:rsidP="008C7E6A">
      <w:pPr>
        <w:spacing w:after="0" w:line="240" w:lineRule="auto"/>
        <w:jc w:val="both"/>
        <w:rPr>
          <w:rFonts w:ascii="Times New Roman" w:hAnsi="Times New Roman" w:cs="Times New Roman"/>
          <w:sz w:val="20"/>
          <w:szCs w:val="20"/>
        </w:rPr>
      </w:pPr>
    </w:p>
    <w:p w:rsidR="00161EF0" w:rsidRDefault="00161EF0"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251D27" w:rsidRDefault="00251D27" w:rsidP="008C7E6A">
      <w:pPr>
        <w:spacing w:after="0" w:line="240" w:lineRule="auto"/>
        <w:jc w:val="both"/>
        <w:rPr>
          <w:rFonts w:ascii="Times New Roman" w:hAnsi="Times New Roman" w:cs="Times New Roman"/>
          <w:sz w:val="20"/>
          <w:szCs w:val="20"/>
        </w:rPr>
      </w:pPr>
    </w:p>
    <w:p w:rsidR="00161EF0" w:rsidRDefault="00161EF0" w:rsidP="008C7E6A">
      <w:pPr>
        <w:spacing w:after="0" w:line="240" w:lineRule="auto"/>
        <w:jc w:val="both"/>
        <w:rPr>
          <w:rFonts w:ascii="Times New Roman" w:hAnsi="Times New Roman" w:cs="Times New Roman"/>
          <w:sz w:val="20"/>
          <w:szCs w:val="20"/>
        </w:rPr>
      </w:pPr>
    </w:p>
    <w:p w:rsidR="00161EF0" w:rsidRDefault="00161EF0" w:rsidP="008C7E6A">
      <w:pPr>
        <w:spacing w:after="0" w:line="240" w:lineRule="auto"/>
        <w:jc w:val="both"/>
        <w:rPr>
          <w:rFonts w:ascii="Times New Roman" w:hAnsi="Times New Roman" w:cs="Times New Roman"/>
          <w:sz w:val="20"/>
          <w:szCs w:val="20"/>
        </w:rPr>
      </w:pPr>
    </w:p>
    <w:p w:rsidR="00161EF0" w:rsidRDefault="00161EF0" w:rsidP="008C7E6A">
      <w:pPr>
        <w:spacing w:after="0" w:line="240" w:lineRule="auto"/>
        <w:jc w:val="both"/>
        <w:rPr>
          <w:rFonts w:ascii="Times New Roman" w:hAnsi="Times New Roman" w:cs="Times New Roman"/>
          <w:sz w:val="20"/>
          <w:szCs w:val="20"/>
        </w:rPr>
      </w:pPr>
    </w:p>
    <w:p w:rsidR="00251D27" w:rsidRDefault="00251D27" w:rsidP="00C334D2">
      <w:pPr>
        <w:spacing w:after="0" w:line="240" w:lineRule="auto"/>
        <w:jc w:val="center"/>
        <w:rPr>
          <w:rFonts w:ascii="Times New Roman" w:hAnsi="Times New Roman" w:cs="Times New Roman"/>
          <w:b/>
          <w:sz w:val="24"/>
          <w:szCs w:val="24"/>
        </w:rPr>
      </w:pPr>
    </w:p>
    <w:p w:rsidR="00C334D2" w:rsidRDefault="00C334D2" w:rsidP="00C334D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Výročná správa</w:t>
      </w:r>
    </w:p>
    <w:p w:rsidR="00C334D2" w:rsidRDefault="00C334D2" w:rsidP="00C334D2">
      <w:pPr>
        <w:spacing w:after="0" w:line="240" w:lineRule="auto"/>
        <w:jc w:val="both"/>
        <w:rPr>
          <w:rFonts w:ascii="Times New Roman" w:hAnsi="Times New Roman" w:cs="Times New Roman"/>
          <w:b/>
          <w:sz w:val="24"/>
          <w:szCs w:val="24"/>
        </w:rPr>
      </w:pPr>
    </w:p>
    <w:p w:rsidR="009F126D" w:rsidRDefault="009F126D" w:rsidP="00C334D2">
      <w:pPr>
        <w:spacing w:after="0" w:line="240" w:lineRule="auto"/>
        <w:jc w:val="both"/>
        <w:rPr>
          <w:rFonts w:ascii="Times New Roman" w:hAnsi="Times New Roman" w:cs="Times New Roman"/>
          <w:b/>
          <w:sz w:val="24"/>
          <w:szCs w:val="24"/>
        </w:rPr>
      </w:pPr>
    </w:p>
    <w:p w:rsidR="009F126D" w:rsidRDefault="009F126D" w:rsidP="00C334D2">
      <w:pPr>
        <w:spacing w:after="0" w:line="240" w:lineRule="auto"/>
        <w:jc w:val="both"/>
        <w:rPr>
          <w:rFonts w:ascii="Times New Roman" w:hAnsi="Times New Roman" w:cs="Times New Roman"/>
          <w:b/>
          <w:sz w:val="24"/>
          <w:szCs w:val="24"/>
        </w:rPr>
      </w:pPr>
    </w:p>
    <w:p w:rsidR="009F126D" w:rsidRDefault="009F126D" w:rsidP="00C334D2">
      <w:pPr>
        <w:spacing w:after="0" w:line="240" w:lineRule="auto"/>
        <w:jc w:val="both"/>
        <w:rPr>
          <w:rFonts w:ascii="Times New Roman" w:hAnsi="Times New Roman" w:cs="Times New Roman"/>
          <w:b/>
          <w:sz w:val="24"/>
          <w:szCs w:val="24"/>
        </w:rPr>
      </w:pPr>
    </w:p>
    <w:p w:rsidR="00C334D2" w:rsidRDefault="00C334D2" w:rsidP="00C334D2">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Postavenie spoločnosti</w:t>
      </w:r>
    </w:p>
    <w:p w:rsidR="009F126D" w:rsidRDefault="009F126D" w:rsidP="00C334D2">
      <w:pPr>
        <w:spacing w:after="0" w:line="240" w:lineRule="auto"/>
        <w:jc w:val="both"/>
        <w:rPr>
          <w:rFonts w:ascii="Times New Roman" w:hAnsi="Times New Roman" w:cs="Times New Roman"/>
          <w:b/>
          <w:sz w:val="20"/>
          <w:szCs w:val="20"/>
        </w:rPr>
      </w:pPr>
    </w:p>
    <w:p w:rsidR="00C334D2" w:rsidRDefault="00C334D2" w:rsidP="00C334D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V roku 2013 bolo hlavným cieľom spoločnosti SP.Plast, s.r.o., pokračovať v udržaní si, prípadne, rozšírení výrobkového portfólia pre zmluvných odberateľov. </w:t>
      </w:r>
    </w:p>
    <w:p w:rsidR="00CF1774" w:rsidRDefault="00CF1774" w:rsidP="00C334D2">
      <w:pPr>
        <w:spacing w:after="0" w:line="240" w:lineRule="auto"/>
        <w:jc w:val="both"/>
        <w:rPr>
          <w:rFonts w:ascii="Times New Roman" w:hAnsi="Times New Roman" w:cs="Times New Roman"/>
          <w:sz w:val="20"/>
          <w:szCs w:val="20"/>
        </w:rPr>
      </w:pPr>
    </w:p>
    <w:p w:rsidR="00C334D2" w:rsidRDefault="00C334D2" w:rsidP="00C334D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Hlavnými odberateľmi spoločnosti sú: </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Honeywell safety products Slovakia s.r.o., Partizánske</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Honeywell safety products Partizánske s.r.o., Partizánske</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Tupperware products s.a., Švajčiarsko</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Elektronika Slovensko a.s., Trnava</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Vape Plast, Francúzsko</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Plastifal, Francúzsko</w:t>
      </w:r>
    </w:p>
    <w:p w:rsidR="00CF1774" w:rsidRDefault="00CF1774" w:rsidP="00CF1774">
      <w:pPr>
        <w:pStyle w:val="Odsekzoznamu"/>
        <w:numPr>
          <w:ilvl w:val="0"/>
          <w:numId w:val="3"/>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Emika Elektromechanikai zrt, Maďarsko</w:t>
      </w:r>
    </w:p>
    <w:p w:rsidR="00CF1774" w:rsidRDefault="00CF1774" w:rsidP="00CF1774">
      <w:pPr>
        <w:spacing w:after="0" w:line="240" w:lineRule="auto"/>
        <w:jc w:val="both"/>
        <w:rPr>
          <w:rFonts w:ascii="Times New Roman" w:hAnsi="Times New Roman" w:cs="Times New Roman"/>
          <w:sz w:val="20"/>
          <w:szCs w:val="20"/>
        </w:rPr>
      </w:pPr>
    </w:p>
    <w:p w:rsidR="00161EF0" w:rsidRDefault="00161EF0" w:rsidP="00CF1774">
      <w:pPr>
        <w:spacing w:after="0" w:line="240" w:lineRule="auto"/>
        <w:jc w:val="both"/>
        <w:rPr>
          <w:rFonts w:ascii="Times New Roman" w:hAnsi="Times New Roman" w:cs="Times New Roman"/>
          <w:sz w:val="20"/>
          <w:szCs w:val="20"/>
        </w:rPr>
      </w:pPr>
    </w:p>
    <w:p w:rsidR="00CF1774" w:rsidRDefault="00CF1774" w:rsidP="00CF1774">
      <w:pPr>
        <w:spacing w:after="0" w:line="240" w:lineRule="auto"/>
        <w:jc w:val="both"/>
        <w:rPr>
          <w:rFonts w:ascii="Times New Roman" w:hAnsi="Times New Roman" w:cs="Times New Roman"/>
          <w:b/>
          <w:sz w:val="20"/>
          <w:szCs w:val="20"/>
        </w:rPr>
      </w:pPr>
      <w:r w:rsidRPr="00CF1774">
        <w:rPr>
          <w:rFonts w:ascii="Times New Roman" w:hAnsi="Times New Roman" w:cs="Times New Roman"/>
          <w:b/>
          <w:sz w:val="20"/>
          <w:szCs w:val="20"/>
        </w:rPr>
        <w:t>Výroba</w:t>
      </w:r>
    </w:p>
    <w:p w:rsidR="009F126D" w:rsidRDefault="009F126D" w:rsidP="00CF1774">
      <w:pPr>
        <w:spacing w:after="0" w:line="240" w:lineRule="auto"/>
        <w:jc w:val="both"/>
        <w:rPr>
          <w:rFonts w:ascii="Times New Roman" w:hAnsi="Times New Roman" w:cs="Times New Roman"/>
          <w:b/>
          <w:sz w:val="20"/>
          <w:szCs w:val="20"/>
        </w:rPr>
      </w:pPr>
    </w:p>
    <w:p w:rsidR="00161EF0" w:rsidRDefault="00CF1774"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Spoločnosť vyrába svoje produkty na vstrekovacích lisoch, kde hlavnou surovinou je plastový granulát, ktorý sa zohrieva do určitého bodu, podľa typu granulátu. </w:t>
      </w:r>
    </w:p>
    <w:p w:rsidR="003C00A3" w:rsidRDefault="003C00A3" w:rsidP="00CF1774">
      <w:pPr>
        <w:spacing w:after="0" w:line="240" w:lineRule="auto"/>
        <w:jc w:val="both"/>
        <w:rPr>
          <w:rFonts w:ascii="Times New Roman" w:hAnsi="Times New Roman" w:cs="Times New Roman"/>
          <w:sz w:val="20"/>
          <w:szCs w:val="20"/>
        </w:rPr>
      </w:pPr>
    </w:p>
    <w:p w:rsidR="00161EF0" w:rsidRDefault="00161EF0" w:rsidP="00CF1774">
      <w:pPr>
        <w:spacing w:after="0" w:line="240" w:lineRule="auto"/>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1731842" cy="1345843"/>
            <wp:effectExtent l="19050" t="0" r="1708" b="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 cstate="print"/>
                    <a:srcRect/>
                    <a:stretch>
                      <a:fillRect/>
                    </a:stretch>
                  </pic:blipFill>
                  <pic:spPr bwMode="auto">
                    <a:xfrm>
                      <a:off x="0" y="0"/>
                      <a:ext cx="1732348" cy="1346236"/>
                    </a:xfrm>
                    <a:prstGeom prst="rect">
                      <a:avLst/>
                    </a:prstGeom>
                    <a:noFill/>
                    <a:ln w="9525">
                      <a:noFill/>
                      <a:miter lim="800000"/>
                      <a:headEnd/>
                      <a:tailEnd/>
                    </a:ln>
                  </pic:spPr>
                </pic:pic>
              </a:graphicData>
            </a:graphic>
          </wp:inline>
        </w:drawing>
      </w:r>
    </w:p>
    <w:p w:rsidR="003C00A3" w:rsidRDefault="003C00A3" w:rsidP="00CF1774">
      <w:pPr>
        <w:spacing w:after="0" w:line="240" w:lineRule="auto"/>
        <w:jc w:val="both"/>
        <w:rPr>
          <w:rFonts w:ascii="Times New Roman" w:hAnsi="Times New Roman" w:cs="Times New Roman"/>
          <w:sz w:val="20"/>
          <w:szCs w:val="20"/>
        </w:rPr>
      </w:pPr>
    </w:p>
    <w:p w:rsidR="00CF1774" w:rsidRDefault="00CF1774"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Tento je vstrekovaný do foriem, z ktorých vychádza finálny produkt. Vo výrobnom procese vznikajú výlisky (produkt) a vtoky, ktoré sa následne melú a používajú znovu vo výrobnom procese. Z tohto dôvodu prakticky nevzniká žiaden odpad. </w:t>
      </w:r>
    </w:p>
    <w:p w:rsidR="00CF1774" w:rsidRDefault="00CF1774"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Nakoľko sme držiteľmi certifikátu noriem ISO 9001, kladie sa zvýšený dôraz na kvalitu vyrábaných výrobkov. Pri určitých druhoch výrobkov je dodržaná 100 %-ná kontrola. Aj na základe týchto zvýšených kvalitatívnych požiadaviek</w:t>
      </w:r>
      <w:r w:rsidR="008B32A6">
        <w:rPr>
          <w:rFonts w:ascii="Times New Roman" w:hAnsi="Times New Roman" w:cs="Times New Roman"/>
          <w:sz w:val="20"/>
          <w:szCs w:val="20"/>
        </w:rPr>
        <w:t xml:space="preserve"> pokleslo množstvo reklamácií od zákazníkov. </w:t>
      </w:r>
    </w:p>
    <w:p w:rsidR="008B32A6" w:rsidRDefault="008B32A6" w:rsidP="00CF1774">
      <w:pPr>
        <w:spacing w:after="0" w:line="240" w:lineRule="auto"/>
        <w:jc w:val="both"/>
        <w:rPr>
          <w:rFonts w:ascii="Times New Roman" w:hAnsi="Times New Roman" w:cs="Times New Roman"/>
          <w:sz w:val="20"/>
          <w:szCs w:val="20"/>
        </w:rPr>
      </w:pPr>
    </w:p>
    <w:p w:rsidR="009F126D" w:rsidRDefault="009F126D" w:rsidP="00CF1774">
      <w:pPr>
        <w:spacing w:after="0" w:line="240" w:lineRule="auto"/>
        <w:jc w:val="both"/>
        <w:rPr>
          <w:rFonts w:ascii="Times New Roman" w:hAnsi="Times New Roman" w:cs="Times New Roman"/>
          <w:sz w:val="20"/>
          <w:szCs w:val="20"/>
        </w:rPr>
      </w:pPr>
    </w:p>
    <w:p w:rsidR="008B32A6" w:rsidRDefault="008B32A6" w:rsidP="00CF1774">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Vplyv na životné prostredie a</w:t>
      </w:r>
      <w:r w:rsidR="009F126D">
        <w:rPr>
          <w:rFonts w:ascii="Times New Roman" w:hAnsi="Times New Roman" w:cs="Times New Roman"/>
          <w:b/>
          <w:sz w:val="20"/>
          <w:szCs w:val="20"/>
        </w:rPr>
        <w:t> </w:t>
      </w:r>
      <w:r>
        <w:rPr>
          <w:rFonts w:ascii="Times New Roman" w:hAnsi="Times New Roman" w:cs="Times New Roman"/>
          <w:b/>
          <w:sz w:val="20"/>
          <w:szCs w:val="20"/>
        </w:rPr>
        <w:t>zamestnanosť</w:t>
      </w:r>
    </w:p>
    <w:p w:rsidR="009F126D" w:rsidRDefault="009F126D" w:rsidP="00CF1774">
      <w:pPr>
        <w:spacing w:after="0" w:line="240" w:lineRule="auto"/>
        <w:jc w:val="both"/>
        <w:rPr>
          <w:rFonts w:ascii="Times New Roman" w:hAnsi="Times New Roman" w:cs="Times New Roman"/>
          <w:b/>
          <w:sz w:val="20"/>
          <w:szCs w:val="20"/>
        </w:rPr>
      </w:pPr>
    </w:p>
    <w:p w:rsidR="008B32A6" w:rsidRDefault="008B32A6"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V oblasti plnenia zodpovedného konania s ohľadom na životné prostredie boli aj v roku 2013 všetky aktivity spoločnosti plne v súlade s príslušnými normami a predpismi.</w:t>
      </w:r>
    </w:p>
    <w:p w:rsidR="008B32A6" w:rsidRDefault="008B32A6"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K 31.12.2013 bolo v spoločnosti zamestnaných 29 zamestnancov, priemerný ročný stav zamestnancov bol 30.</w:t>
      </w:r>
    </w:p>
    <w:p w:rsidR="008B32A6" w:rsidRDefault="008B32A6"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V roku 2014 sa očakáva menšie zníženie počtu zamestnancov z dôvodu optimalizácie výroby.</w:t>
      </w:r>
    </w:p>
    <w:p w:rsidR="008B32A6" w:rsidRDefault="008B32A6" w:rsidP="00CF1774">
      <w:pPr>
        <w:spacing w:after="0" w:line="240" w:lineRule="auto"/>
        <w:jc w:val="both"/>
        <w:rPr>
          <w:rFonts w:ascii="Times New Roman" w:hAnsi="Times New Roman" w:cs="Times New Roman"/>
          <w:sz w:val="20"/>
          <w:szCs w:val="20"/>
        </w:rPr>
      </w:pPr>
    </w:p>
    <w:p w:rsidR="005F05F2" w:rsidRDefault="005F05F2" w:rsidP="00CF1774">
      <w:pPr>
        <w:spacing w:after="0" w:line="240" w:lineRule="auto"/>
        <w:jc w:val="both"/>
        <w:rPr>
          <w:rFonts w:ascii="Times New Roman" w:hAnsi="Times New Roman" w:cs="Times New Roman"/>
          <w:sz w:val="20"/>
          <w:szCs w:val="20"/>
        </w:rPr>
      </w:pPr>
    </w:p>
    <w:p w:rsidR="005F05F2" w:rsidRDefault="005F05F2" w:rsidP="00CF1774">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Predaj</w:t>
      </w:r>
    </w:p>
    <w:p w:rsidR="005F05F2" w:rsidRDefault="005F05F2" w:rsidP="00CF1774">
      <w:pPr>
        <w:spacing w:after="0" w:line="240" w:lineRule="auto"/>
        <w:jc w:val="both"/>
        <w:rPr>
          <w:rFonts w:ascii="Times New Roman" w:hAnsi="Times New Roman" w:cs="Times New Roman"/>
          <w:b/>
          <w:sz w:val="20"/>
          <w:szCs w:val="20"/>
        </w:rPr>
      </w:pPr>
    </w:p>
    <w:p w:rsidR="005F05F2" w:rsidRDefault="005F05F2"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SP.Plast, s.r.o. dosiahla v roku 2013 tržby z predaja výrobkov, tovarov a služieb v objeme 2 150 tis. EUR čo predstavuje oproti roku 2012 pokles o</w:t>
      </w:r>
      <w:r w:rsidR="00945667">
        <w:rPr>
          <w:rFonts w:ascii="Times New Roman" w:hAnsi="Times New Roman" w:cs="Times New Roman"/>
          <w:sz w:val="20"/>
          <w:szCs w:val="20"/>
        </w:rPr>
        <w:t xml:space="preserve"> 10,45 %. Medziročne spoločnosť zaznamenala znížený objem tržieb z výroby stolného a kuchynského vybavenia pre významného zákazníka Tupperware </w:t>
      </w:r>
      <w:r w:rsidR="003C00A3">
        <w:rPr>
          <w:rFonts w:ascii="Times New Roman" w:hAnsi="Times New Roman" w:cs="Times New Roman"/>
          <w:sz w:val="20"/>
          <w:szCs w:val="20"/>
        </w:rPr>
        <w:t>products s.a. z dôvodu ukončenia výroby sezónnych výrobkov.</w:t>
      </w:r>
    </w:p>
    <w:p w:rsidR="003C00A3" w:rsidRDefault="003C00A3" w:rsidP="00CF1774">
      <w:pPr>
        <w:spacing w:after="0" w:line="240" w:lineRule="auto"/>
        <w:jc w:val="both"/>
        <w:rPr>
          <w:rFonts w:ascii="Times New Roman" w:hAnsi="Times New Roman" w:cs="Times New Roman"/>
          <w:sz w:val="20"/>
          <w:szCs w:val="20"/>
        </w:rPr>
      </w:pPr>
    </w:p>
    <w:p w:rsidR="003C00A3" w:rsidRDefault="003C00A3"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lastRenderedPageBreak/>
        <w:t>Vývoj tržieb v rokoch 2013-2012 dokumentuje nasledovná tabuľka:</w:t>
      </w:r>
    </w:p>
    <w:p w:rsidR="005F05F2" w:rsidRDefault="005F05F2" w:rsidP="00CF1774">
      <w:pPr>
        <w:spacing w:after="0" w:line="240" w:lineRule="auto"/>
        <w:jc w:val="both"/>
        <w:rPr>
          <w:rFonts w:ascii="Times New Roman" w:hAnsi="Times New Roman" w:cs="Times New Roman"/>
          <w:sz w:val="20"/>
          <w:szCs w:val="20"/>
        </w:rPr>
      </w:pPr>
    </w:p>
    <w:tbl>
      <w:tblPr>
        <w:tblW w:w="8920" w:type="dxa"/>
        <w:tblInd w:w="60" w:type="dxa"/>
        <w:tblCellMar>
          <w:left w:w="70" w:type="dxa"/>
          <w:right w:w="70" w:type="dxa"/>
        </w:tblCellMar>
        <w:tblLook w:val="04A0"/>
      </w:tblPr>
      <w:tblGrid>
        <w:gridCol w:w="6040"/>
        <w:gridCol w:w="960"/>
        <w:gridCol w:w="960"/>
        <w:gridCol w:w="960"/>
      </w:tblGrid>
      <w:tr w:rsidR="005F05F2" w:rsidRPr="005F05F2" w:rsidTr="005F05F2">
        <w:trPr>
          <w:trHeight w:val="660"/>
        </w:trPr>
        <w:tc>
          <w:tcPr>
            <w:tcW w:w="604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5F05F2" w:rsidRPr="005F05F2" w:rsidRDefault="005F05F2" w:rsidP="005F05F2">
            <w:pPr>
              <w:spacing w:after="0" w:line="240" w:lineRule="auto"/>
              <w:jc w:val="center"/>
              <w:rPr>
                <w:rFonts w:ascii="Times New Roman" w:eastAsia="Times New Roman" w:hAnsi="Times New Roman" w:cs="Times New Roman"/>
                <w:b/>
                <w:bCs/>
                <w:color w:val="000000"/>
                <w:sz w:val="24"/>
                <w:szCs w:val="24"/>
              </w:rPr>
            </w:pPr>
            <w:r w:rsidRPr="005F05F2">
              <w:rPr>
                <w:rFonts w:ascii="Times New Roman" w:eastAsia="Times New Roman" w:hAnsi="Times New Roman" w:cs="Times New Roman"/>
                <w:b/>
                <w:bCs/>
                <w:color w:val="000000"/>
                <w:sz w:val="24"/>
                <w:szCs w:val="24"/>
              </w:rPr>
              <w:t>Teritoriálne rozdelenie tržieb výrobkov, tovarov a služieb     v tis. EUR</w:t>
            </w:r>
          </w:p>
        </w:tc>
        <w:tc>
          <w:tcPr>
            <w:tcW w:w="960" w:type="dxa"/>
            <w:tcBorders>
              <w:top w:val="single" w:sz="8" w:space="0" w:color="auto"/>
              <w:left w:val="nil"/>
              <w:bottom w:val="single" w:sz="8" w:space="0" w:color="auto"/>
              <w:right w:val="single" w:sz="4" w:space="0" w:color="auto"/>
            </w:tcBorders>
            <w:shd w:val="clear" w:color="auto" w:fill="auto"/>
            <w:vAlign w:val="center"/>
            <w:hideMark/>
          </w:tcPr>
          <w:p w:rsidR="005F05F2" w:rsidRPr="005F05F2" w:rsidRDefault="005F05F2" w:rsidP="005F05F2">
            <w:pPr>
              <w:spacing w:after="0" w:line="240" w:lineRule="auto"/>
              <w:jc w:val="center"/>
              <w:rPr>
                <w:rFonts w:ascii="Times New Roman" w:eastAsia="Times New Roman" w:hAnsi="Times New Roman" w:cs="Times New Roman"/>
                <w:b/>
                <w:bCs/>
                <w:color w:val="000000"/>
                <w:sz w:val="24"/>
                <w:szCs w:val="24"/>
              </w:rPr>
            </w:pPr>
            <w:r w:rsidRPr="005F05F2">
              <w:rPr>
                <w:rFonts w:ascii="Times New Roman" w:eastAsia="Times New Roman" w:hAnsi="Times New Roman" w:cs="Times New Roman"/>
                <w:b/>
                <w:bCs/>
                <w:color w:val="000000"/>
                <w:sz w:val="24"/>
                <w:szCs w:val="24"/>
              </w:rPr>
              <w:t>2013</w:t>
            </w:r>
          </w:p>
        </w:tc>
        <w:tc>
          <w:tcPr>
            <w:tcW w:w="960" w:type="dxa"/>
            <w:tcBorders>
              <w:top w:val="single" w:sz="8" w:space="0" w:color="auto"/>
              <w:left w:val="nil"/>
              <w:bottom w:val="single" w:sz="8" w:space="0" w:color="auto"/>
              <w:right w:val="single" w:sz="4" w:space="0" w:color="auto"/>
            </w:tcBorders>
            <w:shd w:val="clear" w:color="auto" w:fill="auto"/>
            <w:vAlign w:val="center"/>
            <w:hideMark/>
          </w:tcPr>
          <w:p w:rsidR="005F05F2" w:rsidRPr="005F05F2" w:rsidRDefault="005F05F2" w:rsidP="005F05F2">
            <w:pPr>
              <w:spacing w:after="0" w:line="240" w:lineRule="auto"/>
              <w:jc w:val="center"/>
              <w:rPr>
                <w:rFonts w:ascii="Times New Roman" w:eastAsia="Times New Roman" w:hAnsi="Times New Roman" w:cs="Times New Roman"/>
                <w:b/>
                <w:bCs/>
                <w:color w:val="000000"/>
                <w:sz w:val="24"/>
                <w:szCs w:val="24"/>
              </w:rPr>
            </w:pPr>
            <w:r w:rsidRPr="005F05F2">
              <w:rPr>
                <w:rFonts w:ascii="Times New Roman" w:eastAsia="Times New Roman" w:hAnsi="Times New Roman" w:cs="Times New Roman"/>
                <w:b/>
                <w:bCs/>
                <w:color w:val="000000"/>
                <w:sz w:val="24"/>
                <w:szCs w:val="24"/>
              </w:rPr>
              <w:t>2012</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5F05F2" w:rsidRPr="005F05F2" w:rsidRDefault="005F05F2" w:rsidP="005F05F2">
            <w:pPr>
              <w:spacing w:after="0" w:line="240" w:lineRule="auto"/>
              <w:jc w:val="center"/>
              <w:rPr>
                <w:rFonts w:ascii="Times New Roman" w:eastAsia="Times New Roman" w:hAnsi="Times New Roman" w:cs="Times New Roman"/>
                <w:b/>
                <w:bCs/>
                <w:color w:val="000000"/>
                <w:sz w:val="24"/>
                <w:szCs w:val="24"/>
              </w:rPr>
            </w:pPr>
            <w:r w:rsidRPr="005F05F2">
              <w:rPr>
                <w:rFonts w:ascii="Times New Roman" w:eastAsia="Times New Roman" w:hAnsi="Times New Roman" w:cs="Times New Roman"/>
                <w:b/>
                <w:bCs/>
                <w:color w:val="000000"/>
                <w:sz w:val="24"/>
                <w:szCs w:val="24"/>
              </w:rPr>
              <w:t>13/12</w:t>
            </w:r>
          </w:p>
        </w:tc>
      </w:tr>
      <w:tr w:rsidR="005F05F2" w:rsidRPr="005F05F2" w:rsidTr="005F05F2">
        <w:trPr>
          <w:trHeight w:val="300"/>
        </w:trPr>
        <w:tc>
          <w:tcPr>
            <w:tcW w:w="6040" w:type="dxa"/>
            <w:tcBorders>
              <w:top w:val="nil"/>
              <w:left w:val="single" w:sz="8" w:space="0" w:color="auto"/>
              <w:bottom w:val="single" w:sz="4" w:space="0" w:color="auto"/>
              <w:right w:val="single" w:sz="4" w:space="0" w:color="auto"/>
            </w:tcBorders>
            <w:shd w:val="clear" w:color="auto" w:fill="auto"/>
            <w:noWrap/>
            <w:vAlign w:val="bottom"/>
            <w:hideMark/>
          </w:tcPr>
          <w:p w:rsidR="005F05F2" w:rsidRPr="005F05F2" w:rsidRDefault="005F05F2" w:rsidP="005F05F2">
            <w:pPr>
              <w:spacing w:after="0" w:line="240" w:lineRule="auto"/>
              <w:rPr>
                <w:rFonts w:ascii="Times New Roman" w:eastAsia="Times New Roman" w:hAnsi="Times New Roman" w:cs="Times New Roman"/>
                <w:color w:val="000000"/>
              </w:rPr>
            </w:pPr>
            <w:r w:rsidRPr="005F05F2">
              <w:rPr>
                <w:rFonts w:ascii="Times New Roman" w:eastAsia="Times New Roman" w:hAnsi="Times New Roman" w:cs="Times New Roman"/>
                <w:color w:val="000000"/>
              </w:rPr>
              <w:t>Tuzemsko</w:t>
            </w:r>
          </w:p>
        </w:tc>
        <w:tc>
          <w:tcPr>
            <w:tcW w:w="960" w:type="dxa"/>
            <w:tcBorders>
              <w:top w:val="nil"/>
              <w:left w:val="nil"/>
              <w:bottom w:val="single" w:sz="4" w:space="0" w:color="auto"/>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1 179</w:t>
            </w:r>
          </w:p>
        </w:tc>
        <w:tc>
          <w:tcPr>
            <w:tcW w:w="960" w:type="dxa"/>
            <w:tcBorders>
              <w:top w:val="nil"/>
              <w:left w:val="nil"/>
              <w:bottom w:val="single" w:sz="4" w:space="0" w:color="auto"/>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742</w:t>
            </w:r>
          </w:p>
        </w:tc>
        <w:tc>
          <w:tcPr>
            <w:tcW w:w="960" w:type="dxa"/>
            <w:tcBorders>
              <w:top w:val="nil"/>
              <w:left w:val="nil"/>
              <w:bottom w:val="single" w:sz="4" w:space="0" w:color="auto"/>
              <w:right w:val="single" w:sz="8"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158,89</w:t>
            </w:r>
          </w:p>
        </w:tc>
      </w:tr>
      <w:tr w:rsidR="005F05F2" w:rsidRPr="005F05F2" w:rsidTr="005F05F2">
        <w:trPr>
          <w:trHeight w:val="300"/>
        </w:trPr>
        <w:tc>
          <w:tcPr>
            <w:tcW w:w="60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F05F2" w:rsidRPr="005F05F2" w:rsidRDefault="005F05F2" w:rsidP="005F05F2">
            <w:pPr>
              <w:spacing w:after="0" w:line="240" w:lineRule="auto"/>
              <w:rPr>
                <w:rFonts w:ascii="Times New Roman" w:eastAsia="Times New Roman" w:hAnsi="Times New Roman" w:cs="Times New Roman"/>
                <w:color w:val="000000"/>
              </w:rPr>
            </w:pPr>
            <w:r w:rsidRPr="005F05F2">
              <w:rPr>
                <w:rFonts w:ascii="Times New Roman" w:eastAsia="Times New Roman" w:hAnsi="Times New Roman" w:cs="Times New Roman"/>
                <w:color w:val="000000"/>
              </w:rPr>
              <w:t>Zahraničie - EÚ</w:t>
            </w:r>
          </w:p>
        </w:tc>
        <w:tc>
          <w:tcPr>
            <w:tcW w:w="960" w:type="dxa"/>
            <w:tcBorders>
              <w:top w:val="nil"/>
              <w:left w:val="nil"/>
              <w:bottom w:val="single" w:sz="4" w:space="0" w:color="auto"/>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968</w:t>
            </w:r>
          </w:p>
        </w:tc>
        <w:tc>
          <w:tcPr>
            <w:tcW w:w="960" w:type="dxa"/>
            <w:tcBorders>
              <w:top w:val="nil"/>
              <w:left w:val="nil"/>
              <w:bottom w:val="single" w:sz="4" w:space="0" w:color="auto"/>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1 601</w:t>
            </w:r>
          </w:p>
        </w:tc>
        <w:tc>
          <w:tcPr>
            <w:tcW w:w="960" w:type="dxa"/>
            <w:tcBorders>
              <w:top w:val="nil"/>
              <w:left w:val="nil"/>
              <w:bottom w:val="single" w:sz="4" w:space="0" w:color="auto"/>
              <w:right w:val="single" w:sz="8"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60,46</w:t>
            </w:r>
          </w:p>
        </w:tc>
      </w:tr>
      <w:tr w:rsidR="005F05F2" w:rsidRPr="005F05F2" w:rsidTr="005F05F2">
        <w:trPr>
          <w:trHeight w:val="315"/>
        </w:trPr>
        <w:tc>
          <w:tcPr>
            <w:tcW w:w="6040" w:type="dxa"/>
            <w:tcBorders>
              <w:top w:val="single" w:sz="4" w:space="0" w:color="auto"/>
              <w:left w:val="single" w:sz="8" w:space="0" w:color="auto"/>
              <w:bottom w:val="nil"/>
              <w:right w:val="single" w:sz="4" w:space="0" w:color="auto"/>
            </w:tcBorders>
            <w:shd w:val="clear" w:color="auto" w:fill="auto"/>
            <w:noWrap/>
            <w:vAlign w:val="bottom"/>
            <w:hideMark/>
          </w:tcPr>
          <w:p w:rsidR="005F05F2" w:rsidRPr="005F05F2" w:rsidRDefault="005F05F2" w:rsidP="005F05F2">
            <w:pPr>
              <w:spacing w:after="0" w:line="240" w:lineRule="auto"/>
              <w:rPr>
                <w:rFonts w:ascii="Times New Roman" w:eastAsia="Times New Roman" w:hAnsi="Times New Roman" w:cs="Times New Roman"/>
                <w:color w:val="000000"/>
              </w:rPr>
            </w:pPr>
            <w:r w:rsidRPr="005F05F2">
              <w:rPr>
                <w:rFonts w:ascii="Times New Roman" w:eastAsia="Times New Roman" w:hAnsi="Times New Roman" w:cs="Times New Roman"/>
                <w:color w:val="000000"/>
              </w:rPr>
              <w:t>Zahraničie - tretie krajiny</w:t>
            </w:r>
          </w:p>
        </w:tc>
        <w:tc>
          <w:tcPr>
            <w:tcW w:w="960" w:type="dxa"/>
            <w:tcBorders>
              <w:top w:val="nil"/>
              <w:left w:val="nil"/>
              <w:bottom w:val="nil"/>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3</w:t>
            </w:r>
          </w:p>
        </w:tc>
        <w:tc>
          <w:tcPr>
            <w:tcW w:w="960" w:type="dxa"/>
            <w:tcBorders>
              <w:top w:val="nil"/>
              <w:left w:val="nil"/>
              <w:bottom w:val="nil"/>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58</w:t>
            </w:r>
          </w:p>
        </w:tc>
        <w:tc>
          <w:tcPr>
            <w:tcW w:w="960" w:type="dxa"/>
            <w:tcBorders>
              <w:top w:val="nil"/>
              <w:left w:val="nil"/>
              <w:bottom w:val="nil"/>
              <w:right w:val="single" w:sz="8"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color w:val="000000"/>
              </w:rPr>
            </w:pPr>
            <w:r w:rsidRPr="005F05F2">
              <w:rPr>
                <w:rFonts w:ascii="Times New Roman" w:eastAsia="Times New Roman" w:hAnsi="Times New Roman" w:cs="Times New Roman"/>
                <w:color w:val="000000"/>
              </w:rPr>
              <w:t>5,17</w:t>
            </w:r>
          </w:p>
        </w:tc>
      </w:tr>
      <w:tr w:rsidR="005F05F2" w:rsidRPr="005F05F2" w:rsidTr="005F05F2">
        <w:trPr>
          <w:trHeight w:val="315"/>
        </w:trPr>
        <w:tc>
          <w:tcPr>
            <w:tcW w:w="604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5F05F2" w:rsidRPr="005F05F2" w:rsidRDefault="005F05F2" w:rsidP="005F05F2">
            <w:pPr>
              <w:spacing w:after="0" w:line="240" w:lineRule="auto"/>
              <w:rPr>
                <w:rFonts w:ascii="Times New Roman" w:eastAsia="Times New Roman" w:hAnsi="Times New Roman" w:cs="Times New Roman"/>
                <w:b/>
                <w:bCs/>
                <w:color w:val="000000"/>
              </w:rPr>
            </w:pPr>
            <w:r w:rsidRPr="005F05F2">
              <w:rPr>
                <w:rFonts w:ascii="Times New Roman" w:eastAsia="Times New Roman" w:hAnsi="Times New Roman" w:cs="Times New Roman"/>
                <w:b/>
                <w:bCs/>
                <w:color w:val="000000"/>
              </w:rPr>
              <w:t>Tržby za predaj výrobkov celkom</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b/>
                <w:bCs/>
                <w:color w:val="000000"/>
              </w:rPr>
            </w:pPr>
            <w:r w:rsidRPr="005F05F2">
              <w:rPr>
                <w:rFonts w:ascii="Times New Roman" w:eastAsia="Times New Roman" w:hAnsi="Times New Roman" w:cs="Times New Roman"/>
                <w:b/>
                <w:bCs/>
                <w:color w:val="000000"/>
              </w:rPr>
              <w:t>2 150</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b/>
                <w:bCs/>
                <w:color w:val="000000"/>
              </w:rPr>
            </w:pPr>
            <w:r w:rsidRPr="005F05F2">
              <w:rPr>
                <w:rFonts w:ascii="Times New Roman" w:eastAsia="Times New Roman" w:hAnsi="Times New Roman" w:cs="Times New Roman"/>
                <w:b/>
                <w:bCs/>
                <w:color w:val="000000"/>
              </w:rPr>
              <w:t>2 401</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5F05F2" w:rsidRPr="005F05F2" w:rsidRDefault="005F05F2" w:rsidP="005F05F2">
            <w:pPr>
              <w:spacing w:after="0" w:line="240" w:lineRule="auto"/>
              <w:jc w:val="right"/>
              <w:rPr>
                <w:rFonts w:ascii="Times New Roman" w:eastAsia="Times New Roman" w:hAnsi="Times New Roman" w:cs="Times New Roman"/>
                <w:b/>
                <w:bCs/>
                <w:color w:val="000000"/>
              </w:rPr>
            </w:pPr>
            <w:r w:rsidRPr="005F05F2">
              <w:rPr>
                <w:rFonts w:ascii="Times New Roman" w:eastAsia="Times New Roman" w:hAnsi="Times New Roman" w:cs="Times New Roman"/>
                <w:b/>
                <w:bCs/>
                <w:color w:val="000000"/>
              </w:rPr>
              <w:t>89,55</w:t>
            </w:r>
          </w:p>
        </w:tc>
      </w:tr>
    </w:tbl>
    <w:p w:rsidR="005F05F2" w:rsidRPr="005F05F2" w:rsidRDefault="005F05F2" w:rsidP="00CF1774">
      <w:pPr>
        <w:spacing w:after="0" w:line="240" w:lineRule="auto"/>
        <w:jc w:val="both"/>
        <w:rPr>
          <w:rFonts w:ascii="Times New Roman" w:hAnsi="Times New Roman" w:cs="Times New Roman"/>
          <w:sz w:val="20"/>
          <w:szCs w:val="20"/>
        </w:rPr>
      </w:pPr>
    </w:p>
    <w:p w:rsidR="005F05F2" w:rsidRPr="005F05F2" w:rsidRDefault="005F05F2" w:rsidP="00CF1774">
      <w:pPr>
        <w:spacing w:after="0" w:line="240" w:lineRule="auto"/>
        <w:jc w:val="both"/>
        <w:rPr>
          <w:rFonts w:ascii="Times New Roman" w:hAnsi="Times New Roman" w:cs="Times New Roman"/>
          <w:b/>
          <w:sz w:val="20"/>
          <w:szCs w:val="20"/>
        </w:rPr>
      </w:pPr>
    </w:p>
    <w:p w:rsidR="009F126D" w:rsidRDefault="009F126D" w:rsidP="00CF1774">
      <w:pPr>
        <w:spacing w:after="0" w:line="240" w:lineRule="auto"/>
        <w:jc w:val="both"/>
        <w:rPr>
          <w:rFonts w:ascii="Times New Roman" w:hAnsi="Times New Roman" w:cs="Times New Roman"/>
          <w:sz w:val="20"/>
          <w:szCs w:val="20"/>
        </w:rPr>
      </w:pPr>
    </w:p>
    <w:p w:rsidR="008B32A6" w:rsidRDefault="008B32A6" w:rsidP="00CF1774">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Dôležité finančné a nefinančné ukazovatele</w:t>
      </w:r>
    </w:p>
    <w:p w:rsidR="009F126D" w:rsidRDefault="009F126D" w:rsidP="00CF1774">
      <w:pPr>
        <w:spacing w:after="0" w:line="240" w:lineRule="auto"/>
        <w:jc w:val="both"/>
        <w:rPr>
          <w:rFonts w:ascii="Times New Roman" w:hAnsi="Times New Roman" w:cs="Times New Roman"/>
          <w:b/>
          <w:sz w:val="20"/>
          <w:szCs w:val="20"/>
        </w:rPr>
      </w:pPr>
    </w:p>
    <w:p w:rsidR="008B32A6" w:rsidRDefault="008B32A6"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Výsledky hospodárenia boli v dôsledku implementácie programu šetrenia a efektívneho využívania zdrojov </w:t>
      </w:r>
      <w:r w:rsidR="0026708D">
        <w:rPr>
          <w:rFonts w:ascii="Times New Roman" w:hAnsi="Times New Roman" w:cs="Times New Roman"/>
          <w:sz w:val="20"/>
          <w:szCs w:val="20"/>
        </w:rPr>
        <w:t>dosiahnuté na uspokojivej úrovni. Hoci nastal pokles tržieb oproti roku 2012 o 11%, výrobná spotreba bola až o 23 % nižšia ako v roku 2012. Týmto a ďalšími úspornými opatreniami sa dosiahol vyšší výsledok hospodárenia o 25 % ako v roku 2012.</w:t>
      </w:r>
    </w:p>
    <w:p w:rsidR="005F05F2" w:rsidRDefault="005F05F2" w:rsidP="00CF1774">
      <w:pPr>
        <w:spacing w:after="0" w:line="240" w:lineRule="auto"/>
        <w:jc w:val="both"/>
        <w:rPr>
          <w:rFonts w:ascii="Times New Roman" w:hAnsi="Times New Roman" w:cs="Times New Roman"/>
          <w:sz w:val="20"/>
          <w:szCs w:val="20"/>
        </w:rPr>
      </w:pPr>
    </w:p>
    <w:p w:rsidR="005F05F2" w:rsidRDefault="005F05F2" w:rsidP="00CF1774">
      <w:pPr>
        <w:spacing w:after="0" w:line="240" w:lineRule="auto"/>
        <w:jc w:val="both"/>
        <w:rPr>
          <w:rFonts w:ascii="Times New Roman" w:hAnsi="Times New Roman" w:cs="Times New Roman"/>
          <w:sz w:val="20"/>
          <w:szCs w:val="20"/>
        </w:rPr>
      </w:pPr>
    </w:p>
    <w:p w:rsidR="003C00A3" w:rsidRPr="00251D27" w:rsidRDefault="00703CAC" w:rsidP="00703CAC">
      <w:pPr>
        <w:spacing w:after="0" w:line="240" w:lineRule="auto"/>
        <w:jc w:val="both"/>
        <w:rPr>
          <w:rFonts w:ascii="Times New Roman" w:hAnsi="Times New Roman" w:cs="Times New Roman"/>
          <w:b/>
          <w:sz w:val="20"/>
          <w:szCs w:val="20"/>
        </w:rPr>
      </w:pPr>
      <w:r w:rsidRPr="00251D27">
        <w:rPr>
          <w:rFonts w:ascii="Times New Roman" w:hAnsi="Times New Roman" w:cs="Times New Roman"/>
          <w:b/>
          <w:sz w:val="20"/>
          <w:szCs w:val="20"/>
        </w:rPr>
        <w:t>Činnosti z hľadiska výskumu a vývoja</w:t>
      </w:r>
    </w:p>
    <w:p w:rsidR="00703CAC" w:rsidRPr="00251D27" w:rsidRDefault="00703CAC" w:rsidP="00703CAC">
      <w:pPr>
        <w:spacing w:after="0" w:line="240" w:lineRule="auto"/>
        <w:jc w:val="both"/>
        <w:rPr>
          <w:rFonts w:ascii="Times New Roman" w:hAnsi="Times New Roman" w:cs="Times New Roman"/>
          <w:b/>
          <w:sz w:val="20"/>
          <w:szCs w:val="20"/>
        </w:rPr>
      </w:pPr>
    </w:p>
    <w:p w:rsidR="00703CAC" w:rsidRPr="00251D27" w:rsidRDefault="00703CAC" w:rsidP="00703CAC">
      <w:pPr>
        <w:spacing w:after="0" w:line="240" w:lineRule="auto"/>
        <w:jc w:val="both"/>
        <w:rPr>
          <w:rFonts w:ascii="Times New Roman" w:hAnsi="Times New Roman" w:cs="Times New Roman"/>
          <w:sz w:val="20"/>
          <w:szCs w:val="20"/>
        </w:rPr>
      </w:pPr>
      <w:r w:rsidRPr="00251D27">
        <w:rPr>
          <w:rFonts w:ascii="Times New Roman" w:hAnsi="Times New Roman" w:cs="Times New Roman"/>
          <w:sz w:val="20"/>
          <w:szCs w:val="20"/>
        </w:rPr>
        <w:t xml:space="preserve">Počas roka 2013 spoločnosť nerealizovala činnosti v oblasti výskumu a vývoja. </w:t>
      </w:r>
    </w:p>
    <w:p w:rsidR="00703CAC" w:rsidRDefault="00703CAC" w:rsidP="00703CAC">
      <w:pPr>
        <w:spacing w:after="0" w:line="240" w:lineRule="auto"/>
        <w:jc w:val="both"/>
        <w:rPr>
          <w:rFonts w:ascii="Times New Roman" w:hAnsi="Times New Roman" w:cs="Times New Roman"/>
          <w:sz w:val="20"/>
          <w:szCs w:val="20"/>
        </w:rPr>
      </w:pPr>
    </w:p>
    <w:p w:rsidR="00251D27" w:rsidRPr="00251D27" w:rsidRDefault="00251D27" w:rsidP="00703CAC">
      <w:pPr>
        <w:spacing w:after="0" w:line="240" w:lineRule="auto"/>
        <w:jc w:val="both"/>
        <w:rPr>
          <w:rFonts w:ascii="Times New Roman" w:hAnsi="Times New Roman" w:cs="Times New Roman"/>
          <w:sz w:val="20"/>
          <w:szCs w:val="20"/>
        </w:rPr>
      </w:pPr>
    </w:p>
    <w:p w:rsidR="00703CAC" w:rsidRPr="00251D27" w:rsidRDefault="00703CAC" w:rsidP="00703CAC">
      <w:pPr>
        <w:spacing w:after="0" w:line="240" w:lineRule="auto"/>
        <w:jc w:val="both"/>
        <w:rPr>
          <w:rFonts w:ascii="Times New Roman" w:hAnsi="Times New Roman" w:cs="Times New Roman"/>
          <w:b/>
          <w:sz w:val="20"/>
          <w:szCs w:val="20"/>
        </w:rPr>
      </w:pPr>
      <w:r w:rsidRPr="00251D27">
        <w:rPr>
          <w:rFonts w:ascii="Times New Roman" w:hAnsi="Times New Roman" w:cs="Times New Roman"/>
          <w:b/>
          <w:sz w:val="20"/>
          <w:szCs w:val="20"/>
        </w:rPr>
        <w:t>Vlastné akcie / imanie</w:t>
      </w:r>
    </w:p>
    <w:p w:rsidR="00703CAC" w:rsidRPr="00251D27" w:rsidRDefault="00703CAC" w:rsidP="00703CAC">
      <w:pPr>
        <w:spacing w:after="0" w:line="240" w:lineRule="auto"/>
        <w:jc w:val="both"/>
        <w:rPr>
          <w:rFonts w:ascii="Garamond" w:hAnsi="Garamond"/>
          <w:color w:val="003366"/>
          <w:spacing w:val="-3"/>
          <w:u w:val="single"/>
        </w:rPr>
      </w:pPr>
    </w:p>
    <w:p w:rsidR="00703CAC" w:rsidRPr="00251D27" w:rsidRDefault="00703CAC" w:rsidP="00703CAC">
      <w:pPr>
        <w:spacing w:after="0" w:line="240" w:lineRule="auto"/>
        <w:jc w:val="both"/>
        <w:rPr>
          <w:rFonts w:ascii="Times New Roman" w:hAnsi="Times New Roman" w:cs="Times New Roman"/>
          <w:sz w:val="20"/>
          <w:szCs w:val="20"/>
        </w:rPr>
      </w:pPr>
      <w:r w:rsidRPr="00251D27">
        <w:rPr>
          <w:rFonts w:ascii="Times New Roman" w:hAnsi="Times New Roman" w:cs="Times New Roman"/>
          <w:sz w:val="20"/>
          <w:szCs w:val="20"/>
        </w:rPr>
        <w:t>Počas roka 2013 spoločnosť nezískala</w:t>
      </w:r>
      <w:r w:rsidR="00192501" w:rsidRPr="00251D27">
        <w:rPr>
          <w:rFonts w:ascii="Times New Roman" w:hAnsi="Times New Roman" w:cs="Times New Roman"/>
          <w:sz w:val="20"/>
          <w:szCs w:val="20"/>
        </w:rPr>
        <w:t xml:space="preserve"> a ani nevlastní </w:t>
      </w:r>
      <w:r w:rsidRPr="00251D27">
        <w:rPr>
          <w:rFonts w:ascii="Times New Roman" w:hAnsi="Times New Roman" w:cs="Times New Roman"/>
          <w:sz w:val="20"/>
          <w:szCs w:val="20"/>
        </w:rPr>
        <w:t>vlastné akcie.</w:t>
      </w:r>
    </w:p>
    <w:p w:rsidR="00703CAC" w:rsidRDefault="00703CAC" w:rsidP="00703CAC">
      <w:pPr>
        <w:spacing w:after="0" w:line="240" w:lineRule="auto"/>
        <w:jc w:val="both"/>
        <w:rPr>
          <w:rFonts w:ascii="Times New Roman" w:hAnsi="Times New Roman" w:cs="Times New Roman"/>
          <w:b/>
          <w:sz w:val="20"/>
          <w:szCs w:val="20"/>
        </w:rPr>
      </w:pPr>
    </w:p>
    <w:p w:rsidR="00251D27" w:rsidRPr="00251D27" w:rsidRDefault="00251D27" w:rsidP="00703CAC">
      <w:pPr>
        <w:spacing w:after="0" w:line="240" w:lineRule="auto"/>
        <w:jc w:val="both"/>
        <w:rPr>
          <w:rFonts w:ascii="Times New Roman" w:hAnsi="Times New Roman" w:cs="Times New Roman"/>
          <w:b/>
          <w:sz w:val="20"/>
          <w:szCs w:val="20"/>
        </w:rPr>
      </w:pPr>
    </w:p>
    <w:p w:rsidR="00703CAC" w:rsidRPr="00251D27" w:rsidRDefault="00703CAC" w:rsidP="00703CAC">
      <w:pPr>
        <w:spacing w:after="0" w:line="240" w:lineRule="auto"/>
        <w:jc w:val="both"/>
        <w:rPr>
          <w:rFonts w:ascii="Times New Roman" w:hAnsi="Times New Roman" w:cs="Times New Roman"/>
          <w:b/>
          <w:sz w:val="20"/>
          <w:szCs w:val="20"/>
        </w:rPr>
      </w:pPr>
      <w:r w:rsidRPr="00251D27">
        <w:rPr>
          <w:rFonts w:ascii="Times New Roman" w:hAnsi="Times New Roman" w:cs="Times New Roman"/>
          <w:b/>
          <w:sz w:val="20"/>
          <w:szCs w:val="20"/>
        </w:rPr>
        <w:t>Finančné deriváty a politika riadenia rizika</w:t>
      </w:r>
    </w:p>
    <w:p w:rsidR="00703CAC" w:rsidRPr="00251D27" w:rsidRDefault="00703CAC" w:rsidP="00703CAC">
      <w:pPr>
        <w:spacing w:after="0" w:line="240" w:lineRule="auto"/>
        <w:jc w:val="both"/>
        <w:rPr>
          <w:rFonts w:ascii="Times New Roman" w:hAnsi="Times New Roman" w:cs="Times New Roman"/>
          <w:b/>
          <w:sz w:val="20"/>
          <w:szCs w:val="20"/>
        </w:rPr>
      </w:pPr>
    </w:p>
    <w:p w:rsidR="00703CAC" w:rsidRPr="00251D27" w:rsidRDefault="00703CAC" w:rsidP="00703CAC">
      <w:pPr>
        <w:spacing w:after="0" w:line="240" w:lineRule="auto"/>
        <w:jc w:val="both"/>
        <w:rPr>
          <w:rFonts w:ascii="Times New Roman" w:hAnsi="Times New Roman" w:cs="Times New Roman"/>
          <w:sz w:val="20"/>
          <w:szCs w:val="20"/>
        </w:rPr>
      </w:pPr>
      <w:r w:rsidRPr="00251D27">
        <w:rPr>
          <w:rFonts w:ascii="Times New Roman" w:hAnsi="Times New Roman" w:cs="Times New Roman"/>
          <w:sz w:val="20"/>
          <w:szCs w:val="20"/>
        </w:rPr>
        <w:t>Spoločnosť nerealizuje nákupy žiadnych derivátov ani komodít. Rovnako sa nenachádza v rizikách relevantných z hľadiska cien materiálu, úverov, likvidity a Cash Flow.</w:t>
      </w:r>
    </w:p>
    <w:p w:rsidR="00703CAC" w:rsidRDefault="00703CAC" w:rsidP="00703CAC">
      <w:pPr>
        <w:spacing w:after="0" w:line="240" w:lineRule="auto"/>
        <w:jc w:val="both"/>
        <w:rPr>
          <w:rFonts w:ascii="Times New Roman" w:hAnsi="Times New Roman" w:cs="Times New Roman"/>
          <w:b/>
          <w:sz w:val="20"/>
          <w:szCs w:val="20"/>
        </w:rPr>
      </w:pPr>
    </w:p>
    <w:p w:rsidR="00251D27" w:rsidRPr="00251D27" w:rsidRDefault="00251D27" w:rsidP="00703CAC">
      <w:pPr>
        <w:spacing w:after="0" w:line="240" w:lineRule="auto"/>
        <w:jc w:val="both"/>
        <w:rPr>
          <w:rFonts w:ascii="Times New Roman" w:hAnsi="Times New Roman" w:cs="Times New Roman"/>
          <w:b/>
          <w:sz w:val="20"/>
          <w:szCs w:val="20"/>
        </w:rPr>
      </w:pPr>
    </w:p>
    <w:p w:rsidR="00192501" w:rsidRPr="00251D27" w:rsidRDefault="00192501" w:rsidP="00192501">
      <w:pPr>
        <w:spacing w:after="0" w:line="240" w:lineRule="auto"/>
        <w:jc w:val="both"/>
        <w:rPr>
          <w:rFonts w:ascii="Times New Roman" w:hAnsi="Times New Roman" w:cs="Times New Roman"/>
          <w:b/>
          <w:sz w:val="20"/>
          <w:szCs w:val="20"/>
        </w:rPr>
      </w:pPr>
      <w:r w:rsidRPr="00251D27">
        <w:rPr>
          <w:rFonts w:ascii="Times New Roman" w:hAnsi="Times New Roman" w:cs="Times New Roman"/>
          <w:b/>
          <w:sz w:val="20"/>
          <w:szCs w:val="20"/>
        </w:rPr>
        <w:t>Návrh na rozdelenie zisku za účtovný rok 2013</w:t>
      </w:r>
    </w:p>
    <w:p w:rsidR="00192501" w:rsidRPr="00251D27" w:rsidRDefault="00192501" w:rsidP="00192501">
      <w:pPr>
        <w:spacing w:after="0" w:line="240" w:lineRule="auto"/>
        <w:jc w:val="both"/>
        <w:rPr>
          <w:rFonts w:ascii="Times New Roman" w:hAnsi="Times New Roman" w:cs="Times New Roman"/>
          <w:b/>
          <w:sz w:val="20"/>
          <w:szCs w:val="20"/>
        </w:rPr>
      </w:pPr>
    </w:p>
    <w:p w:rsidR="00192501" w:rsidRDefault="00192501" w:rsidP="00192501">
      <w:pPr>
        <w:spacing w:after="0" w:line="240" w:lineRule="auto"/>
        <w:jc w:val="both"/>
        <w:rPr>
          <w:rFonts w:ascii="Times New Roman" w:hAnsi="Times New Roman" w:cs="Times New Roman"/>
          <w:b/>
          <w:sz w:val="20"/>
          <w:szCs w:val="20"/>
        </w:rPr>
      </w:pPr>
      <w:r w:rsidRPr="00251D27">
        <w:rPr>
          <w:rFonts w:ascii="Times New Roman" w:hAnsi="Times New Roman" w:cs="Times New Roman"/>
          <w:sz w:val="20"/>
          <w:szCs w:val="20"/>
        </w:rPr>
        <w:t>Vedenie spoločnosti navrhuje presunúť účtovný zisk za finančný rok 2013 na účet nerozdeleného zisku minulých období.</w:t>
      </w:r>
    </w:p>
    <w:p w:rsidR="00703CAC" w:rsidRDefault="00703CAC" w:rsidP="00703CAC">
      <w:pPr>
        <w:spacing w:after="0" w:line="240" w:lineRule="auto"/>
        <w:jc w:val="both"/>
        <w:rPr>
          <w:rFonts w:ascii="Times New Roman" w:hAnsi="Times New Roman" w:cs="Times New Roman"/>
          <w:b/>
          <w:sz w:val="20"/>
          <w:szCs w:val="20"/>
        </w:rPr>
      </w:pPr>
    </w:p>
    <w:p w:rsidR="00192501" w:rsidRPr="00703CAC" w:rsidRDefault="00192501" w:rsidP="00703CAC">
      <w:pPr>
        <w:spacing w:after="0" w:line="240" w:lineRule="auto"/>
        <w:jc w:val="both"/>
        <w:rPr>
          <w:rFonts w:ascii="Times New Roman" w:hAnsi="Times New Roman" w:cs="Times New Roman"/>
          <w:b/>
          <w:sz w:val="20"/>
          <w:szCs w:val="20"/>
        </w:rPr>
      </w:pPr>
    </w:p>
    <w:p w:rsidR="00703CAC" w:rsidRDefault="00703CAC" w:rsidP="00703CAC">
      <w:pPr>
        <w:spacing w:after="0" w:line="240" w:lineRule="auto"/>
        <w:jc w:val="both"/>
        <w:rPr>
          <w:rFonts w:ascii="Times New Roman" w:hAnsi="Times New Roman" w:cs="Times New Roman"/>
          <w:sz w:val="20"/>
          <w:szCs w:val="20"/>
        </w:rPr>
      </w:pPr>
    </w:p>
    <w:p w:rsidR="00703CAC" w:rsidRDefault="00703CAC" w:rsidP="00703CAC">
      <w:pPr>
        <w:spacing w:after="0" w:line="240" w:lineRule="auto"/>
        <w:jc w:val="both"/>
        <w:rPr>
          <w:rFonts w:ascii="Times New Roman" w:hAnsi="Times New Roman" w:cs="Times New Roman"/>
          <w:sz w:val="20"/>
          <w:szCs w:val="20"/>
        </w:rPr>
      </w:pPr>
      <w:r>
        <w:rPr>
          <w:rFonts w:ascii="Times New Roman" w:hAnsi="Times New Roman" w:cs="Times New Roman"/>
          <w:sz w:val="20"/>
          <w:szCs w:val="20"/>
        </w:rPr>
        <w:t>Prehľad hospodárskych údajov v porovnaní s predchádzajúcimi rokmi tvorí prílohu číslo 1.</w:t>
      </w:r>
    </w:p>
    <w:p w:rsidR="00703CAC" w:rsidRDefault="00703CAC" w:rsidP="00703CAC">
      <w:pPr>
        <w:spacing w:after="0" w:line="240" w:lineRule="auto"/>
        <w:jc w:val="both"/>
        <w:rPr>
          <w:rFonts w:ascii="Times New Roman" w:hAnsi="Times New Roman" w:cs="Times New Roman"/>
          <w:sz w:val="20"/>
          <w:szCs w:val="20"/>
        </w:rPr>
      </w:pPr>
    </w:p>
    <w:p w:rsidR="00703CAC" w:rsidRDefault="00703CAC" w:rsidP="00703CAC">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0713B3" w:rsidRDefault="000713B3" w:rsidP="009F126D">
      <w:pPr>
        <w:spacing w:after="0" w:line="240" w:lineRule="auto"/>
        <w:jc w:val="center"/>
        <w:rPr>
          <w:rFonts w:ascii="Times New Roman" w:hAnsi="Times New Roman" w:cs="Times New Roman"/>
          <w:b/>
          <w:sz w:val="24"/>
          <w:szCs w:val="24"/>
        </w:rPr>
      </w:pPr>
      <w:bookmarkStart w:id="0" w:name="_GoBack"/>
      <w:bookmarkEnd w:id="0"/>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3C00A3" w:rsidRDefault="003C00A3" w:rsidP="009F126D">
      <w:pPr>
        <w:spacing w:after="0" w:line="240" w:lineRule="auto"/>
        <w:jc w:val="center"/>
        <w:rPr>
          <w:rFonts w:ascii="Times New Roman" w:hAnsi="Times New Roman" w:cs="Times New Roman"/>
          <w:b/>
          <w:sz w:val="24"/>
          <w:szCs w:val="24"/>
        </w:rPr>
      </w:pPr>
    </w:p>
    <w:p w:rsidR="0026708D" w:rsidRDefault="0026708D" w:rsidP="009F126D">
      <w:pPr>
        <w:spacing w:after="0" w:line="240" w:lineRule="auto"/>
        <w:jc w:val="center"/>
        <w:rPr>
          <w:rFonts w:ascii="Times New Roman" w:hAnsi="Times New Roman" w:cs="Times New Roman"/>
          <w:b/>
          <w:sz w:val="24"/>
          <w:szCs w:val="24"/>
        </w:rPr>
      </w:pPr>
      <w:r w:rsidRPr="0026708D">
        <w:rPr>
          <w:rFonts w:ascii="Times New Roman" w:hAnsi="Times New Roman" w:cs="Times New Roman"/>
          <w:b/>
          <w:sz w:val="24"/>
          <w:szCs w:val="24"/>
        </w:rPr>
        <w:t>Predpokladaný budúci vývoj spoločnosti</w:t>
      </w:r>
    </w:p>
    <w:p w:rsidR="009F126D" w:rsidRDefault="009F126D" w:rsidP="009F126D">
      <w:pPr>
        <w:spacing w:after="0" w:line="240" w:lineRule="auto"/>
        <w:jc w:val="center"/>
        <w:rPr>
          <w:rFonts w:ascii="Times New Roman" w:hAnsi="Times New Roman" w:cs="Times New Roman"/>
          <w:b/>
          <w:sz w:val="24"/>
          <w:szCs w:val="24"/>
        </w:rPr>
      </w:pPr>
    </w:p>
    <w:p w:rsidR="009F126D" w:rsidRDefault="009F126D" w:rsidP="009F126D">
      <w:pPr>
        <w:spacing w:after="0" w:line="240" w:lineRule="auto"/>
        <w:jc w:val="center"/>
        <w:rPr>
          <w:rFonts w:ascii="Times New Roman" w:hAnsi="Times New Roman" w:cs="Times New Roman"/>
          <w:b/>
          <w:sz w:val="24"/>
          <w:szCs w:val="24"/>
        </w:rPr>
      </w:pPr>
    </w:p>
    <w:p w:rsidR="009F126D" w:rsidRPr="0026708D" w:rsidRDefault="009F126D" w:rsidP="009F126D">
      <w:pPr>
        <w:spacing w:after="0" w:line="240" w:lineRule="auto"/>
        <w:jc w:val="center"/>
        <w:rPr>
          <w:rFonts w:ascii="Times New Roman" w:hAnsi="Times New Roman" w:cs="Times New Roman"/>
          <w:b/>
          <w:sz w:val="24"/>
          <w:szCs w:val="24"/>
        </w:rPr>
      </w:pPr>
    </w:p>
    <w:p w:rsidR="0026708D" w:rsidRDefault="0026708D" w:rsidP="00CF1774">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Plán na rok 2014</w:t>
      </w: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Spoločnosť naplánovala na rok 2014 tieto základné ciele:</w:t>
      </w:r>
    </w:p>
    <w:p w:rsidR="0026708D" w:rsidRDefault="0026708D" w:rsidP="00CF1774">
      <w:pPr>
        <w:spacing w:after="0" w:line="240" w:lineRule="auto"/>
        <w:jc w:val="both"/>
        <w:rPr>
          <w:rFonts w:ascii="Times New Roman" w:hAnsi="Times New Roman" w:cs="Times New Roman"/>
          <w:sz w:val="20"/>
          <w:szCs w:val="20"/>
        </w:rPr>
      </w:pPr>
    </w:p>
    <w:p w:rsidR="0026708D" w:rsidRDefault="0026708D" w:rsidP="0026708D">
      <w:pPr>
        <w:pStyle w:val="Odsekzoznamu"/>
        <w:numPr>
          <w:ilvl w:val="0"/>
          <w:numId w:val="4"/>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Dosiahnutie plánovaného hospodárskeho výsledku.</w:t>
      </w:r>
    </w:p>
    <w:p w:rsidR="0026708D" w:rsidRDefault="0026708D" w:rsidP="0026708D">
      <w:pPr>
        <w:pStyle w:val="Odsekzoznamu"/>
        <w:numPr>
          <w:ilvl w:val="0"/>
          <w:numId w:val="4"/>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Udržať surovinové zdroje z úrovne konca roku 2013 a ich efektívnym využitím vytvoriť podmienky rastu tržieb.</w:t>
      </w:r>
    </w:p>
    <w:p w:rsidR="0026708D" w:rsidRDefault="0026708D" w:rsidP="0026708D">
      <w:pPr>
        <w:pStyle w:val="Odsekzoznamu"/>
        <w:numPr>
          <w:ilvl w:val="0"/>
          <w:numId w:val="4"/>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Udržať a zlepšiť kvalitu výroby s cieľom maximálneho eliminovania oprávnených reklamácií</w:t>
      </w:r>
      <w:r w:rsidR="00381086">
        <w:rPr>
          <w:rFonts w:ascii="Times New Roman" w:hAnsi="Times New Roman" w:cs="Times New Roman"/>
          <w:sz w:val="20"/>
          <w:szCs w:val="20"/>
        </w:rPr>
        <w:t xml:space="preserve"> v porovnaní s rokom 2013 voči objemu výroby.</w:t>
      </w:r>
    </w:p>
    <w:p w:rsidR="00381086" w:rsidRDefault="00381086" w:rsidP="0026708D">
      <w:pPr>
        <w:pStyle w:val="Odsekzoznamu"/>
        <w:numPr>
          <w:ilvl w:val="0"/>
          <w:numId w:val="4"/>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Zabezpečiť stabilitu zamestnancov. Rozvoj ich schopností a zručností. Efektívne pridelenia zamestnancov na školenia zvyšujúce a zlepšujúce kvalitu ich práce.</w:t>
      </w:r>
    </w:p>
    <w:p w:rsidR="00381086" w:rsidRDefault="00381086" w:rsidP="0026708D">
      <w:pPr>
        <w:pStyle w:val="Odsekzoznamu"/>
        <w:numPr>
          <w:ilvl w:val="0"/>
          <w:numId w:val="4"/>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Dosiahnuť maximálne uspokojivý výsledok v oblastiach zákazníckych auditov, a tým dosiahnuť zabezpečenie nových výrobných objednávok v najbližších obdobiach.</w:t>
      </w:r>
    </w:p>
    <w:p w:rsidR="00381086" w:rsidRDefault="00381086" w:rsidP="00381086">
      <w:pPr>
        <w:pStyle w:val="Odsekzoznamu"/>
        <w:spacing w:after="0" w:line="240" w:lineRule="auto"/>
        <w:jc w:val="both"/>
        <w:rPr>
          <w:rFonts w:ascii="Times New Roman" w:hAnsi="Times New Roman" w:cs="Times New Roman"/>
          <w:sz w:val="20"/>
          <w:szCs w:val="20"/>
        </w:rPr>
      </w:pPr>
    </w:p>
    <w:p w:rsidR="0026708D" w:rsidRPr="0026708D" w:rsidRDefault="0026708D" w:rsidP="0026708D">
      <w:pPr>
        <w:spacing w:after="0" w:line="240" w:lineRule="auto"/>
        <w:jc w:val="both"/>
        <w:rPr>
          <w:rFonts w:ascii="Times New Roman" w:hAnsi="Times New Roman" w:cs="Times New Roman"/>
          <w:sz w:val="20"/>
          <w:szCs w:val="20"/>
        </w:rPr>
      </w:pPr>
    </w:p>
    <w:p w:rsidR="0026708D" w:rsidRPr="0026708D" w:rsidRDefault="0026708D" w:rsidP="00CF1774">
      <w:pPr>
        <w:spacing w:after="0" w:line="240" w:lineRule="auto"/>
        <w:jc w:val="both"/>
        <w:rPr>
          <w:rFonts w:ascii="Times New Roman" w:hAnsi="Times New Roman" w:cs="Times New Roman"/>
          <w:b/>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Default="0026708D" w:rsidP="00CF1774">
      <w:pPr>
        <w:spacing w:after="0" w:line="240" w:lineRule="auto"/>
        <w:jc w:val="both"/>
        <w:rPr>
          <w:rFonts w:ascii="Times New Roman" w:hAnsi="Times New Roman" w:cs="Times New Roman"/>
          <w:sz w:val="20"/>
          <w:szCs w:val="20"/>
        </w:rPr>
      </w:pPr>
    </w:p>
    <w:p w:rsidR="0026708D" w:rsidRPr="008B32A6" w:rsidRDefault="0026708D" w:rsidP="00CF1774">
      <w:pPr>
        <w:spacing w:after="0" w:line="240" w:lineRule="auto"/>
        <w:jc w:val="both"/>
        <w:rPr>
          <w:rFonts w:ascii="Times New Roman" w:hAnsi="Times New Roman" w:cs="Times New Roman"/>
          <w:sz w:val="20"/>
          <w:szCs w:val="20"/>
        </w:rPr>
      </w:pPr>
    </w:p>
    <w:p w:rsidR="008C7E6A" w:rsidRDefault="008C7E6A" w:rsidP="008C7E6A">
      <w:pPr>
        <w:spacing w:after="0" w:line="240" w:lineRule="auto"/>
        <w:jc w:val="both"/>
        <w:rPr>
          <w:rFonts w:ascii="Times New Roman" w:hAnsi="Times New Roman" w:cs="Times New Roman"/>
          <w:sz w:val="20"/>
          <w:szCs w:val="20"/>
        </w:rPr>
      </w:pPr>
    </w:p>
    <w:p w:rsidR="008C7E6A" w:rsidRPr="008C7E6A" w:rsidRDefault="008C7E6A" w:rsidP="008C7E6A">
      <w:pPr>
        <w:jc w:val="both"/>
        <w:rPr>
          <w:rFonts w:ascii="Times New Roman" w:hAnsi="Times New Roman" w:cs="Times New Roman"/>
          <w:sz w:val="20"/>
          <w:szCs w:val="20"/>
        </w:rPr>
      </w:pPr>
    </w:p>
    <w:p w:rsidR="00634F96" w:rsidRPr="00634F96" w:rsidRDefault="00634F96" w:rsidP="00634F96">
      <w:pPr>
        <w:jc w:val="both"/>
        <w:rPr>
          <w:rFonts w:ascii="Times New Roman" w:hAnsi="Times New Roman" w:cs="Times New Roman"/>
          <w:b/>
          <w:sz w:val="20"/>
          <w:szCs w:val="20"/>
        </w:rPr>
      </w:pPr>
    </w:p>
    <w:p w:rsidR="00634F96" w:rsidRPr="005B1124" w:rsidRDefault="00634F96" w:rsidP="006954F2">
      <w:pPr>
        <w:spacing w:after="0" w:line="240" w:lineRule="auto"/>
        <w:jc w:val="both"/>
        <w:rPr>
          <w:rFonts w:ascii="Times New Roman" w:hAnsi="Times New Roman" w:cs="Times New Roman"/>
          <w:sz w:val="20"/>
          <w:szCs w:val="20"/>
        </w:rPr>
      </w:pPr>
    </w:p>
    <w:p w:rsidR="006954F2" w:rsidRPr="006954F2" w:rsidRDefault="006954F2" w:rsidP="004B6A60">
      <w:pPr>
        <w:spacing w:line="240" w:lineRule="auto"/>
        <w:jc w:val="both"/>
        <w:rPr>
          <w:rFonts w:ascii="Times New Roman" w:hAnsi="Times New Roman" w:cs="Times New Roman"/>
          <w:sz w:val="20"/>
          <w:szCs w:val="20"/>
        </w:rPr>
      </w:pPr>
    </w:p>
    <w:p w:rsidR="004B6A60" w:rsidRDefault="004B6A6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Default="00E35FA0" w:rsidP="004B6A60">
      <w:pPr>
        <w:spacing w:line="240" w:lineRule="auto"/>
        <w:jc w:val="both"/>
        <w:rPr>
          <w:rFonts w:ascii="Times New Roman" w:hAnsi="Times New Roman" w:cs="Times New Roman"/>
          <w:b/>
          <w:sz w:val="20"/>
          <w:szCs w:val="20"/>
        </w:rPr>
      </w:pPr>
    </w:p>
    <w:p w:rsidR="00E35FA0" w:rsidRPr="00F82F84" w:rsidRDefault="00E35FA0" w:rsidP="00E35FA0">
      <w:pPr>
        <w:spacing w:line="240" w:lineRule="auto"/>
        <w:jc w:val="both"/>
        <w:rPr>
          <w:rFonts w:ascii="Times New Roman" w:hAnsi="Times New Roman" w:cs="Times New Roman"/>
          <w:b/>
          <w:sz w:val="24"/>
          <w:szCs w:val="24"/>
          <w:u w:val="single"/>
        </w:rPr>
      </w:pPr>
      <w:r w:rsidRPr="00F82F84">
        <w:rPr>
          <w:rFonts w:ascii="Times New Roman" w:hAnsi="Times New Roman" w:cs="Times New Roman"/>
          <w:b/>
          <w:sz w:val="24"/>
          <w:szCs w:val="24"/>
          <w:u w:val="single"/>
        </w:rPr>
        <w:t>Príloha č. 2</w:t>
      </w:r>
    </w:p>
    <w:p w:rsidR="00E35FA0" w:rsidRDefault="00F82F84" w:rsidP="00E35FA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Dôležité finančné ukazovatele</w:t>
      </w:r>
    </w:p>
    <w:p w:rsidR="00F82F84" w:rsidRDefault="00F82F84" w:rsidP="00E35FA0">
      <w:pPr>
        <w:spacing w:after="0" w:line="240" w:lineRule="auto"/>
        <w:jc w:val="both"/>
        <w:rPr>
          <w:rFonts w:ascii="Times New Roman" w:hAnsi="Times New Roman" w:cs="Times New Roman"/>
          <w:b/>
          <w:i/>
          <w:sz w:val="24"/>
          <w:szCs w:val="24"/>
        </w:rPr>
      </w:pPr>
      <w:r w:rsidRPr="00F82F84">
        <w:rPr>
          <w:rFonts w:ascii="Times New Roman" w:hAnsi="Times New Roman" w:cs="Times New Roman"/>
          <w:b/>
          <w:i/>
          <w:sz w:val="24"/>
          <w:szCs w:val="24"/>
        </w:rPr>
        <w:t>Hospodárske výsledky za roky 2013, 2012, 2011</w:t>
      </w:r>
    </w:p>
    <w:p w:rsidR="00F82F84" w:rsidRDefault="00F82F84" w:rsidP="00E35FA0">
      <w:pPr>
        <w:spacing w:after="0" w:line="240" w:lineRule="auto"/>
        <w:jc w:val="both"/>
        <w:rPr>
          <w:rFonts w:ascii="Times New Roman" w:hAnsi="Times New Roman" w:cs="Times New Roman"/>
          <w:sz w:val="24"/>
          <w:szCs w:val="24"/>
        </w:rPr>
      </w:pPr>
    </w:p>
    <w:tbl>
      <w:tblPr>
        <w:tblW w:w="8920" w:type="dxa"/>
        <w:tblInd w:w="60" w:type="dxa"/>
        <w:tblCellMar>
          <w:left w:w="70" w:type="dxa"/>
          <w:right w:w="70" w:type="dxa"/>
        </w:tblCellMar>
        <w:tblLook w:val="04A0"/>
      </w:tblPr>
      <w:tblGrid>
        <w:gridCol w:w="5100"/>
        <w:gridCol w:w="940"/>
        <w:gridCol w:w="960"/>
        <w:gridCol w:w="960"/>
        <w:gridCol w:w="960"/>
      </w:tblGrid>
      <w:tr w:rsidR="002F7F77" w:rsidRPr="002F7F77" w:rsidTr="002F7F77">
        <w:trPr>
          <w:trHeight w:val="660"/>
        </w:trPr>
        <w:tc>
          <w:tcPr>
            <w:tcW w:w="51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SÚVAHA AKTÍV v tis. EUR</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Číslo riadku</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2013 EUR</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2012 EUR</w:t>
            </w:r>
          </w:p>
        </w:tc>
        <w:tc>
          <w:tcPr>
            <w:tcW w:w="960" w:type="dxa"/>
            <w:tcBorders>
              <w:top w:val="single" w:sz="8" w:space="0" w:color="auto"/>
              <w:left w:val="nil"/>
              <w:bottom w:val="single" w:sz="4" w:space="0" w:color="auto"/>
              <w:right w:val="single" w:sz="8"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Rozdiel</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Majetok spolu</w:t>
            </w:r>
          </w:p>
        </w:tc>
        <w:tc>
          <w:tcPr>
            <w:tcW w:w="940" w:type="dxa"/>
            <w:tcBorders>
              <w:top w:val="nil"/>
              <w:left w:val="nil"/>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001</w:t>
            </w:r>
          </w:p>
        </w:tc>
        <w:tc>
          <w:tcPr>
            <w:tcW w:w="960" w:type="dxa"/>
            <w:tcBorders>
              <w:top w:val="nil"/>
              <w:left w:val="nil"/>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1 116</w:t>
            </w:r>
          </w:p>
        </w:tc>
        <w:tc>
          <w:tcPr>
            <w:tcW w:w="960" w:type="dxa"/>
            <w:tcBorders>
              <w:top w:val="nil"/>
              <w:left w:val="nil"/>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863</w:t>
            </w:r>
          </w:p>
        </w:tc>
        <w:tc>
          <w:tcPr>
            <w:tcW w:w="960" w:type="dxa"/>
            <w:tcBorders>
              <w:top w:val="nil"/>
              <w:left w:val="nil"/>
              <w:bottom w:val="single" w:sz="4" w:space="0" w:color="auto"/>
              <w:right w:val="single" w:sz="8"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253</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Neobežný majetok</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204</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213</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-9</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Dlhodobý hmotný majetok</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204</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213</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-9</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Obežný majetok</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030</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911</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649</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262</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Zásoby</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031</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219</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153</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66</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Krátkodobé pohľadávky</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046</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315</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315</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r>
      <w:tr w:rsidR="002F7F77" w:rsidRPr="002F7F77" w:rsidTr="002F7F77">
        <w:trPr>
          <w:trHeight w:val="315"/>
        </w:trPr>
        <w:tc>
          <w:tcPr>
            <w:tcW w:w="5100" w:type="dxa"/>
            <w:tcBorders>
              <w:top w:val="nil"/>
              <w:left w:val="single" w:sz="8" w:space="0" w:color="auto"/>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Finančné účty</w:t>
            </w:r>
          </w:p>
        </w:tc>
        <w:tc>
          <w:tcPr>
            <w:tcW w:w="940" w:type="dxa"/>
            <w:tcBorders>
              <w:top w:val="nil"/>
              <w:left w:val="nil"/>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055</w:t>
            </w:r>
          </w:p>
        </w:tc>
        <w:tc>
          <w:tcPr>
            <w:tcW w:w="960" w:type="dxa"/>
            <w:tcBorders>
              <w:top w:val="nil"/>
              <w:left w:val="nil"/>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377</w:t>
            </w:r>
          </w:p>
        </w:tc>
        <w:tc>
          <w:tcPr>
            <w:tcW w:w="960" w:type="dxa"/>
            <w:tcBorders>
              <w:top w:val="nil"/>
              <w:left w:val="nil"/>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181</w:t>
            </w:r>
          </w:p>
        </w:tc>
        <w:tc>
          <w:tcPr>
            <w:tcW w:w="960" w:type="dxa"/>
            <w:tcBorders>
              <w:top w:val="nil"/>
              <w:left w:val="nil"/>
              <w:bottom w:val="single" w:sz="8"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196</w:t>
            </w:r>
          </w:p>
        </w:tc>
      </w:tr>
    </w:tbl>
    <w:p w:rsidR="002F7F77" w:rsidRDefault="002F7F77" w:rsidP="00E35FA0">
      <w:pPr>
        <w:spacing w:after="0" w:line="240" w:lineRule="auto"/>
        <w:jc w:val="both"/>
        <w:rPr>
          <w:rFonts w:ascii="Times New Roman" w:hAnsi="Times New Roman" w:cs="Times New Roman"/>
          <w:sz w:val="24"/>
          <w:szCs w:val="24"/>
        </w:rPr>
      </w:pPr>
    </w:p>
    <w:p w:rsidR="002F7F77" w:rsidRDefault="002F7F77" w:rsidP="00E35FA0">
      <w:pPr>
        <w:spacing w:after="0" w:line="240" w:lineRule="auto"/>
        <w:jc w:val="both"/>
        <w:rPr>
          <w:rFonts w:ascii="Times New Roman" w:hAnsi="Times New Roman" w:cs="Times New Roman"/>
          <w:sz w:val="24"/>
          <w:szCs w:val="24"/>
        </w:rPr>
      </w:pPr>
    </w:p>
    <w:tbl>
      <w:tblPr>
        <w:tblW w:w="8920" w:type="dxa"/>
        <w:tblInd w:w="60" w:type="dxa"/>
        <w:tblCellMar>
          <w:left w:w="70" w:type="dxa"/>
          <w:right w:w="70" w:type="dxa"/>
        </w:tblCellMar>
        <w:tblLook w:val="04A0"/>
      </w:tblPr>
      <w:tblGrid>
        <w:gridCol w:w="5100"/>
        <w:gridCol w:w="940"/>
        <w:gridCol w:w="960"/>
        <w:gridCol w:w="960"/>
        <w:gridCol w:w="960"/>
      </w:tblGrid>
      <w:tr w:rsidR="002F7F77" w:rsidRPr="002F7F77" w:rsidTr="002F7F77">
        <w:trPr>
          <w:trHeight w:val="660"/>
        </w:trPr>
        <w:tc>
          <w:tcPr>
            <w:tcW w:w="51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SÚVAHA PASÍVA v tis.EUR</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Číslo riadku</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2013 EUR</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2012 EUR</w:t>
            </w:r>
          </w:p>
        </w:tc>
        <w:tc>
          <w:tcPr>
            <w:tcW w:w="960" w:type="dxa"/>
            <w:tcBorders>
              <w:top w:val="single" w:sz="8" w:space="0" w:color="auto"/>
              <w:left w:val="nil"/>
              <w:bottom w:val="single" w:sz="4" w:space="0" w:color="auto"/>
              <w:right w:val="single" w:sz="8"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Rozdiel</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Vlastné imanie a záväzky</w:t>
            </w:r>
          </w:p>
        </w:tc>
        <w:tc>
          <w:tcPr>
            <w:tcW w:w="940" w:type="dxa"/>
            <w:tcBorders>
              <w:top w:val="nil"/>
              <w:left w:val="nil"/>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066</w:t>
            </w:r>
          </w:p>
        </w:tc>
        <w:tc>
          <w:tcPr>
            <w:tcW w:w="960" w:type="dxa"/>
            <w:tcBorders>
              <w:top w:val="nil"/>
              <w:left w:val="nil"/>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1 116</w:t>
            </w:r>
          </w:p>
        </w:tc>
        <w:tc>
          <w:tcPr>
            <w:tcW w:w="960" w:type="dxa"/>
            <w:tcBorders>
              <w:top w:val="nil"/>
              <w:left w:val="nil"/>
              <w:bottom w:val="single" w:sz="4"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863</w:t>
            </w:r>
          </w:p>
        </w:tc>
        <w:tc>
          <w:tcPr>
            <w:tcW w:w="960" w:type="dxa"/>
            <w:tcBorders>
              <w:top w:val="nil"/>
              <w:left w:val="nil"/>
              <w:bottom w:val="single" w:sz="4" w:space="0" w:color="auto"/>
              <w:right w:val="single" w:sz="8"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253</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 xml:space="preserve">Vlastné imanie  </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067</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550</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251</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299</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Výsledok hospodárenia za účtovné obdobie</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087</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315</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270</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45</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Záväzky</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088</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566</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612</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-46</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Rezervy</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089</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20</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12</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Dlhodobé záväzky</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094</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52</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49</w:t>
            </w:r>
          </w:p>
        </w:tc>
      </w:tr>
      <w:tr w:rsidR="002F7F77" w:rsidRPr="002F7F77" w:rsidTr="002F7F77">
        <w:trPr>
          <w:trHeight w:val="300"/>
        </w:trPr>
        <w:tc>
          <w:tcPr>
            <w:tcW w:w="5100" w:type="dxa"/>
            <w:tcBorders>
              <w:top w:val="nil"/>
              <w:left w:val="single" w:sz="8" w:space="0" w:color="auto"/>
              <w:bottom w:val="nil"/>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Krátkodobé záväzky</w:t>
            </w:r>
          </w:p>
        </w:tc>
        <w:tc>
          <w:tcPr>
            <w:tcW w:w="94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106</w:t>
            </w:r>
          </w:p>
        </w:tc>
        <w:tc>
          <w:tcPr>
            <w:tcW w:w="96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494</w:t>
            </w:r>
          </w:p>
        </w:tc>
        <w:tc>
          <w:tcPr>
            <w:tcW w:w="96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601</w:t>
            </w:r>
          </w:p>
        </w:tc>
        <w:tc>
          <w:tcPr>
            <w:tcW w:w="960" w:type="dxa"/>
            <w:tcBorders>
              <w:top w:val="nil"/>
              <w:left w:val="nil"/>
              <w:bottom w:val="nil"/>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-107</w:t>
            </w:r>
          </w:p>
        </w:tc>
      </w:tr>
      <w:tr w:rsidR="002F7F77" w:rsidRPr="002F7F77" w:rsidTr="002F7F77">
        <w:trPr>
          <w:trHeight w:val="315"/>
        </w:trPr>
        <w:tc>
          <w:tcPr>
            <w:tcW w:w="510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Bankové úvery</w:t>
            </w:r>
          </w:p>
        </w:tc>
        <w:tc>
          <w:tcPr>
            <w:tcW w:w="940" w:type="dxa"/>
            <w:tcBorders>
              <w:top w:val="single" w:sz="4" w:space="0" w:color="auto"/>
              <w:left w:val="nil"/>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118</w:t>
            </w:r>
          </w:p>
        </w:tc>
        <w:tc>
          <w:tcPr>
            <w:tcW w:w="960" w:type="dxa"/>
            <w:tcBorders>
              <w:top w:val="single" w:sz="4" w:space="0" w:color="auto"/>
              <w:left w:val="nil"/>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c>
          <w:tcPr>
            <w:tcW w:w="960" w:type="dxa"/>
            <w:tcBorders>
              <w:top w:val="single" w:sz="4" w:space="0" w:color="auto"/>
              <w:left w:val="nil"/>
              <w:bottom w:val="single" w:sz="8"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c>
          <w:tcPr>
            <w:tcW w:w="960" w:type="dxa"/>
            <w:tcBorders>
              <w:top w:val="single" w:sz="4" w:space="0" w:color="auto"/>
              <w:left w:val="nil"/>
              <w:bottom w:val="single" w:sz="8"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r>
    </w:tbl>
    <w:p w:rsidR="002F7F77" w:rsidRDefault="002F7F77" w:rsidP="00E35FA0">
      <w:pPr>
        <w:spacing w:after="0" w:line="240" w:lineRule="auto"/>
        <w:jc w:val="both"/>
        <w:rPr>
          <w:rFonts w:ascii="Times New Roman" w:hAnsi="Times New Roman" w:cs="Times New Roman"/>
          <w:sz w:val="24"/>
          <w:szCs w:val="24"/>
        </w:rPr>
      </w:pPr>
    </w:p>
    <w:p w:rsidR="002F7F77" w:rsidRDefault="002F7F77" w:rsidP="00E35FA0">
      <w:pPr>
        <w:spacing w:after="0" w:line="240" w:lineRule="auto"/>
        <w:jc w:val="both"/>
        <w:rPr>
          <w:rFonts w:ascii="Times New Roman" w:hAnsi="Times New Roman" w:cs="Times New Roman"/>
          <w:sz w:val="24"/>
          <w:szCs w:val="24"/>
        </w:rPr>
      </w:pPr>
    </w:p>
    <w:tbl>
      <w:tblPr>
        <w:tblW w:w="8920" w:type="dxa"/>
        <w:tblInd w:w="60" w:type="dxa"/>
        <w:tblCellMar>
          <w:left w:w="70" w:type="dxa"/>
          <w:right w:w="70" w:type="dxa"/>
        </w:tblCellMar>
        <w:tblLook w:val="04A0"/>
      </w:tblPr>
      <w:tblGrid>
        <w:gridCol w:w="5100"/>
        <w:gridCol w:w="940"/>
        <w:gridCol w:w="960"/>
        <w:gridCol w:w="960"/>
        <w:gridCol w:w="960"/>
      </w:tblGrid>
      <w:tr w:rsidR="002F7F77" w:rsidRPr="002F7F77" w:rsidTr="002F7F77">
        <w:trPr>
          <w:trHeight w:val="660"/>
        </w:trPr>
        <w:tc>
          <w:tcPr>
            <w:tcW w:w="51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VÝKAZ ZISKOV A STRÁT  v tis.EUR</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Číslo riadku</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2013 EUR</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2012 EUR</w:t>
            </w:r>
          </w:p>
        </w:tc>
        <w:tc>
          <w:tcPr>
            <w:tcW w:w="960" w:type="dxa"/>
            <w:tcBorders>
              <w:top w:val="single" w:sz="8" w:space="0" w:color="auto"/>
              <w:left w:val="nil"/>
              <w:bottom w:val="single" w:sz="4" w:space="0" w:color="auto"/>
              <w:right w:val="single" w:sz="8" w:space="0" w:color="auto"/>
            </w:tcBorders>
            <w:shd w:val="clear" w:color="auto" w:fill="auto"/>
            <w:vAlign w:val="center"/>
            <w:hideMark/>
          </w:tcPr>
          <w:p w:rsidR="002F7F77" w:rsidRPr="002F7F77" w:rsidRDefault="002F7F77" w:rsidP="002F7F77">
            <w:pPr>
              <w:spacing w:after="0" w:line="240" w:lineRule="auto"/>
              <w:jc w:val="center"/>
              <w:rPr>
                <w:rFonts w:ascii="Times New Roman" w:eastAsia="Times New Roman" w:hAnsi="Times New Roman" w:cs="Times New Roman"/>
                <w:b/>
                <w:bCs/>
                <w:color w:val="000000"/>
                <w:sz w:val="24"/>
                <w:szCs w:val="24"/>
              </w:rPr>
            </w:pPr>
            <w:r w:rsidRPr="002F7F77">
              <w:rPr>
                <w:rFonts w:ascii="Times New Roman" w:eastAsia="Times New Roman" w:hAnsi="Times New Roman" w:cs="Times New Roman"/>
                <w:b/>
                <w:bCs/>
                <w:color w:val="000000"/>
                <w:sz w:val="24"/>
                <w:szCs w:val="24"/>
              </w:rPr>
              <w:t>Rozdiel</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Výroba</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04</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2 125</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2 400</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-275</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Výrobná spotreba</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08</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1 306</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1 705</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-399</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Pridaná hodnota</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11</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831</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695</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136</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Výsledok hospodárenia z hospodárskej činnosti</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26</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414</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334</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80</w:t>
            </w:r>
          </w:p>
        </w:tc>
      </w:tr>
      <w:tr w:rsidR="002F7F77" w:rsidRPr="002F7F77" w:rsidTr="002F7F77">
        <w:trPr>
          <w:trHeight w:val="300"/>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Výsledok hospodárenia z finančnej činnosti</w:t>
            </w:r>
          </w:p>
        </w:tc>
        <w:tc>
          <w:tcPr>
            <w:tcW w:w="94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46</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-12</w:t>
            </w:r>
          </w:p>
        </w:tc>
        <w:tc>
          <w:tcPr>
            <w:tcW w:w="960" w:type="dxa"/>
            <w:tcBorders>
              <w:top w:val="nil"/>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-13</w:t>
            </w:r>
          </w:p>
        </w:tc>
        <w:tc>
          <w:tcPr>
            <w:tcW w:w="960" w:type="dxa"/>
            <w:tcBorders>
              <w:top w:val="nil"/>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1</w:t>
            </w:r>
          </w:p>
        </w:tc>
      </w:tr>
      <w:tr w:rsidR="002F7F77" w:rsidRPr="002F7F77" w:rsidTr="002F7F77">
        <w:trPr>
          <w:trHeight w:val="300"/>
        </w:trPr>
        <w:tc>
          <w:tcPr>
            <w:tcW w:w="5100" w:type="dxa"/>
            <w:tcBorders>
              <w:top w:val="nil"/>
              <w:left w:val="single" w:sz="8" w:space="0" w:color="auto"/>
              <w:bottom w:val="nil"/>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Výsledok hospodárenia z bežnej činnosti pred zdanením</w:t>
            </w:r>
          </w:p>
        </w:tc>
        <w:tc>
          <w:tcPr>
            <w:tcW w:w="94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47</w:t>
            </w:r>
          </w:p>
        </w:tc>
        <w:tc>
          <w:tcPr>
            <w:tcW w:w="96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402</w:t>
            </w:r>
          </w:p>
        </w:tc>
        <w:tc>
          <w:tcPr>
            <w:tcW w:w="96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321</w:t>
            </w:r>
          </w:p>
        </w:tc>
        <w:tc>
          <w:tcPr>
            <w:tcW w:w="960" w:type="dxa"/>
            <w:tcBorders>
              <w:top w:val="nil"/>
              <w:left w:val="nil"/>
              <w:bottom w:val="nil"/>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81</w:t>
            </w:r>
          </w:p>
        </w:tc>
      </w:tr>
      <w:tr w:rsidR="002F7F77" w:rsidRPr="002F7F77" w:rsidTr="002F7F77">
        <w:trPr>
          <w:trHeight w:val="300"/>
        </w:trPr>
        <w:tc>
          <w:tcPr>
            <w:tcW w:w="5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Daň z príjmov z bežnej činnosti</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48</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87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51</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36</w:t>
            </w:r>
          </w:p>
        </w:tc>
      </w:tr>
      <w:tr w:rsidR="002F7F77" w:rsidRPr="002F7F77" w:rsidTr="002F7F77">
        <w:trPr>
          <w:trHeight w:val="300"/>
        </w:trPr>
        <w:tc>
          <w:tcPr>
            <w:tcW w:w="5100" w:type="dxa"/>
            <w:tcBorders>
              <w:top w:val="nil"/>
              <w:left w:val="single" w:sz="8" w:space="0" w:color="auto"/>
              <w:bottom w:val="nil"/>
              <w:right w:val="single" w:sz="4" w:space="0" w:color="auto"/>
            </w:tcBorders>
            <w:shd w:val="clear" w:color="auto" w:fill="auto"/>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Mimoriadne výnosy</w:t>
            </w:r>
          </w:p>
        </w:tc>
        <w:tc>
          <w:tcPr>
            <w:tcW w:w="94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52</w:t>
            </w:r>
          </w:p>
        </w:tc>
        <w:tc>
          <w:tcPr>
            <w:tcW w:w="96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c>
          <w:tcPr>
            <w:tcW w:w="960" w:type="dxa"/>
            <w:tcBorders>
              <w:top w:val="nil"/>
              <w:left w:val="nil"/>
              <w:bottom w:val="nil"/>
              <w:right w:val="single" w:sz="4"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c>
          <w:tcPr>
            <w:tcW w:w="960" w:type="dxa"/>
            <w:tcBorders>
              <w:top w:val="nil"/>
              <w:left w:val="nil"/>
              <w:bottom w:val="nil"/>
              <w:right w:val="single" w:sz="8" w:space="0" w:color="auto"/>
            </w:tcBorders>
            <w:shd w:val="clear" w:color="auto" w:fill="auto"/>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0</w:t>
            </w:r>
          </w:p>
        </w:tc>
      </w:tr>
      <w:tr w:rsidR="002F7F77" w:rsidRPr="002F7F77" w:rsidTr="002F7F77">
        <w:trPr>
          <w:trHeight w:val="315"/>
        </w:trPr>
        <w:tc>
          <w:tcPr>
            <w:tcW w:w="5100" w:type="dxa"/>
            <w:tcBorders>
              <w:top w:val="single" w:sz="4" w:space="0" w:color="auto"/>
              <w:left w:val="single" w:sz="8" w:space="0" w:color="auto"/>
              <w:bottom w:val="single" w:sz="8" w:space="0" w:color="auto"/>
              <w:right w:val="single" w:sz="4" w:space="0" w:color="auto"/>
            </w:tcBorders>
            <w:shd w:val="clear" w:color="000000" w:fill="FFFF00"/>
            <w:noWrap/>
            <w:vAlign w:val="bottom"/>
            <w:hideMark/>
          </w:tcPr>
          <w:p w:rsidR="002F7F77" w:rsidRPr="002F7F77" w:rsidRDefault="002F7F77" w:rsidP="002F7F77">
            <w:pPr>
              <w:spacing w:after="0" w:line="240" w:lineRule="auto"/>
              <w:rPr>
                <w:rFonts w:ascii="Times New Roman" w:eastAsia="Times New Roman" w:hAnsi="Times New Roman" w:cs="Times New Roman"/>
                <w:color w:val="000000"/>
              </w:rPr>
            </w:pPr>
            <w:r w:rsidRPr="002F7F77">
              <w:rPr>
                <w:rFonts w:ascii="Times New Roman" w:eastAsia="Times New Roman" w:hAnsi="Times New Roman" w:cs="Times New Roman"/>
                <w:color w:val="000000"/>
              </w:rPr>
              <w:t>Výsledok hospodárenia za účt.obdobie po zdanení</w:t>
            </w:r>
          </w:p>
        </w:tc>
        <w:tc>
          <w:tcPr>
            <w:tcW w:w="940" w:type="dxa"/>
            <w:tcBorders>
              <w:top w:val="single" w:sz="4" w:space="0" w:color="auto"/>
              <w:left w:val="nil"/>
              <w:bottom w:val="single" w:sz="8"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center"/>
              <w:rPr>
                <w:rFonts w:ascii="Times New Roman" w:eastAsia="Times New Roman" w:hAnsi="Times New Roman" w:cs="Times New Roman"/>
                <w:color w:val="000000"/>
              </w:rPr>
            </w:pPr>
            <w:r w:rsidRPr="002F7F77">
              <w:rPr>
                <w:rFonts w:ascii="Times New Roman" w:eastAsia="Times New Roman" w:hAnsi="Times New Roman" w:cs="Times New Roman"/>
                <w:color w:val="000000"/>
              </w:rPr>
              <w:t>61</w:t>
            </w:r>
          </w:p>
        </w:tc>
        <w:tc>
          <w:tcPr>
            <w:tcW w:w="960" w:type="dxa"/>
            <w:tcBorders>
              <w:top w:val="single" w:sz="4" w:space="0" w:color="auto"/>
              <w:left w:val="nil"/>
              <w:bottom w:val="single" w:sz="8"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315</w:t>
            </w:r>
          </w:p>
        </w:tc>
        <w:tc>
          <w:tcPr>
            <w:tcW w:w="960" w:type="dxa"/>
            <w:tcBorders>
              <w:top w:val="single" w:sz="4" w:space="0" w:color="auto"/>
              <w:left w:val="nil"/>
              <w:bottom w:val="single" w:sz="8" w:space="0" w:color="auto"/>
              <w:right w:val="single" w:sz="4"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270</w:t>
            </w:r>
          </w:p>
        </w:tc>
        <w:tc>
          <w:tcPr>
            <w:tcW w:w="960" w:type="dxa"/>
            <w:tcBorders>
              <w:top w:val="single" w:sz="4" w:space="0" w:color="auto"/>
              <w:left w:val="nil"/>
              <w:bottom w:val="single" w:sz="8" w:space="0" w:color="auto"/>
              <w:right w:val="single" w:sz="8" w:space="0" w:color="auto"/>
            </w:tcBorders>
            <w:shd w:val="clear" w:color="000000" w:fill="FFFF00"/>
            <w:noWrap/>
            <w:vAlign w:val="bottom"/>
            <w:hideMark/>
          </w:tcPr>
          <w:p w:rsidR="002F7F77" w:rsidRPr="002F7F77" w:rsidRDefault="002F7F77" w:rsidP="002F7F77">
            <w:pPr>
              <w:spacing w:after="0" w:line="240" w:lineRule="auto"/>
              <w:jc w:val="right"/>
              <w:rPr>
                <w:rFonts w:ascii="Times New Roman" w:eastAsia="Times New Roman" w:hAnsi="Times New Roman" w:cs="Times New Roman"/>
                <w:color w:val="000000"/>
              </w:rPr>
            </w:pPr>
            <w:r w:rsidRPr="002F7F77">
              <w:rPr>
                <w:rFonts w:ascii="Times New Roman" w:eastAsia="Times New Roman" w:hAnsi="Times New Roman" w:cs="Times New Roman"/>
                <w:color w:val="000000"/>
              </w:rPr>
              <w:t>45</w:t>
            </w:r>
          </w:p>
        </w:tc>
      </w:tr>
    </w:tbl>
    <w:p w:rsidR="002F7F77" w:rsidRPr="00F82F84" w:rsidRDefault="002F7F77" w:rsidP="00E35FA0">
      <w:pPr>
        <w:spacing w:after="0" w:line="240" w:lineRule="auto"/>
        <w:jc w:val="both"/>
        <w:rPr>
          <w:rFonts w:ascii="Times New Roman" w:hAnsi="Times New Roman" w:cs="Times New Roman"/>
          <w:sz w:val="24"/>
          <w:szCs w:val="24"/>
        </w:rPr>
      </w:pPr>
    </w:p>
    <w:sectPr w:rsidR="002F7F77" w:rsidRPr="00F82F84" w:rsidSect="009F126D">
      <w:headerReference w:type="default" r:id="rId22"/>
      <w:footerReference w:type="default" r:id="rId23"/>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3B04" w:rsidRDefault="00663B04" w:rsidP="009F126D">
      <w:pPr>
        <w:spacing w:after="0" w:line="240" w:lineRule="auto"/>
      </w:pPr>
      <w:r>
        <w:separator/>
      </w:r>
    </w:p>
  </w:endnote>
  <w:endnote w:type="continuationSeparator" w:id="0">
    <w:p w:rsidR="00663B04" w:rsidRDefault="00663B04" w:rsidP="009F12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690898"/>
      <w:docPartObj>
        <w:docPartGallery w:val="Page Numbers (Bottom of Page)"/>
        <w:docPartUnique/>
      </w:docPartObj>
    </w:sdtPr>
    <w:sdtContent>
      <w:p w:rsidR="003431C6" w:rsidRDefault="003431C6">
        <w:pPr>
          <w:pStyle w:val="Pta"/>
          <w:jc w:val="center"/>
        </w:pPr>
        <w:r>
          <w:rPr>
            <w:lang w:eastAsia="en-US"/>
          </w:rPr>
        </w:r>
        <w:r>
          <w:pict>
            <v:group id="_x0000_s4104" style="width:32.95pt;height:17.45pt;mso-position-horizontal-relative:char;mso-position-vertical-relative:line" coordorigin="5351,739" coordsize="659,349">
              <v:shapetype id="_x0000_t202" coordsize="21600,21600" o:spt="202" path="m,l,21600r21600,l21600,xe">
                <v:stroke joinstyle="miter"/>
                <v:path gradientshapeok="t" o:connecttype="rect"/>
              </v:shapetype>
              <v:shape id="_x0000_s4105" type="#_x0000_t202" style="position:absolute;left:5351;top:800;width:659;height:288;v-text-anchor:middle" filled="f" stroked="f">
                <v:textbox style="mso-next-textbox:#_x0000_s4105" inset="0,0,0,0">
                  <w:txbxContent>
                    <w:p w:rsidR="003431C6" w:rsidRDefault="003431C6">
                      <w:pPr>
                        <w:jc w:val="center"/>
                        <w:rPr>
                          <w:szCs w:val="18"/>
                        </w:rPr>
                      </w:pPr>
                      <w:fldSimple w:instr=" PAGE    \* MERGEFORMAT ">
                        <w:r w:rsidRPr="003431C6">
                          <w:rPr>
                            <w:i/>
                            <w:noProof/>
                            <w:sz w:val="18"/>
                            <w:szCs w:val="18"/>
                          </w:rPr>
                          <w:t>2</w:t>
                        </w:r>
                      </w:fldSimple>
                    </w:p>
                  </w:txbxContent>
                </v:textbox>
              </v:shape>
              <v:group id="_x0000_s4106" style="position:absolute;left:5494;top:739;width:372;height:72" coordorigin="5486,739" coordsize="372,72">
                <v:oval id="_x0000_s4107" style="position:absolute;left:5486;top:739;width:72;height:72" fillcolor="#7ba0cd [2420]" stroked="f"/>
                <v:oval id="_x0000_s4108" style="position:absolute;left:5636;top:739;width:72;height:72" fillcolor="#7ba0cd [2420]" stroked="f"/>
                <v:oval id="_x0000_s4109" style="position:absolute;left:5786;top:739;width:72;height:72" fillcolor="#7ba0cd [2420]" stroked="f"/>
              </v:group>
              <w10:wrap type="none" anchorx="margin" anchory="page"/>
              <w10:anchorlock/>
            </v:group>
          </w:pict>
        </w:r>
      </w:p>
    </w:sdtContent>
  </w:sdt>
  <w:p w:rsidR="00945667" w:rsidRDefault="0094566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3B04" w:rsidRDefault="00663B04" w:rsidP="009F126D">
      <w:pPr>
        <w:spacing w:after="0" w:line="240" w:lineRule="auto"/>
      </w:pPr>
      <w:r>
        <w:separator/>
      </w:r>
    </w:p>
  </w:footnote>
  <w:footnote w:type="continuationSeparator" w:id="0">
    <w:p w:rsidR="00663B04" w:rsidRDefault="00663B04" w:rsidP="009F126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i/>
        <w:sz w:val="16"/>
        <w:szCs w:val="16"/>
      </w:rPr>
      <w:alias w:val="Nadpis"/>
      <w:id w:val="77738743"/>
      <w:placeholder>
        <w:docPart w:val="C9B59DB9D2EA4663AD58321E817897DD"/>
      </w:placeholder>
      <w:dataBinding w:prefixMappings="xmlns:ns0='http://schemas.openxmlformats.org/package/2006/metadata/core-properties' xmlns:ns1='http://purl.org/dc/elements/1.1/'" w:xpath="/ns0:coreProperties[1]/ns1:title[1]" w:storeItemID="{6C3C8BC8-F283-45AE-878A-BAB7291924A1}"/>
      <w:text/>
    </w:sdtPr>
    <w:sdtContent>
      <w:p w:rsidR="00945667" w:rsidRDefault="00945667">
        <w:pPr>
          <w:pStyle w:val="Hlavika"/>
          <w:pBdr>
            <w:bottom w:val="thickThinSmallGap" w:sz="24" w:space="1" w:color="622423" w:themeColor="accent2" w:themeShade="7F"/>
          </w:pBdr>
          <w:jc w:val="center"/>
          <w:rPr>
            <w:rFonts w:asciiTheme="majorHAnsi" w:eastAsiaTheme="majorEastAsia" w:hAnsiTheme="majorHAnsi" w:cstheme="majorBidi"/>
            <w:sz w:val="32"/>
            <w:szCs w:val="32"/>
          </w:rPr>
        </w:pPr>
        <w:r w:rsidRPr="002F7F77">
          <w:rPr>
            <w:rFonts w:asciiTheme="majorHAnsi" w:eastAsiaTheme="majorEastAsia" w:hAnsiTheme="majorHAnsi" w:cstheme="majorBidi"/>
            <w:i/>
            <w:sz w:val="16"/>
            <w:szCs w:val="16"/>
          </w:rPr>
          <w:t>Výročná  správa SP.Plast, s.r.o., Partizánske za rok 2013</w:t>
        </w:r>
      </w:p>
    </w:sdtContent>
  </w:sdt>
  <w:p w:rsidR="00945667" w:rsidRDefault="0094566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9B4D85"/>
    <w:multiLevelType w:val="hybridMultilevel"/>
    <w:tmpl w:val="852EC53A"/>
    <w:lvl w:ilvl="0" w:tplc="9A1A597C">
      <w:start w:val="1"/>
      <w:numFmt w:val="decimal"/>
      <w:lvlText w:val="%1."/>
      <w:lvlJc w:val="left"/>
      <w:pPr>
        <w:ind w:left="2490" w:hanging="360"/>
      </w:pPr>
      <w:rPr>
        <w:rFonts w:hint="default"/>
      </w:rPr>
    </w:lvl>
    <w:lvl w:ilvl="1" w:tplc="041B0019" w:tentative="1">
      <w:start w:val="1"/>
      <w:numFmt w:val="lowerLetter"/>
      <w:lvlText w:val="%2."/>
      <w:lvlJc w:val="left"/>
      <w:pPr>
        <w:ind w:left="3210" w:hanging="360"/>
      </w:pPr>
    </w:lvl>
    <w:lvl w:ilvl="2" w:tplc="041B001B" w:tentative="1">
      <w:start w:val="1"/>
      <w:numFmt w:val="lowerRoman"/>
      <w:lvlText w:val="%3."/>
      <w:lvlJc w:val="right"/>
      <w:pPr>
        <w:ind w:left="3930" w:hanging="180"/>
      </w:pPr>
    </w:lvl>
    <w:lvl w:ilvl="3" w:tplc="041B000F" w:tentative="1">
      <w:start w:val="1"/>
      <w:numFmt w:val="decimal"/>
      <w:lvlText w:val="%4."/>
      <w:lvlJc w:val="left"/>
      <w:pPr>
        <w:ind w:left="4650" w:hanging="360"/>
      </w:pPr>
    </w:lvl>
    <w:lvl w:ilvl="4" w:tplc="041B0019" w:tentative="1">
      <w:start w:val="1"/>
      <w:numFmt w:val="lowerLetter"/>
      <w:lvlText w:val="%5."/>
      <w:lvlJc w:val="left"/>
      <w:pPr>
        <w:ind w:left="5370" w:hanging="360"/>
      </w:pPr>
    </w:lvl>
    <w:lvl w:ilvl="5" w:tplc="041B001B" w:tentative="1">
      <w:start w:val="1"/>
      <w:numFmt w:val="lowerRoman"/>
      <w:lvlText w:val="%6."/>
      <w:lvlJc w:val="right"/>
      <w:pPr>
        <w:ind w:left="6090" w:hanging="180"/>
      </w:pPr>
    </w:lvl>
    <w:lvl w:ilvl="6" w:tplc="041B000F" w:tentative="1">
      <w:start w:val="1"/>
      <w:numFmt w:val="decimal"/>
      <w:lvlText w:val="%7."/>
      <w:lvlJc w:val="left"/>
      <w:pPr>
        <w:ind w:left="6810" w:hanging="360"/>
      </w:pPr>
    </w:lvl>
    <w:lvl w:ilvl="7" w:tplc="041B0019" w:tentative="1">
      <w:start w:val="1"/>
      <w:numFmt w:val="lowerLetter"/>
      <w:lvlText w:val="%8."/>
      <w:lvlJc w:val="left"/>
      <w:pPr>
        <w:ind w:left="7530" w:hanging="360"/>
      </w:pPr>
    </w:lvl>
    <w:lvl w:ilvl="8" w:tplc="041B001B" w:tentative="1">
      <w:start w:val="1"/>
      <w:numFmt w:val="lowerRoman"/>
      <w:lvlText w:val="%9."/>
      <w:lvlJc w:val="right"/>
      <w:pPr>
        <w:ind w:left="8250" w:hanging="180"/>
      </w:pPr>
    </w:lvl>
  </w:abstractNum>
  <w:abstractNum w:abstractNumId="1">
    <w:nsid w:val="2F2D7AFB"/>
    <w:multiLevelType w:val="hybridMultilevel"/>
    <w:tmpl w:val="FFFC07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93658D5"/>
    <w:multiLevelType w:val="hybridMultilevel"/>
    <w:tmpl w:val="70DAE2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4F0B2DC5"/>
    <w:multiLevelType w:val="hybridMultilevel"/>
    <w:tmpl w:val="6442D4F2"/>
    <w:lvl w:ilvl="0" w:tplc="9D1A7ED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9"/>
  <w:proofState w:spelling="clean" w:grammar="clean"/>
  <w:defaultTabStop w:val="708"/>
  <w:hyphenationZone w:val="425"/>
  <w:characterSpacingControl w:val="doNotCompress"/>
  <w:hdrShapeDefaults>
    <o:shapedefaults v:ext="edit" spidmax="4110"/>
    <o:shapelayout v:ext="edit">
      <o:idmap v:ext="edit" data="4"/>
    </o:shapelayout>
  </w:hdrShapeDefaults>
  <w:footnotePr>
    <w:footnote w:id="-1"/>
    <w:footnote w:id="0"/>
  </w:footnotePr>
  <w:endnotePr>
    <w:endnote w:id="-1"/>
    <w:endnote w:id="0"/>
  </w:endnotePr>
  <w:compat>
    <w:useFELayout/>
  </w:compat>
  <w:rsids>
    <w:rsidRoot w:val="00E60DC9"/>
    <w:rsid w:val="00036882"/>
    <w:rsid w:val="000713B3"/>
    <w:rsid w:val="00161EF0"/>
    <w:rsid w:val="00192501"/>
    <w:rsid w:val="00251D27"/>
    <w:rsid w:val="0026708D"/>
    <w:rsid w:val="002C6082"/>
    <w:rsid w:val="002F7F77"/>
    <w:rsid w:val="003431C6"/>
    <w:rsid w:val="00381086"/>
    <w:rsid w:val="003C00A3"/>
    <w:rsid w:val="003C5D8C"/>
    <w:rsid w:val="004B6A60"/>
    <w:rsid w:val="00577D24"/>
    <w:rsid w:val="005B1124"/>
    <w:rsid w:val="005F05F2"/>
    <w:rsid w:val="00634F96"/>
    <w:rsid w:val="00663B04"/>
    <w:rsid w:val="006954F2"/>
    <w:rsid w:val="00703CAC"/>
    <w:rsid w:val="00731035"/>
    <w:rsid w:val="00830F62"/>
    <w:rsid w:val="008B32A6"/>
    <w:rsid w:val="008C7E6A"/>
    <w:rsid w:val="00945667"/>
    <w:rsid w:val="00954160"/>
    <w:rsid w:val="009F126D"/>
    <w:rsid w:val="009F6970"/>
    <w:rsid w:val="00A4524B"/>
    <w:rsid w:val="00AE543B"/>
    <w:rsid w:val="00B735A4"/>
    <w:rsid w:val="00C334D2"/>
    <w:rsid w:val="00CF1774"/>
    <w:rsid w:val="00E35FA0"/>
    <w:rsid w:val="00E60DC9"/>
    <w:rsid w:val="00F82F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1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77D24"/>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954F2"/>
    <w:pPr>
      <w:ind w:left="720"/>
      <w:contextualSpacing/>
    </w:pPr>
  </w:style>
  <w:style w:type="character" w:customStyle="1" w:styleId="st">
    <w:name w:val="st"/>
    <w:basedOn w:val="Predvolenpsmoodseku"/>
    <w:rsid w:val="009F6970"/>
  </w:style>
  <w:style w:type="paragraph" w:styleId="Hlavika">
    <w:name w:val="header"/>
    <w:basedOn w:val="Normlny"/>
    <w:link w:val="HlavikaChar"/>
    <w:uiPriority w:val="99"/>
    <w:unhideWhenUsed/>
    <w:rsid w:val="009F126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126D"/>
  </w:style>
  <w:style w:type="paragraph" w:styleId="Pta">
    <w:name w:val="footer"/>
    <w:basedOn w:val="Normlny"/>
    <w:link w:val="PtaChar"/>
    <w:uiPriority w:val="99"/>
    <w:unhideWhenUsed/>
    <w:rsid w:val="009F126D"/>
    <w:pPr>
      <w:tabs>
        <w:tab w:val="center" w:pos="4536"/>
        <w:tab w:val="right" w:pos="9072"/>
      </w:tabs>
      <w:spacing w:after="0" w:line="240" w:lineRule="auto"/>
    </w:pPr>
  </w:style>
  <w:style w:type="character" w:customStyle="1" w:styleId="PtaChar">
    <w:name w:val="Päta Char"/>
    <w:basedOn w:val="Predvolenpsmoodseku"/>
    <w:link w:val="Pta"/>
    <w:uiPriority w:val="99"/>
    <w:rsid w:val="009F126D"/>
  </w:style>
  <w:style w:type="paragraph" w:styleId="Textbubliny">
    <w:name w:val="Balloon Text"/>
    <w:basedOn w:val="Normlny"/>
    <w:link w:val="TextbublinyChar"/>
    <w:uiPriority w:val="99"/>
    <w:semiHidden/>
    <w:unhideWhenUsed/>
    <w:rsid w:val="002F7F7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F7F77"/>
    <w:rPr>
      <w:rFonts w:ascii="Tahoma" w:hAnsi="Tahoma" w:cs="Tahoma"/>
      <w:sz w:val="16"/>
      <w:szCs w:val="16"/>
    </w:rPr>
  </w:style>
  <w:style w:type="paragraph" w:styleId="Zkladntext">
    <w:name w:val="Body Text"/>
    <w:basedOn w:val="Normlny"/>
    <w:link w:val="ZkladntextChar"/>
    <w:rsid w:val="00703CAC"/>
    <w:pPr>
      <w:tabs>
        <w:tab w:val="left" w:pos="-1440"/>
        <w:tab w:val="left" w:pos="-720"/>
        <w:tab w:val="left" w:pos="0"/>
        <w:tab w:val="left" w:pos="497"/>
        <w:tab w:val="left" w:pos="720"/>
      </w:tabs>
      <w:suppressAutoHyphens/>
      <w:overflowPunct w:val="0"/>
      <w:autoSpaceDE w:val="0"/>
      <w:autoSpaceDN w:val="0"/>
      <w:adjustRightInd w:val="0"/>
      <w:spacing w:after="0" w:line="274" w:lineRule="auto"/>
      <w:jc w:val="both"/>
      <w:textAlignment w:val="baseline"/>
    </w:pPr>
    <w:rPr>
      <w:rFonts w:ascii="CG Times" w:eastAsia="Times New Roman" w:hAnsi="CG Times" w:cs="Times New Roman"/>
      <w:spacing w:val="-3"/>
      <w:sz w:val="24"/>
      <w:szCs w:val="20"/>
      <w:lang w:val="es-ES_tradnl" w:eastAsia="es-ES"/>
    </w:rPr>
  </w:style>
  <w:style w:type="character" w:customStyle="1" w:styleId="ZkladntextChar">
    <w:name w:val="Základný text Char"/>
    <w:basedOn w:val="Predvolenpsmoodseku"/>
    <w:link w:val="Zkladntext"/>
    <w:rsid w:val="00703CAC"/>
    <w:rPr>
      <w:rFonts w:ascii="CG Times" w:eastAsia="Times New Roman" w:hAnsi="CG Times" w:cs="Times New Roman"/>
      <w:spacing w:val="-3"/>
      <w:sz w:val="24"/>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54F2"/>
    <w:pPr>
      <w:ind w:left="720"/>
      <w:contextualSpacing/>
    </w:pPr>
  </w:style>
  <w:style w:type="character" w:customStyle="1" w:styleId="st">
    <w:name w:val="st"/>
    <w:basedOn w:val="DefaultParagraphFont"/>
    <w:rsid w:val="009F6970"/>
  </w:style>
  <w:style w:type="paragraph" w:styleId="Header">
    <w:name w:val="header"/>
    <w:basedOn w:val="Normal"/>
    <w:link w:val="HeaderChar"/>
    <w:uiPriority w:val="99"/>
    <w:unhideWhenUsed/>
    <w:rsid w:val="009F126D"/>
    <w:pPr>
      <w:tabs>
        <w:tab w:val="center" w:pos="4536"/>
        <w:tab w:val="right" w:pos="9072"/>
      </w:tabs>
      <w:spacing w:after="0" w:line="240" w:lineRule="auto"/>
    </w:pPr>
  </w:style>
  <w:style w:type="character" w:customStyle="1" w:styleId="HeaderChar">
    <w:name w:val="Header Char"/>
    <w:basedOn w:val="DefaultParagraphFont"/>
    <w:link w:val="Header"/>
    <w:uiPriority w:val="99"/>
    <w:rsid w:val="009F126D"/>
  </w:style>
  <w:style w:type="paragraph" w:styleId="Footer">
    <w:name w:val="footer"/>
    <w:basedOn w:val="Normal"/>
    <w:link w:val="FooterChar"/>
    <w:uiPriority w:val="99"/>
    <w:unhideWhenUsed/>
    <w:rsid w:val="009F126D"/>
    <w:pPr>
      <w:tabs>
        <w:tab w:val="center" w:pos="4536"/>
        <w:tab w:val="right" w:pos="9072"/>
      </w:tabs>
      <w:spacing w:after="0" w:line="240" w:lineRule="auto"/>
    </w:pPr>
  </w:style>
  <w:style w:type="character" w:customStyle="1" w:styleId="FooterChar">
    <w:name w:val="Footer Char"/>
    <w:basedOn w:val="DefaultParagraphFont"/>
    <w:link w:val="Footer"/>
    <w:uiPriority w:val="99"/>
    <w:rsid w:val="009F126D"/>
  </w:style>
  <w:style w:type="paragraph" w:styleId="BalloonText">
    <w:name w:val="Balloon Text"/>
    <w:basedOn w:val="Normal"/>
    <w:link w:val="BalloonTextChar"/>
    <w:uiPriority w:val="99"/>
    <w:semiHidden/>
    <w:unhideWhenUsed/>
    <w:rsid w:val="002F7F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7F77"/>
    <w:rPr>
      <w:rFonts w:ascii="Tahoma" w:hAnsi="Tahoma" w:cs="Tahoma"/>
      <w:sz w:val="16"/>
      <w:szCs w:val="16"/>
    </w:rPr>
  </w:style>
  <w:style w:type="paragraph" w:styleId="BodyText">
    <w:name w:val="Body Text"/>
    <w:basedOn w:val="Normal"/>
    <w:link w:val="BodyTextChar"/>
    <w:rsid w:val="00703CAC"/>
    <w:pPr>
      <w:tabs>
        <w:tab w:val="left" w:pos="-1440"/>
        <w:tab w:val="left" w:pos="-720"/>
        <w:tab w:val="left" w:pos="0"/>
        <w:tab w:val="left" w:pos="497"/>
        <w:tab w:val="left" w:pos="720"/>
      </w:tabs>
      <w:suppressAutoHyphens/>
      <w:overflowPunct w:val="0"/>
      <w:autoSpaceDE w:val="0"/>
      <w:autoSpaceDN w:val="0"/>
      <w:adjustRightInd w:val="0"/>
      <w:spacing w:after="0" w:line="274" w:lineRule="auto"/>
      <w:jc w:val="both"/>
      <w:textAlignment w:val="baseline"/>
    </w:pPr>
    <w:rPr>
      <w:rFonts w:ascii="CG Times" w:eastAsia="Times New Roman" w:hAnsi="CG Times" w:cs="Times New Roman"/>
      <w:spacing w:val="-3"/>
      <w:sz w:val="24"/>
      <w:szCs w:val="20"/>
      <w:lang w:val="es-ES_tradnl" w:eastAsia="es-ES"/>
    </w:rPr>
  </w:style>
  <w:style w:type="character" w:customStyle="1" w:styleId="BodyTextChar">
    <w:name w:val="Body Text Char"/>
    <w:basedOn w:val="DefaultParagraphFont"/>
    <w:link w:val="BodyText"/>
    <w:rsid w:val="00703CAC"/>
    <w:rPr>
      <w:rFonts w:ascii="CG Times" w:eastAsia="Times New Roman" w:hAnsi="CG Times" w:cs="Times New Roman"/>
      <w:spacing w:val="-3"/>
      <w:sz w:val="24"/>
      <w:szCs w:val="20"/>
      <w:lang w:val="es-ES_tradnl" w:eastAsia="es-ES"/>
    </w:rPr>
  </w:style>
</w:styles>
</file>

<file path=word/webSettings.xml><?xml version="1.0" encoding="utf-8"?>
<w:webSettings xmlns:r="http://schemas.openxmlformats.org/officeDocument/2006/relationships" xmlns:w="http://schemas.openxmlformats.org/wordprocessingml/2006/main">
  <w:divs>
    <w:div w:id="321272958">
      <w:bodyDiv w:val="1"/>
      <w:marLeft w:val="0"/>
      <w:marRight w:val="0"/>
      <w:marTop w:val="0"/>
      <w:marBottom w:val="0"/>
      <w:divBdr>
        <w:top w:val="none" w:sz="0" w:space="0" w:color="auto"/>
        <w:left w:val="none" w:sz="0" w:space="0" w:color="auto"/>
        <w:bottom w:val="none" w:sz="0" w:space="0" w:color="auto"/>
        <w:right w:val="none" w:sz="0" w:space="0" w:color="auto"/>
      </w:divBdr>
    </w:div>
    <w:div w:id="431899110">
      <w:bodyDiv w:val="1"/>
      <w:marLeft w:val="0"/>
      <w:marRight w:val="0"/>
      <w:marTop w:val="0"/>
      <w:marBottom w:val="0"/>
      <w:divBdr>
        <w:top w:val="none" w:sz="0" w:space="0" w:color="auto"/>
        <w:left w:val="none" w:sz="0" w:space="0" w:color="auto"/>
        <w:bottom w:val="none" w:sz="0" w:space="0" w:color="auto"/>
        <w:right w:val="none" w:sz="0" w:space="0" w:color="auto"/>
      </w:divBdr>
    </w:div>
    <w:div w:id="465393962">
      <w:bodyDiv w:val="1"/>
      <w:marLeft w:val="0"/>
      <w:marRight w:val="0"/>
      <w:marTop w:val="0"/>
      <w:marBottom w:val="0"/>
      <w:divBdr>
        <w:top w:val="none" w:sz="0" w:space="0" w:color="auto"/>
        <w:left w:val="none" w:sz="0" w:space="0" w:color="auto"/>
        <w:bottom w:val="none" w:sz="0" w:space="0" w:color="auto"/>
        <w:right w:val="none" w:sz="0" w:space="0" w:color="auto"/>
      </w:divBdr>
    </w:div>
    <w:div w:id="551117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 Id="rId27"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9B59DB9D2EA4663AD58321E817897DD"/>
        <w:category>
          <w:name w:val="Všeobecné"/>
          <w:gallery w:val="placeholder"/>
        </w:category>
        <w:types>
          <w:type w:val="bbPlcHdr"/>
        </w:types>
        <w:behaviors>
          <w:behavior w:val="content"/>
        </w:behaviors>
        <w:guid w:val="{1F80B81A-11D1-408A-9085-3ED8F0185055}"/>
      </w:docPartPr>
      <w:docPartBody>
        <w:p w:rsidR="002C4DB7" w:rsidRDefault="002C4DB7" w:rsidP="002C4DB7">
          <w:pPr>
            <w:pStyle w:val="C9B59DB9D2EA4663AD58321E817897DD"/>
          </w:pPr>
          <w:r>
            <w:rPr>
              <w:rFonts w:asciiTheme="majorHAnsi" w:eastAsiaTheme="majorEastAsia" w:hAnsiTheme="majorHAnsi" w:cstheme="majorBidi"/>
              <w:sz w:val="32"/>
              <w:szCs w:val="32"/>
            </w:rPr>
            <w:t>[Zadajte nadpis dokumentu]</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C4DB7"/>
    <w:rsid w:val="00061BC4"/>
    <w:rsid w:val="002C4DB7"/>
    <w:rsid w:val="002E59EC"/>
    <w:rsid w:val="006C144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C144A"/>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9B59DB9D2EA4663AD58321E817897DD">
    <w:name w:val="C9B59DB9D2EA4663AD58321E817897DD"/>
    <w:rsid w:val="002C4DB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500167-CE3F-42F0-A43B-C02A49AF8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1510</Words>
  <Characters>8611</Characters>
  <Application>Microsoft Office Word</Application>
  <DocSecurity>0</DocSecurity>
  <Lines>71</Lines>
  <Paragraphs>20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Výročná  správa SP.Plast, s.r.o., Partizánske za rok 2013</vt:lpstr>
      <vt:lpstr>Výročná  správa SP.Plast, s.r.o., Partizánske za rok 2013</vt:lpstr>
    </vt:vector>
  </TitlesOfParts>
  <Company>Microsoft</Company>
  <LinksUpToDate>false</LinksUpToDate>
  <CharactersWithSpaces>10101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SP.Plast, s.r.o., Partizánske za rok 2013</dc:title>
  <dc:creator>Majka CHUDA</dc:creator>
  <cp:lastModifiedBy>Majka CHUDA</cp:lastModifiedBy>
  <cp:revision>3</cp:revision>
  <cp:lastPrinted>2014-09-22T07:37:00Z</cp:lastPrinted>
  <dcterms:created xsi:type="dcterms:W3CDTF">2014-09-23T08:31:00Z</dcterms:created>
  <dcterms:modified xsi:type="dcterms:W3CDTF">2014-09-24T07:14:00Z</dcterms:modified>
</cp:coreProperties>
</file>