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25159" w:rsidRDefault="00225159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225159" w:rsidRDefault="002251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mikro účtovnej závierke za rok 2014</w:t>
      </w:r>
    </w:p>
    <w:p w:rsidR="00225159" w:rsidRDefault="002251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rFonts w:ascii="Arial Narrow" w:hAnsi="Arial Narrow" w:cs="Arial Narrow"/>
          <w:b/>
          <w:bCs/>
        </w:rPr>
        <w:t>mikro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225159" w:rsidRDefault="0022515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225159" w:rsidRDefault="00225159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225159" w:rsidRDefault="00225159">
      <w:pPr>
        <w:pStyle w:val="Heading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225159" w:rsidRDefault="00225159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225159" w:rsidRDefault="00225159">
      <w:pPr>
        <w:spacing w:before="7" w:line="240" w:lineRule="exact"/>
        <w:jc w:val="both"/>
        <w:rPr>
          <w:rFonts w:ascii="Arial" w:hAnsi="Arial" w:cs="Arial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225159" w:rsidRDefault="0022515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225159">
        <w:tc>
          <w:tcPr>
            <w:tcW w:w="3085" w:type="dxa"/>
          </w:tcPr>
          <w:p w:rsidR="00225159" w:rsidRDefault="00225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25159" w:rsidRDefault="00225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Autobazár LPG s.r.o.</w:t>
            </w:r>
          </w:p>
        </w:tc>
      </w:tr>
      <w:tr w:rsidR="00225159">
        <w:tc>
          <w:tcPr>
            <w:tcW w:w="3085" w:type="dxa"/>
          </w:tcPr>
          <w:p w:rsidR="00225159" w:rsidRDefault="00225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25159" w:rsidRDefault="00225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47039736</w:t>
            </w:r>
          </w:p>
        </w:tc>
      </w:tr>
      <w:tr w:rsidR="00225159">
        <w:tc>
          <w:tcPr>
            <w:tcW w:w="3085" w:type="dxa"/>
          </w:tcPr>
          <w:p w:rsidR="00225159" w:rsidRDefault="00225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25159" w:rsidRDefault="0022515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Záriečie 117, 020 52  Záriečie</w:t>
            </w:r>
          </w:p>
        </w:tc>
      </w:tr>
    </w:tbl>
    <w:p w:rsidR="00225159" w:rsidRDefault="00225159">
      <w:pPr>
        <w:spacing w:line="260" w:lineRule="exact"/>
        <w:jc w:val="both"/>
        <w:rPr>
          <w:rFonts w:ascii="Arial" w:hAnsi="Arial" w:cs="Arial"/>
        </w:rPr>
      </w:pPr>
    </w:p>
    <w:p w:rsidR="00225159" w:rsidRDefault="00225159">
      <w:pPr>
        <w:spacing w:line="260" w:lineRule="exact"/>
        <w:jc w:val="both"/>
        <w:rPr>
          <w:rFonts w:ascii="Arial" w:hAnsi="Arial" w:cs="Arial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25159" w:rsidRDefault="00225159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pacing w:val="-5"/>
          <w:sz w:val="22"/>
          <w:szCs w:val="22"/>
        </w:rPr>
        <w:t xml:space="preserve">    Spoločnosť nie je v konsolidovanom celku.</w:t>
      </w:r>
    </w:p>
    <w:p w:rsidR="00225159" w:rsidRDefault="00225159">
      <w:pPr>
        <w:pStyle w:val="BodyText"/>
        <w:tabs>
          <w:tab w:val="left" w:pos="808"/>
        </w:tabs>
        <w:ind w:left="0" w:firstLine="0"/>
        <w:rPr>
          <w:rFonts w:ascii="Arial" w:hAnsi="Arial" w:cs="Arial"/>
          <w:i/>
          <w:iCs/>
          <w:spacing w:val="-5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25159" w:rsidRDefault="00225159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225159" w:rsidRDefault="00225159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225159">
        <w:tc>
          <w:tcPr>
            <w:tcW w:w="4219" w:type="dxa"/>
          </w:tcPr>
          <w:p w:rsidR="00225159" w:rsidRDefault="0022515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225159" w:rsidRDefault="0022515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225159" w:rsidRDefault="0022515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225159" w:rsidRDefault="00225159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225159">
        <w:tc>
          <w:tcPr>
            <w:tcW w:w="4219" w:type="dxa"/>
          </w:tcPr>
          <w:p w:rsidR="00225159" w:rsidRDefault="00225159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25159" w:rsidRDefault="0022515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25159" w:rsidRDefault="0022515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25159" w:rsidRDefault="00225159">
      <w:pPr>
        <w:spacing w:line="260" w:lineRule="exact"/>
        <w:jc w:val="both"/>
        <w:rPr>
          <w:rFonts w:ascii="Arial" w:hAnsi="Arial" w:cs="Arial"/>
        </w:rPr>
      </w:pPr>
    </w:p>
    <w:p w:rsidR="00225159" w:rsidRDefault="00225159">
      <w:pPr>
        <w:spacing w:before="1" w:line="280" w:lineRule="exact"/>
        <w:jc w:val="both"/>
        <w:rPr>
          <w:rFonts w:ascii="Arial" w:hAnsi="Arial" w:cs="Arial"/>
        </w:rPr>
      </w:pPr>
    </w:p>
    <w:p w:rsidR="00225159" w:rsidRDefault="00225159">
      <w:pPr>
        <w:pStyle w:val="Heading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225159" w:rsidRDefault="00225159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225159" w:rsidRDefault="00225159">
      <w:pPr>
        <w:spacing w:before="11" w:line="260" w:lineRule="exact"/>
        <w:jc w:val="both"/>
        <w:rPr>
          <w:rFonts w:ascii="Arial" w:hAnsi="Arial" w:cs="Arial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Účtovná závierka bola vypracovaná za predpokladu nepretržitého trvania účtovnej jednotky K zmenám účtovných zásad a metód nedošlo.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225159">
        <w:tc>
          <w:tcPr>
            <w:tcW w:w="4843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25159" w:rsidRDefault="00225159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Odpisový plán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žiadny majetok a preto nemá zostavený ani odpisový plán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Účtovné metódy a všeobecné zásady boli konzistentne aplikované počas celého účtovného obdobia. o nákladoch a výnosoch sa účtuje v momente vzniku, bez ohľadu na dátum úhrady, inkasa alebo vyrovnania iným spôsobom. Dodržuje sa zásada časovej a vecnej súvislosti nákladov a výnosov.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pacing w:val="-1"/>
          <w:sz w:val="22"/>
          <w:szCs w:val="22"/>
        </w:rPr>
        <w:t>Spoločnosť nemá obsahovú náplň</w:t>
      </w: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225159" w:rsidRDefault="00225159">
      <w:pPr>
        <w:spacing w:before="1" w:line="280" w:lineRule="exact"/>
        <w:jc w:val="both"/>
        <w:rPr>
          <w:rFonts w:ascii="Arial" w:hAnsi="Arial" w:cs="Arial"/>
        </w:rPr>
      </w:pPr>
    </w:p>
    <w:p w:rsidR="00225159" w:rsidRDefault="00225159">
      <w:pPr>
        <w:pStyle w:val="BodyText2"/>
      </w:pPr>
      <w:r>
        <w:t>Spoločnosť v roku 2014 neúčtovala o významných a nevýznamných chybách minulých účtovných období</w:t>
      </w:r>
    </w:p>
    <w:p w:rsidR="00225159" w:rsidRDefault="00225159">
      <w:pPr>
        <w:pStyle w:val="BodyText2"/>
      </w:pPr>
    </w:p>
    <w:p w:rsidR="00225159" w:rsidRDefault="00225159">
      <w:pPr>
        <w:spacing w:before="1" w:line="280" w:lineRule="exact"/>
        <w:jc w:val="both"/>
        <w:rPr>
          <w:rFonts w:ascii="Arial" w:hAnsi="Arial" w:cs="Arial"/>
        </w:rPr>
      </w:pPr>
    </w:p>
    <w:p w:rsidR="00225159" w:rsidRDefault="00225159">
      <w:pPr>
        <w:pStyle w:val="Heading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225159" w:rsidRDefault="00225159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225159" w:rsidRDefault="00225159">
      <w:pPr>
        <w:spacing w:before="11" w:line="260" w:lineRule="exact"/>
        <w:jc w:val="both"/>
        <w:rPr>
          <w:rFonts w:ascii="Arial" w:hAnsi="Arial" w:cs="Arial"/>
        </w:rPr>
      </w:pPr>
    </w:p>
    <w:p w:rsidR="00225159" w:rsidRDefault="00225159">
      <w:pPr>
        <w:pStyle w:val="Body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225159" w:rsidRDefault="00225159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 xml:space="preserve">Spoločnosť nemá účtované výnimočné výnosy a náklady. 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:rsidR="00225159" w:rsidRDefault="00225159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neeviduje dlhodobé záväzky s dobou splatnosti dlhšou ako päť rokov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numPr>
          <w:ilvl w:val="0"/>
          <w:numId w:val="9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225159" w:rsidRDefault="00225159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right="116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iCs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225159" w:rsidRDefault="00225159">
      <w:pPr>
        <w:pStyle w:val="Body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i/>
          <w:iCs/>
          <w:sz w:val="22"/>
          <w:szCs w:val="22"/>
        </w:rPr>
        <w:t>Spoločnosť nemá obsahovú náplň.</w:t>
      </w:r>
    </w:p>
    <w:sectPr w:rsidR="00225159" w:rsidSect="0022515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25159" w:rsidRDefault="002251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0">
    <w:p w:rsidR="00225159" w:rsidRDefault="002251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5159" w:rsidRDefault="00225159">
    <w:pPr>
      <w:spacing w:line="200" w:lineRule="exact"/>
      <w:rPr>
        <w:rFonts w:ascii="Times New Roman" w:hAnsi="Times New Roman" w:cs="Times New Roman"/>
        <w:sz w:val="20"/>
        <w:szCs w:val="20"/>
      </w:rPr>
    </w:pPr>
    <w:r>
      <w:rPr>
        <w:noProof/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6192;mso-position-horizontal-relative:page;mso-position-vertical-relative:page" filled="f" stroked="f">
          <v:textbox inset="0,0,0,0">
            <w:txbxContent>
              <w:p w:rsidR="00225159" w:rsidRDefault="00225159">
                <w:pPr>
                  <w:pStyle w:val="BodyText"/>
                  <w:spacing w:line="265" w:lineRule="exact"/>
                  <w:ind w:left="20" w:firstLine="0"/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>Str</w:t>
                </w:r>
                <w:r>
                  <w:rPr>
                    <w:rFonts w:ascii="Times New Roman" w:hAnsi="Times New Roman" w:cs="Times New Roman"/>
                    <w:spacing w:val="-2"/>
                  </w:rPr>
                  <w:t>a</w:t>
                </w:r>
                <w:r>
                  <w:rPr>
                    <w:rFonts w:ascii="Times New Roman" w:hAnsi="Times New Roman" w:cs="Times New Roman"/>
                  </w:rPr>
                  <w:t>na</w:t>
                </w:r>
                <w:r>
                  <w:rPr>
                    <w:rFonts w:ascii="Times New Roman" w:hAnsi="Times New Roman" w:cs="Times New Roman"/>
                    <w:spacing w:val="-1"/>
                  </w:rPr>
                  <w:t xml:space="preserve"> </w:t>
                </w:r>
                <w:r>
                  <w:rPr>
                    <w:rFonts w:ascii="Times New Roman" w:hAnsi="Times New Roman" w:cs="Times New Roman"/>
                  </w:rPr>
                  <w:fldChar w:fldCharType="begin"/>
                </w:r>
                <w:r>
                  <w:rPr>
                    <w:rFonts w:ascii="Times New Roman" w:hAnsi="Times New Roman" w:cs="Times New Roman"/>
                  </w:rPr>
                  <w:instrText xml:space="preserve"> PAGE </w:instrText>
                </w:r>
                <w:r>
                  <w:rPr>
                    <w:rFonts w:ascii="Times New Roman" w:hAnsi="Times New Roman" w:cs="Times New Roman"/>
                  </w:rPr>
                  <w:fldChar w:fldCharType="separate"/>
                </w:r>
                <w:r>
                  <w:rPr>
                    <w:rFonts w:ascii="Times New Roman" w:hAnsi="Times New Roman" w:cs="Times New Roman"/>
                    <w:noProof/>
                  </w:rPr>
                  <w:t>1</w:t>
                </w:r>
                <w:r>
                  <w:rPr>
                    <w:rFonts w:ascii="Times New Roman" w:hAnsi="Times New Roman"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25159" w:rsidRDefault="002251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0">
    <w:p w:rsidR="00225159" w:rsidRDefault="0022515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25159" w:rsidRDefault="00225159">
    <w:pPr>
      <w:pStyle w:val="Header"/>
      <w:rPr>
        <w:rFonts w:ascii="Times New Roman" w:hAnsi="Times New Roman" w:cs="Times New Roman"/>
      </w:rPr>
    </w:pPr>
  </w:p>
  <w:p w:rsidR="00225159" w:rsidRDefault="00225159">
    <w:pPr>
      <w:pStyle w:val="Header"/>
      <w:rPr>
        <w:rFonts w:ascii="Times New Roman" w:hAnsi="Times New Roman" w:cs="Times New Roman"/>
      </w:rPr>
    </w:pPr>
  </w:p>
  <w:p w:rsidR="00225159" w:rsidRDefault="00225159">
    <w:pPr>
      <w:pStyle w:val="Header"/>
      <w:rPr>
        <w:rFonts w:ascii="Times New Roman" w:hAnsi="Times New Roman" w:cs="Times New Roman"/>
      </w:rPr>
    </w:pPr>
  </w:p>
  <w:p w:rsidR="00225159" w:rsidRDefault="00225159">
    <w:pPr>
      <w:pStyle w:val="Body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ČO: 47039736</w:t>
    </w:r>
    <w:r>
      <w:rPr>
        <w:rFonts w:ascii="Arial" w:hAnsi="Arial" w:cs="Arial"/>
        <w:sz w:val="22"/>
        <w:szCs w:val="22"/>
        <w:bdr w:val="single" w:sz="4" w:space="0" w:color="auto"/>
      </w:rPr>
      <w:tab/>
      <w:t xml:space="preserve">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>Č: 2023704353</w:t>
    </w:r>
  </w:p>
  <w:p w:rsidR="00225159" w:rsidRDefault="00225159">
    <w:pPr>
      <w:pStyle w:val="Header"/>
      <w:rPr>
        <w:rFonts w:ascii="Times New Roman" w:hAnsi="Times New Roman" w:cs="Times New Roman"/>
        <w:sz w:val="24"/>
        <w:szCs w:val="24"/>
      </w:rPr>
    </w:pPr>
  </w:p>
  <w:p w:rsidR="00225159" w:rsidRDefault="00225159">
    <w:pPr>
      <w:pStyle w:val="Header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36AA63E2"/>
    <w:multiLevelType w:val="hybridMultilevel"/>
    <w:tmpl w:val="4B94E778"/>
    <w:lvl w:ilvl="0" w:tplc="77625FA2">
      <w:start w:val="1"/>
      <w:numFmt w:val="decimal"/>
      <w:lvlText w:val="%1."/>
      <w:lvlJc w:val="left"/>
      <w:pPr>
        <w:tabs>
          <w:tab w:val="num" w:pos="461"/>
        </w:tabs>
        <w:ind w:left="461" w:hanging="360"/>
      </w:pPr>
      <w:rPr>
        <w:rFonts w:ascii="Times New Roman" w:hAnsi="Times New Roman" w:cs="Times New Roman"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181"/>
        </w:tabs>
        <w:ind w:left="118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tabs>
          <w:tab w:val="num" w:pos="1901"/>
        </w:tabs>
        <w:ind w:left="190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621"/>
        </w:tabs>
        <w:ind w:left="262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tabs>
          <w:tab w:val="num" w:pos="3341"/>
        </w:tabs>
        <w:ind w:left="334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tabs>
          <w:tab w:val="num" w:pos="4061"/>
        </w:tabs>
        <w:ind w:left="406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4781"/>
        </w:tabs>
        <w:ind w:left="478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tabs>
          <w:tab w:val="num" w:pos="5501"/>
        </w:tabs>
        <w:ind w:left="550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tabs>
          <w:tab w:val="num" w:pos="6221"/>
        </w:tabs>
        <w:ind w:left="6221" w:hanging="180"/>
      </w:pPr>
      <w:rPr>
        <w:rFonts w:ascii="Times New Roman" w:hAnsi="Times New Roman" w:cs="Times New Roman"/>
      </w:rPr>
    </w:lvl>
  </w:abstractNum>
  <w:abstractNum w:abstractNumId="3">
    <w:nsid w:val="45632093"/>
    <w:multiLevelType w:val="hybridMultilevel"/>
    <w:tmpl w:val="1CD465C8"/>
    <w:lvl w:ilvl="0" w:tplc="EF845B26">
      <w:start w:val="2"/>
      <w:numFmt w:val="bullet"/>
      <w:lvlText w:val="-"/>
      <w:lvlJc w:val="left"/>
      <w:pPr>
        <w:tabs>
          <w:tab w:val="num" w:pos="461"/>
        </w:tabs>
        <w:ind w:left="461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181"/>
        </w:tabs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901"/>
        </w:tabs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21"/>
        </w:tabs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41"/>
        </w:tabs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61"/>
        </w:tabs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81"/>
        </w:tabs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501"/>
        </w:tabs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21"/>
        </w:tabs>
        <w:ind w:left="6221" w:hanging="360"/>
      </w:pPr>
      <w:rPr>
        <w:rFonts w:ascii="Wingdings" w:hAnsi="Wingdings" w:cs="Wingdings" w:hint="default"/>
      </w:rPr>
    </w:lvl>
  </w:abstractNum>
  <w:abstractNum w:abstractNumId="4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6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7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6"/>
  </w:num>
  <w:num w:numId="6">
    <w:abstractNumId w:val="4"/>
  </w:num>
  <w:num w:numId="7">
    <w:abstractNumId w:val="5"/>
  </w:num>
  <w:num w:numId="8">
    <w:abstractNumId w:val="2"/>
  </w:num>
  <w:num w:numId="9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25159"/>
    <w:rsid w:val="0022515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Body Text 2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widowControl w:val="0"/>
    </w:pPr>
    <w:rPr>
      <w:rFonts w:ascii="Calibri" w:hAnsi="Calibri" w:cs="Calibri"/>
      <w:lang w:val="sk-SK"/>
    </w:rPr>
  </w:style>
  <w:style w:type="paragraph" w:styleId="Heading1">
    <w:name w:val="heading 1"/>
    <w:basedOn w:val="Normal"/>
    <w:link w:val="Heading1Char"/>
    <w:uiPriority w:val="99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rPr>
      <w:rFonts w:ascii="Cambria" w:hAnsi="Cambria" w:cs="Cambria"/>
      <w:b/>
      <w:bCs/>
      <w:kern w:val="32"/>
      <w:sz w:val="32"/>
      <w:szCs w:val="32"/>
      <w:lang w:val="sk-SK"/>
    </w:rPr>
  </w:style>
  <w:style w:type="paragraph" w:styleId="BodyText">
    <w:name w:val="Body Text"/>
    <w:basedOn w:val="Normal"/>
    <w:link w:val="BodyTextChar"/>
    <w:uiPriority w:val="99"/>
    <w:pPr>
      <w:ind w:left="668" w:hanging="567"/>
    </w:pPr>
    <w:rPr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99"/>
    <w:rPr>
      <w:rFonts w:ascii="Calibri" w:hAnsi="Calibri" w:cs="Calibri"/>
      <w:lang w:val="sk-SK"/>
    </w:rPr>
  </w:style>
  <w:style w:type="paragraph" w:styleId="ListParagraph">
    <w:name w:val="List Paragraph"/>
    <w:basedOn w:val="Normal"/>
    <w:uiPriority w:val="99"/>
    <w:qFormat/>
  </w:style>
  <w:style w:type="paragraph" w:customStyle="1" w:styleId="TableParagraph">
    <w:name w:val="Table Paragraph"/>
    <w:basedOn w:val="Normal"/>
    <w:uiPriority w:val="99"/>
  </w:style>
  <w:style w:type="paragraph" w:styleId="Header">
    <w:name w:val="header"/>
    <w:basedOn w:val="Normal"/>
    <w:link w:val="HeaderChar"/>
    <w:uiPriority w:val="99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Pr>
      <w:rFonts w:ascii="Times New Roman" w:hAnsi="Times New Roman" w:cs="Times New Roman"/>
    </w:rPr>
  </w:style>
  <w:style w:type="paragraph" w:styleId="Footer">
    <w:name w:val="footer"/>
    <w:basedOn w:val="Normal"/>
    <w:link w:val="FooterChar"/>
    <w:uiPriority w:val="99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Pr>
      <w:rFonts w:ascii="Times New Roman" w:hAnsi="Times New Roman" w:cs="Times New Roman"/>
    </w:rPr>
  </w:style>
  <w:style w:type="paragraph" w:styleId="BodyText2">
    <w:name w:val="Body Text 2"/>
    <w:basedOn w:val="Normal"/>
    <w:link w:val="BodyText2Char"/>
    <w:uiPriority w:val="99"/>
    <w:pPr>
      <w:spacing w:before="1" w:line="280" w:lineRule="exact"/>
      <w:jc w:val="both"/>
    </w:pPr>
    <w:rPr>
      <w:rFonts w:ascii="Arial" w:hAnsi="Arial" w:cs="Arial"/>
      <w:i/>
      <w:iCs/>
    </w:rPr>
  </w:style>
  <w:style w:type="character" w:customStyle="1" w:styleId="BodyText2Char">
    <w:name w:val="Body Text 2 Char"/>
    <w:basedOn w:val="DefaultParagraphFont"/>
    <w:link w:val="BodyText2"/>
    <w:uiPriority w:val="99"/>
    <w:rPr>
      <w:rFonts w:ascii="Calibri" w:hAnsi="Calibri" w:cs="Calibri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7</TotalTime>
  <Pages>4</Pages>
  <Words>1120</Words>
  <Characters>6387</Characters>
  <Application>Microsoft Office Outlook</Application>
  <DocSecurity>0</DocSecurity>
  <Lines>0</Lines>
  <Paragraphs>0</Paragraphs>
  <ScaleCrop>false</ScaleCrop>
  <Company>PKF Slovensko s.r.o.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XP</cp:lastModifiedBy>
  <cp:revision>2</cp:revision>
  <dcterms:created xsi:type="dcterms:W3CDTF">2015-02-26T19:52:00Z</dcterms:created>
  <dcterms:modified xsi:type="dcterms:W3CDTF">2015-02-26T19:52:00Z</dcterms:modified>
</cp:coreProperties>
</file>