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B9155B" w:rsidRDefault="00B9155B" w:rsidP="00D833BB">
      <w:pPr>
        <w:pStyle w:val="Nadpis2"/>
        <w:spacing w:before="0" w:after="0"/>
        <w:rPr>
          <w:rFonts w:ascii="Arial" w:hAnsi="Arial"/>
        </w:rPr>
      </w:pPr>
      <w:r w:rsidRPr="0090211C">
        <w:rPr>
          <w:rFonts w:ascii="Arial" w:hAnsi="Arial"/>
        </w:rPr>
        <w:t>Obchodné meno a sídlo Spoločnosti:</w:t>
      </w:r>
    </w:p>
    <w:p w:rsidR="00B9155B" w:rsidRPr="00AD11E7" w:rsidRDefault="00B9155B" w:rsidP="00AD11E7"/>
    <w:p w:rsidR="00574774" w:rsidRDefault="00574774" w:rsidP="00574774">
      <w:pPr>
        <w:pStyle w:val="odstavec"/>
        <w:rPr>
          <w:rStyle w:val="ra"/>
        </w:rPr>
      </w:pPr>
      <w:r>
        <w:rPr>
          <w:rStyle w:val="ra"/>
        </w:rPr>
        <w:t xml:space="preserve">HPS HORVATH PERSONAL SERVICE, s.r.o. </w:t>
      </w:r>
    </w:p>
    <w:p w:rsidR="00574774" w:rsidRDefault="00574774" w:rsidP="00574774">
      <w:pPr>
        <w:pStyle w:val="odstavec"/>
        <w:rPr>
          <w:rStyle w:val="ra"/>
        </w:rPr>
      </w:pPr>
      <w:r>
        <w:rPr>
          <w:rStyle w:val="ra"/>
        </w:rPr>
        <w:t>Vajnorská 137</w:t>
      </w:r>
      <w:r>
        <w:br/>
      </w:r>
      <w:r>
        <w:rPr>
          <w:rStyle w:val="ra"/>
        </w:rPr>
        <w:t>Bratislava 831 04</w:t>
      </w:r>
    </w:p>
    <w:p w:rsidR="00574774" w:rsidRDefault="00574774" w:rsidP="00574774">
      <w:pPr>
        <w:pStyle w:val="odstavec"/>
        <w:rPr>
          <w:rStyle w:val="ra"/>
        </w:rPr>
      </w:pPr>
    </w:p>
    <w:p w:rsidR="00574774" w:rsidRPr="0090211C" w:rsidRDefault="00574774" w:rsidP="00574774">
      <w:pPr>
        <w:pStyle w:val="odstavec"/>
      </w:pPr>
    </w:p>
    <w:p w:rsidR="00574774" w:rsidRPr="0090211C" w:rsidRDefault="00574774" w:rsidP="00574774">
      <w:pPr>
        <w:pStyle w:val="odstavec"/>
      </w:pPr>
      <w:r w:rsidRPr="0090211C">
        <w:t xml:space="preserve">Spoločnosť </w:t>
      </w:r>
      <w:r>
        <w:rPr>
          <w:rStyle w:val="ra"/>
        </w:rPr>
        <w:t xml:space="preserve">HPS HORVATH PERSONAL SERVICE, s.r.o.  </w:t>
      </w:r>
      <w:r w:rsidRPr="0090211C">
        <w:t>(ďalej len „Spoločnos</w:t>
      </w:r>
      <w:r>
        <w:t>ť“) bola založená 9. júna 2005</w:t>
      </w:r>
      <w:r w:rsidRPr="0090211C">
        <w:t xml:space="preserve"> a do obchodného registra bola zapísaná </w:t>
      </w:r>
      <w:r>
        <w:t>25. júna 2005</w:t>
      </w:r>
      <w:r w:rsidRPr="0090211C">
        <w:t xml:space="preserve"> (Obchodný register Okresného súdu </w:t>
      </w:r>
      <w:r>
        <w:t>Brat</w:t>
      </w:r>
      <w:r>
        <w:t>i</w:t>
      </w:r>
      <w:r>
        <w:t>slava I</w:t>
      </w:r>
      <w:r w:rsidRPr="0090211C">
        <w:t xml:space="preserve">, oddiel </w:t>
      </w:r>
      <w:proofErr w:type="spellStart"/>
      <w:r w:rsidRPr="0090211C">
        <w:t>Sro</w:t>
      </w:r>
      <w:proofErr w:type="spellEnd"/>
      <w:r w:rsidRPr="0090211C">
        <w:t>, vložka č.</w:t>
      </w:r>
      <w:r w:rsidRPr="007449AB">
        <w:t xml:space="preserve"> </w:t>
      </w:r>
      <w:r>
        <w:rPr>
          <w:rStyle w:val="ra"/>
        </w:rPr>
        <w:t>36598</w:t>
      </w:r>
      <w:r w:rsidRPr="007A2E45">
        <w:rPr>
          <w:rStyle w:val="ra"/>
        </w:rPr>
        <w:t>/B</w:t>
      </w:r>
      <w:r w:rsidRPr="0090211C">
        <w:t>).</w:t>
      </w:r>
    </w:p>
    <w:p w:rsidR="00574774" w:rsidRPr="0090211C" w:rsidRDefault="00574774" w:rsidP="00574774">
      <w:pPr>
        <w:pStyle w:val="odstavec"/>
      </w:pPr>
    </w:p>
    <w:p w:rsidR="00B9155B" w:rsidRPr="0090211C" w:rsidRDefault="00B9155B" w:rsidP="00AD11E7">
      <w:pPr>
        <w:pStyle w:val="odstavec"/>
      </w:pPr>
    </w:p>
    <w:p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rsidR="00B9155B" w:rsidRPr="008F4AED" w:rsidRDefault="00B9155B" w:rsidP="00AD11E7"/>
    <w:p w:rsidR="00B9155B" w:rsidRPr="0090211C" w:rsidRDefault="00B9155B" w:rsidP="00AD11E7">
      <w:pPr>
        <w:rPr>
          <w:rFonts w:ascii="Arial" w:hAnsi="Arial" w:cs="Arial"/>
          <w:sz w:val="20"/>
          <w:szCs w:val="20"/>
        </w:rPr>
      </w:pPr>
      <w:r>
        <w:rPr>
          <w:rFonts w:ascii="Arial" w:hAnsi="Arial" w:cs="Arial"/>
          <w:sz w:val="20"/>
          <w:szCs w:val="20"/>
        </w:rPr>
        <w:t xml:space="preserve">sprostredkovateľská činnosť v oblasti služieb, obchodu  a výroby, </w:t>
      </w:r>
    </w:p>
    <w:p w:rsidR="00B9155B" w:rsidRDefault="00B9155B" w:rsidP="00AD11E7">
      <w:pPr>
        <w:pStyle w:val="odstavec"/>
        <w:rPr>
          <w:rStyle w:val="ra"/>
        </w:rPr>
      </w:pPr>
      <w:r>
        <w:rPr>
          <w:rStyle w:val="ra"/>
        </w:rPr>
        <w:t>kúpa tovaru na účely jeho predaja konečnému spotrebiteľovi (maloobchod)</w:t>
      </w:r>
    </w:p>
    <w:p w:rsidR="00B9155B" w:rsidRDefault="00B9155B" w:rsidP="00AD11E7">
      <w:pPr>
        <w:pStyle w:val="odstavec"/>
        <w:rPr>
          <w:rStyle w:val="ra"/>
        </w:rPr>
      </w:pPr>
      <w:r>
        <w:rPr>
          <w:rStyle w:val="ra"/>
        </w:rPr>
        <w:t xml:space="preserve">kúpa tovaru na účely jeho predaja iným prevádzkovateľom živnosti (veľkoobchod) </w:t>
      </w:r>
    </w:p>
    <w:p w:rsidR="00B9155B" w:rsidRDefault="00B9155B" w:rsidP="00AD11E7">
      <w:pPr>
        <w:pStyle w:val="odstavec"/>
        <w:rPr>
          <w:rStyle w:val="ra"/>
        </w:rPr>
      </w:pPr>
      <w:r>
        <w:rPr>
          <w:rStyle w:val="ra"/>
        </w:rPr>
        <w:t>organizovanie kurzov, školení a seminárov</w:t>
      </w:r>
    </w:p>
    <w:p w:rsidR="00B9155B" w:rsidRDefault="00B9155B" w:rsidP="00AD11E7">
      <w:pPr>
        <w:pStyle w:val="odstavec"/>
      </w:pPr>
      <w:r>
        <w:rPr>
          <w:rStyle w:val="ra"/>
        </w:rPr>
        <w:t xml:space="preserve">administratívne práce </w:t>
      </w:r>
      <w:r>
        <w:t xml:space="preserve"> </w:t>
      </w:r>
    </w:p>
    <w:p w:rsidR="00B9155B" w:rsidRPr="0090211C" w:rsidRDefault="00B9155B" w:rsidP="004669A2">
      <w:pPr>
        <w:pStyle w:val="odstavec"/>
      </w:pPr>
      <w:r>
        <w:t xml:space="preserve">    </w:t>
      </w:r>
    </w:p>
    <w:p w:rsidR="00B9155B" w:rsidRPr="0090211C" w:rsidRDefault="00B9155B" w:rsidP="00D833BB">
      <w:pPr>
        <w:pStyle w:val="Nadpis2"/>
        <w:spacing w:before="0" w:after="0"/>
        <w:rPr>
          <w:rFonts w:ascii="Arial" w:hAnsi="Arial"/>
        </w:rPr>
      </w:pPr>
      <w:r w:rsidRPr="0090211C">
        <w:rPr>
          <w:rFonts w:ascii="Arial" w:hAnsi="Arial"/>
        </w:rPr>
        <w:t>Neobmedzené ručenie</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Spoločnosť nie je neobmedzene ručiacim spoločníkom v iných účtovných jednotkách.</w: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Priemerný počet zamestnancov</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Údaje o počte zamestnancov za bežné účtovné obdobie a bezprostredne predchádzajúce účtovné obd</w:t>
      </w:r>
      <w:r w:rsidRPr="0090211C">
        <w:t>o</w:t>
      </w:r>
      <w:r w:rsidRPr="0090211C">
        <w:t>bie sú uvedené v nasledujúcom prehľade:</w:t>
      </w:r>
      <w:r>
        <w:t>[]</w:t>
      </w:r>
    </w:p>
    <w:p w:rsidR="00B9155B" w:rsidRPr="0090211C" w:rsidRDefault="00B9155B" w:rsidP="004669A2">
      <w:pPr>
        <w:pStyle w:val="odstavec"/>
      </w:pPr>
    </w:p>
    <w:bookmarkStart w:id="0" w:name="_MON_1487060395"/>
    <w:bookmarkEnd w:id="0"/>
    <w:p w:rsidR="00B9155B" w:rsidRPr="0090211C" w:rsidRDefault="00574774" w:rsidP="004669A2">
      <w:pPr>
        <w:pStyle w:val="odstavec"/>
      </w:pPr>
      <w:r w:rsidRPr="0090211C">
        <w:object w:dxaOrig="9267"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63.5pt;height:69.75pt" o:ole="">
            <v:imagedata r:id="rId7" o:title=""/>
          </v:shape>
          <o:OLEObject Type="Embed" ProgID="Excel.Sheet.12" ShapeID="_x0000_i1034" DrawAspect="Content" ObjectID="_1487060941"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t xml:space="preserve">2014 je zostavená podľa </w:t>
      </w:r>
      <w:r w:rsidRPr="00C0408E">
        <w:rPr>
          <w:b/>
        </w:rPr>
        <w:t xml:space="preserve">opatrenia MF/14464/2013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t>2014</w:t>
      </w:r>
      <w:r w:rsidRPr="0090211C">
        <w:t xml:space="preserve"> do 31. decembra </w:t>
      </w:r>
      <w:r>
        <w:t>2014</w:t>
      </w:r>
      <w:r w:rsidRPr="0090211C">
        <w:t>.</w:t>
      </w:r>
    </w:p>
    <w:p w:rsidR="00B9155B" w:rsidRPr="0090211C" w:rsidRDefault="00B9155B"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B9155B" w:rsidP="004669A2">
      <w:pPr>
        <w:pStyle w:val="odstavec"/>
      </w:pPr>
      <w:r>
        <w:t xml:space="preserve">Konateľ: </w:t>
      </w:r>
      <w:r>
        <w:tab/>
        <w:t>Eva Horváthova</w:t>
      </w:r>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Pr>
          <w:iCs/>
        </w:rPr>
        <w:t>2014</w:t>
      </w:r>
      <w:r w:rsidRPr="0090211C">
        <w:t>:</w:t>
      </w:r>
    </w:p>
    <w:bookmarkStart w:id="1" w:name="_MON_1487060512"/>
    <w:bookmarkEnd w:id="1"/>
    <w:p w:rsidR="00B9155B" w:rsidRPr="0090211C" w:rsidRDefault="00574774" w:rsidP="00CD2E1A">
      <w:pPr>
        <w:tabs>
          <w:tab w:val="left" w:pos="555"/>
        </w:tabs>
        <w:ind w:left="284"/>
        <w:rPr>
          <w:rFonts w:ascii="Arial" w:hAnsi="Arial" w:cs="Arial"/>
          <w:sz w:val="20"/>
          <w:szCs w:val="20"/>
        </w:rPr>
      </w:pPr>
      <w:r w:rsidRPr="0090211C">
        <w:rPr>
          <w:rFonts w:ascii="Arial" w:hAnsi="Arial" w:cs="Arial"/>
          <w:sz w:val="20"/>
          <w:szCs w:val="20"/>
        </w:rPr>
        <w:object w:dxaOrig="9919" w:dyaOrig="2839">
          <v:shape id="_x0000_i1041" type="#_x0000_t75" style="width:476.25pt;height:136.5pt" o:ole="">
            <v:imagedata r:id="rId9" o:title=""/>
          </v:shape>
          <o:OLEObject Type="Embed" ProgID="Excel.Sheet.12" ShapeID="_x0000_i1041" DrawAspect="Content" ObjectID="_1487060942"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bookmarkStart w:id="2" w:name="_GoBack"/>
      <w:bookmarkEnd w:id="2"/>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 xml:space="preserve">Účtovná závierka bola zostavená v zmysle opatrenia MF/14464/2013 – 74 pre </w:t>
      </w:r>
      <w:proofErr w:type="spellStart"/>
      <w:r w:rsidRPr="00C0408E">
        <w:rPr>
          <w:b/>
        </w:rPr>
        <w:t>mikro</w:t>
      </w:r>
      <w:proofErr w:type="spellEnd"/>
      <w:r w:rsidRPr="00C0408E">
        <w:rPr>
          <w:b/>
        </w:rPr>
        <w:t xml:space="preserve"> účtovné jedno</w:t>
      </w:r>
      <w:r w:rsidRPr="00C0408E">
        <w:rPr>
          <w:b/>
        </w:rPr>
        <w:t>t</w:t>
      </w:r>
      <w:r w:rsidRPr="00C0408E">
        <w:rPr>
          <w:b/>
        </w:rPr>
        <w: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w:t>
      </w:r>
      <w:r>
        <w:t>a</w:t>
      </w:r>
      <w:r>
        <w:t>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w:t>
      </w:r>
      <w:r>
        <w:t>k</w:t>
      </w:r>
      <w:r>
        <w:t>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Zásoby nakupované sa oceňujú obstarávacou cenou, ktorá zahrňuje cenu obstarania a náklady súvisiace s obstaraním (clo, prepravu, poistné, provízie a pod.) znížené o zľavy z ceny. Zľava z ceny poskytnutá </w:t>
      </w:r>
      <w:r w:rsidRPr="0090211C">
        <w:lastRenderedPageBreak/>
        <w:t>k už predaným alebo spotrebovaným zásobám sa účtuje ako zníženie nákladov na predané alebo spotr</w:t>
      </w:r>
      <w:r w:rsidRPr="0090211C">
        <w:t>e</w:t>
      </w:r>
      <w:r w:rsidRPr="0090211C">
        <w:t>bované zásoby. Spoločnosť účtuje o zásobách spôsobom A tak, ako to definujú postupy účtovania. Úb</w:t>
      </w:r>
      <w:r w:rsidRPr="0090211C">
        <w:t>y</w:t>
      </w:r>
      <w:r w:rsidRPr="0090211C">
        <w:t>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w:t>
      </w:r>
      <w:r w:rsidRPr="0090211C">
        <w:t>d</w:t>
      </w:r>
      <w:r w:rsidRPr="0090211C">
        <w:t>stavuje rozdiel medzi menovitou a súčasnou hodnotou pohľadávky. Súčasná hodnota pohľadávky sa poč</w:t>
      </w:r>
      <w:r w:rsidRPr="0090211C">
        <w:t>í</w:t>
      </w:r>
      <w:r w:rsidRPr="0090211C">
        <w:t>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w:t>
      </w:r>
      <w:r w:rsidRPr="0090211C">
        <w:t>d</w:t>
      </w:r>
      <w:r w:rsidRPr="0090211C">
        <w:t>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Tvorba rezervy sa účtuje na vecne príslušný nákladový účet, ku ktorému záväzok prislúcha. Použitie r</w:t>
      </w:r>
      <w:r w:rsidRPr="0090211C">
        <w:t>e</w:t>
      </w:r>
      <w:r w:rsidRPr="0090211C">
        <w:t>zervy sa účtuje na ťarchu vecne príslušného účtu rezerv so súvzťažným zápisom v prospech vecne pr</w:t>
      </w:r>
      <w:r w:rsidRPr="0090211C">
        <w:t>í</w:t>
      </w:r>
      <w:r w:rsidRPr="0090211C">
        <w:t xml:space="preserve">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w:t>
      </w:r>
      <w:r w:rsidRPr="0090211C">
        <w:t>z</w:t>
      </w:r>
      <w:r w:rsidRPr="0090211C">
        <w:t>ky v účtovníctve a v účtovnej závierke v tomto zistenom ocenení.</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Daň z príjmov sa účtuje do nákladov Spoločnosti v období vzniku daňovej povinnosti a v priloženom výk</w:t>
      </w:r>
      <w:r w:rsidRPr="0090211C">
        <w:t>a</w:t>
      </w:r>
      <w:r w:rsidRPr="0090211C">
        <w:t>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w:t>
      </w:r>
      <w:r w:rsidRPr="0090211C">
        <w:t>j</w:t>
      </w:r>
      <w:r w:rsidRPr="0090211C">
        <w:t xml:space="preserve">mov, ktoré Spoločnosť uhradila v priebehu roka. V prípade, že uhradené preddavky na daň z príjmu v </w:t>
      </w:r>
      <w:r w:rsidRPr="0090211C">
        <w:lastRenderedPageBreak/>
        <w:t>priebehu roka sú vyššie ako daňová povinnosť za tento rok, Spoločnosť vykazuje výslednú daňovú pohľ</w:t>
      </w:r>
      <w:r w:rsidRPr="0090211C">
        <w:t>a</w:t>
      </w:r>
      <w:r w:rsidRPr="0090211C">
        <w:t xml:space="preserve">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w:t>
      </w:r>
      <w:r w:rsidRPr="00C0408E">
        <w:t>a</w:t>
      </w:r>
      <w:r w:rsidRPr="00C0408E">
        <w:t>nie zásady vecnej a časovej súvislosti s účtovným obdobím len ak ide o významné sumy. O nevýzna</w:t>
      </w:r>
      <w:r w:rsidRPr="00C0408E">
        <w:t>m</w:t>
      </w:r>
      <w:r w:rsidRPr="00C0408E">
        <w:t>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Výnosy z predaja výrobkov sa vykazujú v momente prenosu rizika a vlastníctva výrobku, obvykle po d</w:t>
      </w:r>
      <w:r w:rsidRPr="0090211C">
        <w:t>o</w:t>
      </w:r>
      <w:r w:rsidRPr="0090211C">
        <w:t>dávke. Ak sa Spoločnosť zaviaže dopraviť výrobky na určité miesto, výnosy sa vykazujú v momente dor</w:t>
      </w:r>
      <w:r w:rsidRPr="0090211C">
        <w:t>u</w:t>
      </w:r>
      <w:r w:rsidRPr="0090211C">
        <w:t xml:space="preserve">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Výnosy sa vykazujú po odpočítaní dane z pridanej hodnoty, zliav a zrážok (rabaty, bonusy, skontá, dobr</w:t>
      </w:r>
      <w:r w:rsidRPr="0090211C">
        <w:t>o</w:t>
      </w:r>
      <w:r w:rsidRPr="0090211C">
        <w:t>pisy a pod.). Výnosy sa vykazujú v reálnej hodnote. Výnosové úroky sa účtujú na základe časového rozl</w:t>
      </w:r>
      <w:r w:rsidRPr="0090211C">
        <w:t>í</w:t>
      </w:r>
      <w:r w:rsidRPr="0090211C">
        <w:t xml:space="preserve">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w:t>
      </w:r>
      <w:r w:rsidRPr="0090211C">
        <w:t>e</w:t>
      </w:r>
      <w:r w:rsidRPr="0090211C">
        <w:t>denými v bežnom účtovnom období. Zmena v prezentácii porovnateľných údajov nemala dopad na celk</w:t>
      </w:r>
      <w:r w:rsidRPr="0090211C">
        <w:t>o</w:t>
      </w:r>
      <w:r w:rsidRPr="0090211C">
        <w:t>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A800F9">
        <w:rPr>
          <w:b w:val="0"/>
        </w:rPr>
        <w:t>v súvahe a ani žiadne podmi</w:t>
      </w:r>
      <w:r w:rsidRPr="00A800F9">
        <w:rPr>
          <w:b w:val="0"/>
        </w:rPr>
        <w:t>e</w:t>
      </w:r>
      <w:r w:rsidRPr="00A800F9">
        <w:rPr>
          <w:b w:val="0"/>
        </w:rPr>
        <w:t>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4" w:name="_MON_1487060652"/>
    <w:bookmarkEnd w:id="14"/>
    <w:p w:rsidR="00B9155B" w:rsidRPr="00307046" w:rsidRDefault="00574774" w:rsidP="00520F9A">
      <w:pPr>
        <w:pStyle w:val="Zkladntext"/>
      </w:pPr>
      <w:r w:rsidRPr="0090211C">
        <w:object w:dxaOrig="9409" w:dyaOrig="5899">
          <v:shape id="_x0000_i1055" type="#_x0000_t75" style="width:484.5pt;height:312.75pt" o:ole="">
            <v:imagedata r:id="rId11" o:title=""/>
          </v:shape>
          <o:OLEObject Type="Embed" ProgID="Excel.Sheet.12" ShapeID="_x0000_i1055" DrawAspect="Content" ObjectID="_1487060943" r:id="rId12"/>
        </w:object>
      </w:r>
      <w:r w:rsidR="00B9155B" w:rsidRPr="0090211C">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w:t>
      </w:r>
      <w:r>
        <w:t>č</w:t>
      </w:r>
      <w:r>
        <w:t>nosť voľne disponovať.</w:t>
      </w:r>
    </w:p>
    <w:p w:rsidR="00B9155B" w:rsidRPr="0090211C" w:rsidRDefault="00B9155B" w:rsidP="004669A2">
      <w:pPr>
        <w:pStyle w:val="odstavec"/>
      </w:pPr>
    </w:p>
    <w:p w:rsidR="00B9155B" w:rsidRPr="0090211C" w:rsidRDefault="00B9155B" w:rsidP="00343772">
      <w:pPr>
        <w:pStyle w:val="Nadpis1"/>
      </w:pPr>
      <w:bookmarkStart w:id="23" w:name="_MON_1389793648"/>
      <w:bookmarkStart w:id="24" w:name="_MON_1387601335"/>
      <w:bookmarkStart w:id="25" w:name="_MON_1389793515"/>
      <w:bookmarkEnd w:id="23"/>
      <w:bookmarkEnd w:id="24"/>
      <w:bookmarkEnd w:id="25"/>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574774" w:rsidP="002B24EA">
      <w:r>
        <w:t xml:space="preserve">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w:t>
      </w:r>
      <w:r w:rsidRPr="0090211C">
        <w:rPr>
          <w:rFonts w:cs="Arial"/>
        </w:rPr>
        <w:t>e</w:t>
      </w:r>
      <w:r w:rsidRPr="0090211C">
        <w:rPr>
          <w:rFonts w:cs="Arial"/>
        </w:rPr>
        <w:t>ná v nasledujúcej tabuľke:</w:t>
      </w:r>
    </w:p>
    <w:p w:rsidR="00B9155B" w:rsidRPr="0090211C" w:rsidRDefault="00B9155B" w:rsidP="004669A2">
      <w:pPr>
        <w:pStyle w:val="odstavec"/>
      </w:pPr>
    </w:p>
    <w:bookmarkStart w:id="26" w:name="_MON_1487060815"/>
    <w:bookmarkEnd w:id="26"/>
    <w:p w:rsidR="00B9155B" w:rsidRPr="0090211C" w:rsidRDefault="00574774" w:rsidP="00343772">
      <w:pPr>
        <w:tabs>
          <w:tab w:val="left" w:pos="555"/>
        </w:tabs>
        <w:ind w:left="284"/>
        <w:rPr>
          <w:rFonts w:ascii="Arial" w:hAnsi="Arial" w:cs="Arial"/>
          <w:sz w:val="20"/>
          <w:szCs w:val="20"/>
        </w:rPr>
      </w:pPr>
      <w:r w:rsidRPr="0090211C">
        <w:rPr>
          <w:rFonts w:ascii="Arial" w:hAnsi="Arial" w:cs="Arial"/>
          <w:sz w:val="20"/>
          <w:szCs w:val="20"/>
        </w:rPr>
        <w:object w:dxaOrig="8254" w:dyaOrig="2392">
          <v:shape id="_x0000_i1061" type="#_x0000_t75" style="width:412.5pt;height:116.25pt" o:ole="">
            <v:imagedata r:id="rId13" o:title=""/>
          </v:shape>
          <o:OLEObject Type="Embed" ProgID="Excel.Sheet.12" ShapeID="_x0000_i1061" DrawAspect="Content" ObjectID="_1487060944" r:id="rId14"/>
        </w:object>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vyplývajú z hlavných činností spoločnosti zapísaných v obchodnom registri. Sp</w:t>
      </w:r>
      <w:r>
        <w:t>o</w:t>
      </w:r>
      <w:r>
        <w:t xml:space="preserve">ločnosť nemala žiadne mimoriadne </w:t>
      </w:r>
      <w:proofErr w:type="spellStart"/>
      <w:r>
        <w:t>jednorázové</w:t>
      </w:r>
      <w:proofErr w:type="spellEnd"/>
      <w:r>
        <w:t xml:space="preserve">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t>4</w:t>
      </w:r>
      <w:r w:rsidRPr="0090211C">
        <w:t xml:space="preserve"> neevidovala záväzky z objed</w:t>
      </w:r>
      <w:r>
        <w:t xml:space="preserve">návok </w:t>
      </w:r>
      <w:proofErr w:type="spellStart"/>
      <w:r>
        <w:t>zazmluvnených</w:t>
      </w:r>
      <w:proofErr w:type="spellEnd"/>
      <w:r>
        <w:t xml:space="preserve"> v roku 2014 </w:t>
      </w:r>
      <w:r w:rsidRPr="0090211C">
        <w:t>s očakáva</w:t>
      </w:r>
      <w:r>
        <w:t>ným termínom dodania v roku 2015</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w:t>
      </w:r>
      <w:r w:rsidRPr="0090211C">
        <w:t>a</w:t>
      </w:r>
      <w:r w:rsidRPr="0090211C">
        <w:t>xou, existuje neistota v tom, ako ich budú daňové orgány aplikovať. Mieru tejto neistoty nie je možné kva</w:t>
      </w:r>
      <w:r w:rsidRPr="0090211C">
        <w:t>n</w:t>
      </w:r>
      <w:r w:rsidRPr="0090211C">
        <w:t>tifikovať a zanikne až potom, keď budú k dispozícii právne precedensy príp. oficiálne interpretácie príslu</w:t>
      </w:r>
      <w:r w:rsidRPr="0090211C">
        <w:t>š</w:t>
      </w:r>
      <w:r w:rsidRPr="0090211C">
        <w:t>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w:t>
      </w:r>
      <w:r w:rsidRPr="0090211C">
        <w:t>Á</w:t>
      </w:r>
      <w:r w:rsidRPr="0090211C">
        <w:t>VIERKA, DO DŇA JEJ ZOSTAVENIA</w:t>
      </w:r>
    </w:p>
    <w:p w:rsidR="00B9155B" w:rsidRPr="0090211C" w:rsidRDefault="00B9155B" w:rsidP="004669A2">
      <w:pPr>
        <w:pStyle w:val="odstavec"/>
      </w:pPr>
      <w:r w:rsidRPr="0090211C">
        <w:t xml:space="preserve">Po 31. decembri </w:t>
      </w:r>
      <w:r>
        <w:rPr>
          <w:iCs/>
        </w:rPr>
        <w:t>2014</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2014</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w:t>
      </w:r>
      <w:proofErr w:type="spellStart"/>
      <w:r w:rsidRPr="0090211C">
        <w:t>cash</w:t>
      </w:r>
      <w:proofErr w:type="spellEnd"/>
      <w:r w:rsidRPr="0090211C">
        <w:t>)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w:t>
      </w:r>
      <w:r w:rsidRPr="0090211C">
        <w:t>č</w:t>
      </w:r>
      <w:r w:rsidRPr="0090211C">
        <w:t xml:space="preserve">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w:t>
      </w:r>
      <w:proofErr w:type="spellStart"/>
      <w:r w:rsidRPr="0090211C">
        <w:t>cash</w:t>
      </w:r>
      <w:proofErr w:type="spellEnd"/>
      <w:r w:rsidRPr="0090211C">
        <w:t xml:space="preserve"> </w:t>
      </w:r>
      <w:proofErr w:type="spellStart"/>
      <w:r w:rsidRPr="0090211C">
        <w:t>equivalents</w:t>
      </w:r>
      <w:proofErr w:type="spellEnd"/>
      <w:r w:rsidRPr="0090211C">
        <w:t>) sa rozumie krátkodobý finančný majetok, ktorý je zam</w:t>
      </w:r>
      <w:r w:rsidRPr="0090211C">
        <w:t>e</w:t>
      </w:r>
      <w:r w:rsidRPr="0090211C">
        <w:t>niteľný za vopred známu sumu peňažných prostriedkov, pri ktorom nie je riziko výraznej zmeny jeho ho</w:t>
      </w:r>
      <w:r w:rsidRPr="0090211C">
        <w:t>d</w:t>
      </w:r>
      <w:r w:rsidRPr="0090211C">
        <w:t>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w:t>
      </w:r>
      <w:r w:rsidRPr="0090211C">
        <w:t>a</w:t>
      </w:r>
      <w:r w:rsidRPr="0090211C">
        <w:t>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9155B" w:rsidRDefault="00B9155B">
      <w:r>
        <w:separator/>
      </w:r>
    </w:p>
  </w:endnote>
  <w:endnote w:type="continuationSeparator" w:id="0">
    <w:p w:rsidR="00B9155B" w:rsidRDefault="00B9155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9155B" w:rsidRDefault="00B9155B">
      <w:r>
        <w:separator/>
      </w:r>
    </w:p>
  </w:footnote>
  <w:footnote w:type="continuationSeparator" w:id="0">
    <w:p w:rsidR="00B9155B" w:rsidRDefault="00B9155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574774">
      <w:rPr>
        <w:rFonts w:ascii="Arial" w:hAnsi="Arial" w:cs="Arial"/>
        <w:sz w:val="18"/>
        <w:szCs w:val="18"/>
      </w:rPr>
      <w:t xml:space="preserve">                            </w:t>
    </w:r>
    <w:proofErr w:type="spellStart"/>
    <w:r w:rsidR="00574774">
      <w:rPr>
        <w:rFonts w:ascii="Arial" w:hAnsi="Arial" w:cs="Arial"/>
        <w:sz w:val="18"/>
        <w:szCs w:val="18"/>
      </w:rPr>
      <w:t>Dič</w:t>
    </w:r>
    <w:proofErr w:type="spellEnd"/>
    <w:r w:rsidR="00574774">
      <w:rPr>
        <w:rFonts w:ascii="Arial" w:hAnsi="Arial" w:cs="Arial"/>
        <w:sz w:val="18"/>
        <w:szCs w:val="18"/>
      </w:rPr>
      <w:t>: 2022033530</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4774"/>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0FB7"/>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r="http://schemas.openxmlformats.org/officeDocument/2006/relationships" xmlns:w="http://schemas.openxmlformats.org/wordprocessingml/2006/main">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Zo_it_programu_Microsoft_Office_Excel_2007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Zo_it_programu_Microsoft_Office_Excel_2007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Zo_it_programu_Microsoft_Office_Excel_2007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Zo_it_programu_Microsoft_Office_Excel_2007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6</Pages>
  <Words>1789</Words>
  <Characters>10203</Characters>
  <Application>Microsoft Office Word</Application>
  <DocSecurity>0</DocSecurity>
  <Lines>85</Lines>
  <Paragraphs>23</Paragraphs>
  <ScaleCrop>false</ScaleCrop>
  <Company>PwC Slovakia</Company>
  <LinksUpToDate>false</LinksUpToDate>
  <CharactersWithSpaces>11969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cp:lastModifiedBy>
  <cp:revision>2</cp:revision>
  <cp:lastPrinted>2011-11-30T12:19:00Z</cp:lastPrinted>
  <dcterms:created xsi:type="dcterms:W3CDTF">2015-03-05T10:42:00Z</dcterms:created>
  <dcterms:modified xsi:type="dcterms:W3CDTF">2015-03-05T10:42:00Z</dcterms:modified>
</cp:coreProperties>
</file>