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bookmarkStart w:id="0" w:name="_Toc530739894"/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:rsidR="0044382A" w:rsidRPr="00BF2623" w:rsidRDefault="0044382A" w:rsidP="00197CB4">
      <w:pPr>
        <w:pStyle w:val="Zkladntext"/>
        <w:ind w:left="0"/>
      </w:pPr>
    </w:p>
    <w:p w:rsidR="00084EA7" w:rsidRPr="00BF2623" w:rsidRDefault="008F2687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 w:rsidRPr="00BF2623">
        <w:rPr>
          <w:u w:val="single"/>
        </w:rPr>
        <w:t>Názov právnickej osoby:</w:t>
      </w:r>
      <w:r w:rsidRPr="00BF2623">
        <w:t xml:space="preserve"> </w:t>
      </w:r>
      <w:r w:rsidR="000E2EFF">
        <w:t>HBF s.r.o.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proofErr w:type="spellStart"/>
      <w:r w:rsidR="000E2EFF">
        <w:rPr>
          <w:rFonts w:ascii="Times New Roman" w:hAnsi="Times New Roman" w:cs="Times New Roman"/>
          <w:b/>
          <w:sz w:val="18"/>
          <w:szCs w:val="18"/>
          <w:lang w:eastAsia="en-US"/>
        </w:rPr>
        <w:t>Kutlíkova</w:t>
      </w:r>
      <w:proofErr w:type="spellEnd"/>
      <w:r w:rsidR="000E2EFF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5, 821 08  Bratislava</w:t>
      </w:r>
    </w:p>
    <w:p w:rsidR="002D35F1" w:rsidRPr="00BF2623" w:rsidRDefault="002D35F1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</w:p>
    <w:p w:rsidR="002D35F1" w:rsidRPr="00BF2623" w:rsidRDefault="002D35F1" w:rsidP="002D35F1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  <w:lang w:eastAsia="en-US"/>
        </w:rPr>
      </w:pPr>
    </w:p>
    <w:p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:rsidR="00B36EFB" w:rsidRPr="00B36EFB" w:rsidRDefault="00B36EFB" w:rsidP="00B36EFB">
      <w:pPr>
        <w:pStyle w:val="Nadpis2"/>
        <w:numPr>
          <w:ilvl w:val="0"/>
          <w:numId w:val="0"/>
        </w:numPr>
        <w:ind w:left="284"/>
        <w:jc w:val="both"/>
      </w:pPr>
      <w:r>
        <w:rPr>
          <w:b w:val="0"/>
        </w:rPr>
        <w:t xml:space="preserve">Priemerný prepočítaný počet zamestnancov k 31.12. je </w:t>
      </w:r>
      <w:r w:rsidR="000E2EFF">
        <w:rPr>
          <w:b w:val="0"/>
        </w:rPr>
        <w:t>1</w:t>
      </w:r>
      <w:r>
        <w:rPr>
          <w:b w:val="0"/>
        </w:rPr>
        <w:t xml:space="preserve"> zamestnancov.</w:t>
      </w:r>
    </w:p>
    <w:p w:rsidR="000B09A0" w:rsidRPr="00BF2623" w:rsidRDefault="000B09A0" w:rsidP="000B09A0">
      <w:pPr>
        <w:pStyle w:val="Zkladntext"/>
        <w:ind w:left="284"/>
      </w:pPr>
    </w:p>
    <w:p w:rsidR="00926EC3" w:rsidRPr="00BF2623" w:rsidRDefault="00926EC3" w:rsidP="000B09A0">
      <w:pPr>
        <w:pStyle w:val="Zkladntext"/>
        <w:ind w:left="284"/>
      </w:pPr>
    </w:p>
    <w:p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:rsidR="00084EA7" w:rsidRPr="00BF2623" w:rsidRDefault="00084EA7" w:rsidP="00084EA7">
      <w:pPr>
        <w:pStyle w:val="Zkladntext"/>
      </w:pPr>
    </w:p>
    <w:p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:rsidR="00084EA7" w:rsidRPr="00BF2623" w:rsidRDefault="00084EA7" w:rsidP="000B09A0">
      <w:pPr>
        <w:pStyle w:val="Zkladntext"/>
        <w:ind w:left="284"/>
      </w:pPr>
      <w:r w:rsidRPr="00BF2623">
        <w:t xml:space="preserve">Účtovná závierka bola zostavená za predpokladu, že </w:t>
      </w:r>
      <w:r w:rsidR="002E39FA" w:rsidRPr="00BF2623">
        <w:t>s</w:t>
      </w:r>
      <w:r w:rsidRPr="00BF2623">
        <w:t>poločnosť bude nepretržite pokračovať vo svojej činnosti (going concern).</w:t>
      </w:r>
    </w:p>
    <w:p w:rsidR="00084EA7" w:rsidRPr="00BF2623" w:rsidRDefault="00084EA7" w:rsidP="000B09A0">
      <w:pPr>
        <w:pStyle w:val="Zkladntext"/>
        <w:ind w:left="284"/>
      </w:pPr>
    </w:p>
    <w:p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0F697D" w:rsidRPr="00AC7913" w:rsidTr="00C04058">
        <w:tc>
          <w:tcPr>
            <w:tcW w:w="9072" w:type="dxa"/>
            <w:gridSpan w:val="2"/>
            <w:vAlign w:val="center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:rsidTr="000F697D">
        <w:tc>
          <w:tcPr>
            <w:tcW w:w="8549" w:type="dxa"/>
            <w:vAlign w:val="center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1. 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2. zásoby s výnimkou zásob vytvorených vlastnou činnosťou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E2E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3. podiely na ZI obchodných spoločností,  cenné papiere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4. 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E2EFF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5. 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E2EFF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E2EF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:rsidTr="000F697D">
        <w:trPr>
          <w:trHeight w:val="282"/>
        </w:trPr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6. záväzky pri ich prevzatí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9072" w:type="dxa"/>
            <w:gridSpan w:val="2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9072" w:type="dxa"/>
            <w:gridSpan w:val="2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:rsidTr="00C04058">
        <w:tc>
          <w:tcPr>
            <w:tcW w:w="8549" w:type="dxa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:rsidTr="00C04058">
        <w:tc>
          <w:tcPr>
            <w:tcW w:w="8549" w:type="dxa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:rsidTr="00C04058">
        <w:tc>
          <w:tcPr>
            <w:tcW w:w="8549" w:type="dxa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:rsidTr="00C04058">
        <w:tc>
          <w:tcPr>
            <w:tcW w:w="9072" w:type="dxa"/>
            <w:gridSpan w:val="2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Reprodukčnou obstarávacou cenou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1. majetok v prípade bezodplatného nadobudnutia s výnimkou peňažných prostriedkov a cenín</w:t>
            </w:r>
          </w:p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6042CB" w:rsidRPr="00197CB4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042CB" w:rsidRPr="000F697D" w:rsidTr="00C04058">
        <w:tc>
          <w:tcPr>
            <w:tcW w:w="9072" w:type="dxa"/>
            <w:gridSpan w:val="2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0F697D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6042CB"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:rsidR="00520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 s</w:t>
      </w:r>
      <w:r w:rsidR="00280D80">
        <w:t> osobitosťami:</w:t>
      </w:r>
    </w:p>
    <w:p w:rsidR="00280D80" w:rsidRDefault="00280D80" w:rsidP="006042CB">
      <w:pPr>
        <w:pStyle w:val="Zkladntext"/>
        <w:numPr>
          <w:ilvl w:val="0"/>
          <w:numId w:val="24"/>
        </w:numPr>
        <w:spacing w:before="120" w:after="120"/>
        <w:ind w:left="851" w:hanging="284"/>
      </w:pPr>
      <w:r>
        <w:t>z titulu prechodu na mikro účtovnú jednotku sa zmenila štruktúra účtovnej závierky, pričom ide o legislatívnu zmenu bez vplyvu na sumy vykázané v účtovnej závierke,</w:t>
      </w:r>
    </w:p>
    <w:p w:rsidR="0052000C" w:rsidRPr="00BF2623" w:rsidRDefault="006042CB" w:rsidP="000E2EFF">
      <w:pPr>
        <w:pStyle w:val="Zkladntext"/>
        <w:numPr>
          <w:ilvl w:val="0"/>
          <w:numId w:val="24"/>
        </w:numPr>
        <w:spacing w:before="120" w:after="120"/>
        <w:ind w:left="851" w:hanging="284"/>
      </w:pPr>
      <w:r>
        <w:t>z dôvodu zmeny legislatívy sa spoločnosť rozhodla</w:t>
      </w:r>
      <w:r w:rsidR="00280D80">
        <w:t xml:space="preserve"> v účtovaní časového rozlíšenia v</w:t>
      </w:r>
      <w:r>
        <w:t xml:space="preserve"> postupovať</w:t>
      </w:r>
      <w:r w:rsidR="00280D80">
        <w:t xml:space="preserve"> zmysle </w:t>
      </w:r>
      <w:r>
        <w:t xml:space="preserve">§ 56 ods. 14 postupov účtovania, na základe ktorého nie je </w:t>
      </w:r>
      <w:r w:rsidR="00280D80">
        <w:t xml:space="preserve">v mikro </w:t>
      </w:r>
      <w:r>
        <w:t xml:space="preserve">účtovných jednotkách </w:t>
      </w:r>
      <w:r w:rsidR="00280D80">
        <w:t xml:space="preserve">potrebné účtovať na účtoch časového rozlíšenia, ak ide o nevýznamné sumy a účtovné prípady, ktoré sa pravidelne ročne </w:t>
      </w:r>
      <w:r>
        <w:t xml:space="preserve">opakujú. </w:t>
      </w:r>
    </w:p>
    <w:p w:rsidR="00835297" w:rsidRPr="00BF2623" w:rsidRDefault="00835297" w:rsidP="006E55B3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:rsidR="00A5305A" w:rsidRPr="000E2EFF" w:rsidRDefault="00A5305A" w:rsidP="001D54E8">
      <w:pPr>
        <w:pStyle w:val="Odsekzoznamu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0E2EFF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Náklady a výnosy, ktoré majú výnimočný rozsah alebo výskyt</w:t>
      </w:r>
    </w:p>
    <w:p w:rsidR="00A5305A" w:rsidRPr="00BF2623" w:rsidRDefault="005E69C7" w:rsidP="002D35F1">
      <w:pPr>
        <w:pStyle w:val="Zkladntext"/>
        <w:spacing w:line="360" w:lineRule="auto"/>
        <w:ind w:left="284"/>
        <w:rPr>
          <w:szCs w:val="18"/>
        </w:rPr>
      </w:pPr>
      <w:r w:rsidRPr="00BF2623">
        <w:t xml:space="preserve">Prehľad o nákladoch a výnosoch, ktoré majú výnimočný rozsah alebo výskyt je uvedený v nasledujúcom prehľade: </w:t>
      </w:r>
    </w:p>
    <w:bookmarkStart w:id="2" w:name="_MON_1390772448"/>
    <w:bookmarkEnd w:id="2"/>
    <w:p w:rsidR="00902975" w:rsidRDefault="000E2EFF" w:rsidP="005E5B2F">
      <w:pPr>
        <w:spacing w:after="0" w:line="240" w:lineRule="auto"/>
        <w:ind w:left="284"/>
        <w:jc w:val="center"/>
      </w:pPr>
      <w:r w:rsidRPr="00BF2623">
        <w:object w:dxaOrig="7311" w:dyaOrig="12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4.5pt;height:68.25pt" o:ole="" o:preferrelative="f">
            <v:imagedata r:id="rId7" o:title=""/>
            <o:lock v:ext="edit" aspectratio="f"/>
          </v:shape>
          <o:OLEObject Type="Embed" ProgID="Excel.Sheet.12" ShapeID="_x0000_i1025" DrawAspect="Content" ObjectID="_1487266556" r:id="rId8"/>
        </w:object>
      </w:r>
    </w:p>
    <w:p w:rsidR="005E5B2F" w:rsidRPr="00BF2623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:rsidR="00902975" w:rsidRPr="00BF2623" w:rsidRDefault="00902975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95"/>
        <w:rPr>
          <w:rFonts w:ascii="Times New Roman" w:hAnsi="Times New Roman" w:cs="Times New Roman"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Informácie o záväzkoch</w:t>
      </w:r>
    </w:p>
    <w:bookmarkStart w:id="3" w:name="_MON_1447832563"/>
    <w:bookmarkStart w:id="4" w:name="_MON_1452663849"/>
    <w:bookmarkEnd w:id="3"/>
    <w:bookmarkEnd w:id="4"/>
    <w:bookmarkStart w:id="5" w:name="_MON_1452667970"/>
    <w:bookmarkEnd w:id="5"/>
    <w:p w:rsidR="00A5305A" w:rsidRDefault="000E2EFF" w:rsidP="005E5B2F">
      <w:pPr>
        <w:spacing w:after="0" w:line="240" w:lineRule="auto"/>
        <w:ind w:left="284"/>
        <w:jc w:val="center"/>
      </w:pPr>
      <w:r>
        <w:object w:dxaOrig="6349" w:dyaOrig="2772">
          <v:shape id="_x0000_i1026" type="#_x0000_t75" style="width:316.5pt;height:138.75pt" o:ole="">
            <v:imagedata r:id="rId9" o:title=""/>
          </v:shape>
          <o:OLEObject Type="Embed" ProgID="Excel.Sheet.12" ShapeID="_x0000_i1026" DrawAspect="Content" ObjectID="_1487266557" r:id="rId10"/>
        </w:object>
      </w:r>
    </w:p>
    <w:p w:rsidR="005E5B2F" w:rsidRPr="00BF2623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:rsidR="002D35F1" w:rsidRPr="00BF2623" w:rsidRDefault="002D35F1" w:rsidP="002D35F1">
      <w:pPr>
        <w:pStyle w:val="Odsekzoznamu"/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</w:p>
    <w:sectPr w:rsidR="002D35F1" w:rsidRPr="00BF2623" w:rsidSect="00414D7C">
      <w:head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450" w:rsidRDefault="00B97450" w:rsidP="00084EA7">
      <w:pPr>
        <w:spacing w:after="0" w:line="240" w:lineRule="auto"/>
      </w:pPr>
      <w:r>
        <w:separator/>
      </w:r>
    </w:p>
  </w:endnote>
  <w:endnote w:type="continuationSeparator" w:id="0">
    <w:p w:rsidR="00B97450" w:rsidRDefault="00B97450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452" w:rsidRDefault="00B97450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433452" w:rsidRPr="00F70C00" w:rsidRDefault="001D086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450" w:rsidRDefault="00B97450" w:rsidP="00084EA7">
      <w:pPr>
        <w:spacing w:after="0" w:line="240" w:lineRule="auto"/>
      </w:pPr>
      <w:r>
        <w:separator/>
      </w:r>
    </w:p>
  </w:footnote>
  <w:footnote w:type="continuationSeparator" w:id="0">
    <w:p w:rsidR="00B97450" w:rsidRDefault="00B97450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F4" w:rsidRPr="00E95128" w:rsidRDefault="00CE10F4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CE10F4" w:rsidTr="00E02E80">
      <w:trPr>
        <w:trHeight w:val="299"/>
      </w:trPr>
      <w:tc>
        <w:tcPr>
          <w:tcW w:w="2033" w:type="dxa"/>
          <w:vAlign w:val="center"/>
        </w:tcPr>
        <w:p w:rsidR="00CE10F4" w:rsidRPr="00DD1CC9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Úč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:rsidR="00CE10F4" w:rsidRPr="00DD1CC9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:rsidR="00CE10F4" w:rsidRPr="0019010F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CE10F4" w:rsidRDefault="000E2EFF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:rsidR="00CE10F4" w:rsidRPr="00E95128" w:rsidRDefault="00CE10F4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AE" w:rsidRPr="00E95128" w:rsidRDefault="00B97450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414D7C" w:rsidTr="00414D7C">
      <w:trPr>
        <w:trHeight w:val="299"/>
      </w:trPr>
      <w:tc>
        <w:tcPr>
          <w:tcW w:w="2033" w:type="dxa"/>
          <w:vAlign w:val="center"/>
        </w:tcPr>
        <w:p w:rsidR="0019010F" w:rsidRPr="00DD1CC9" w:rsidRDefault="0019010F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Úč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:rsidR="0019010F" w:rsidRPr="00DD1CC9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:rsidR="0019010F" w:rsidRDefault="000E2EF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19010F" w:rsidRDefault="000E2EF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19010F" w:rsidRDefault="000E2EF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19010F" w:rsidRDefault="000E2EF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19010F" w:rsidRDefault="000E2EF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19010F" w:rsidRDefault="000E2EF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:rsidR="0019010F" w:rsidRDefault="000E2EF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:rsidR="0019010F" w:rsidRDefault="000E2EF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:rsidR="0019010F" w:rsidRP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9010F" w:rsidRDefault="000E2EF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:rsidR="00433452" w:rsidRPr="00E95128" w:rsidRDefault="00B97450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9"/>
  </w:num>
  <w:num w:numId="3">
    <w:abstractNumId w:val="18"/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4"/>
    </w:lvlOverride>
  </w:num>
  <w:num w:numId="10">
    <w:abstractNumId w:val="4"/>
  </w:num>
  <w:num w:numId="11">
    <w:abstractNumId w:val="1"/>
  </w:num>
  <w:num w:numId="12">
    <w:abstractNumId w:val="19"/>
  </w:num>
  <w:num w:numId="13">
    <w:abstractNumId w:val="17"/>
  </w:num>
  <w:num w:numId="14">
    <w:abstractNumId w:val="14"/>
  </w:num>
  <w:num w:numId="15">
    <w:abstractNumId w:val="2"/>
  </w:num>
  <w:num w:numId="16">
    <w:abstractNumId w:val="5"/>
  </w:num>
  <w:num w:numId="17">
    <w:abstractNumId w:val="11"/>
  </w:num>
  <w:num w:numId="18">
    <w:abstractNumId w:val="3"/>
  </w:num>
  <w:num w:numId="1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>
    <w:abstractNumId w:val="6"/>
  </w:num>
  <w:num w:numId="21">
    <w:abstractNumId w:val="13"/>
  </w:num>
  <w:num w:numId="22">
    <w:abstractNumId w:val="10"/>
  </w:num>
  <w:num w:numId="23">
    <w:abstractNumId w:val="8"/>
  </w:num>
  <w:num w:numId="24">
    <w:abstractNumId w:val="15"/>
  </w:num>
  <w:num w:numId="25">
    <w:abstractNumId w:val="12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84EA7"/>
    <w:rsid w:val="00084EA7"/>
    <w:rsid w:val="000B09A0"/>
    <w:rsid w:val="000E2EFF"/>
    <w:rsid w:val="000F697D"/>
    <w:rsid w:val="0019010F"/>
    <w:rsid w:val="00197CB4"/>
    <w:rsid w:val="001A3657"/>
    <w:rsid w:val="001D086C"/>
    <w:rsid w:val="001D54E8"/>
    <w:rsid w:val="0022262B"/>
    <w:rsid w:val="00280D80"/>
    <w:rsid w:val="002B5A28"/>
    <w:rsid w:val="002C7D17"/>
    <w:rsid w:val="002D35F1"/>
    <w:rsid w:val="002E39FA"/>
    <w:rsid w:val="002E5434"/>
    <w:rsid w:val="003426DD"/>
    <w:rsid w:val="0038719D"/>
    <w:rsid w:val="003A259E"/>
    <w:rsid w:val="003B48C0"/>
    <w:rsid w:val="003F6DC4"/>
    <w:rsid w:val="00414D7C"/>
    <w:rsid w:val="004310A7"/>
    <w:rsid w:val="0044382A"/>
    <w:rsid w:val="00481874"/>
    <w:rsid w:val="0052000C"/>
    <w:rsid w:val="005431E8"/>
    <w:rsid w:val="00566F00"/>
    <w:rsid w:val="005B54F0"/>
    <w:rsid w:val="005E5B2F"/>
    <w:rsid w:val="005E69C7"/>
    <w:rsid w:val="006042CB"/>
    <w:rsid w:val="0062299D"/>
    <w:rsid w:val="006602CD"/>
    <w:rsid w:val="00661F45"/>
    <w:rsid w:val="006E55B3"/>
    <w:rsid w:val="00710B22"/>
    <w:rsid w:val="007C73AE"/>
    <w:rsid w:val="007F3AF9"/>
    <w:rsid w:val="00825747"/>
    <w:rsid w:val="00835297"/>
    <w:rsid w:val="0086115B"/>
    <w:rsid w:val="00886260"/>
    <w:rsid w:val="008F2687"/>
    <w:rsid w:val="00902975"/>
    <w:rsid w:val="00926EC3"/>
    <w:rsid w:val="009A647F"/>
    <w:rsid w:val="009D032E"/>
    <w:rsid w:val="009F2C5C"/>
    <w:rsid w:val="00A5305A"/>
    <w:rsid w:val="00A63005"/>
    <w:rsid w:val="00AD49C0"/>
    <w:rsid w:val="00B10223"/>
    <w:rsid w:val="00B36EFB"/>
    <w:rsid w:val="00B97450"/>
    <w:rsid w:val="00BF2623"/>
    <w:rsid w:val="00C62794"/>
    <w:rsid w:val="00CA7936"/>
    <w:rsid w:val="00CB2F4E"/>
    <w:rsid w:val="00CE10F4"/>
    <w:rsid w:val="00D10577"/>
    <w:rsid w:val="00DA3E01"/>
    <w:rsid w:val="00DB4427"/>
    <w:rsid w:val="00EF09AD"/>
    <w:rsid w:val="00FA6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Pracovn__h_rok_programu_Microsoft_Office_Excel1.xlsx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Pracovn__h_rok_programu_Microsoft_Office_Excel2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Ivica</cp:lastModifiedBy>
  <cp:revision>2</cp:revision>
  <cp:lastPrinted>2015-01-23T12:31:00Z</cp:lastPrinted>
  <dcterms:created xsi:type="dcterms:W3CDTF">2015-03-07T19:49:00Z</dcterms:created>
  <dcterms:modified xsi:type="dcterms:W3CDTF">2015-03-07T19:49:00Z</dcterms:modified>
</cp:coreProperties>
</file>