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06BC" w:rsidRDefault="00C106BC" w:rsidP="00034BFD">
      <w:pPr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>
        <w:rPr>
          <w:rFonts w:ascii="Arial" w:hAnsi="Arial" w:cs="Arial"/>
          <w:lang w:val="sk-SK"/>
        </w:rPr>
        <w:t xml:space="preserve">Poznámky </w:t>
      </w:r>
      <w:proofErr w:type="spellStart"/>
      <w:r>
        <w:rPr>
          <w:rFonts w:ascii="Arial" w:hAnsi="Arial" w:cs="Arial"/>
          <w:lang w:val="sk-SK"/>
        </w:rPr>
        <w:t>Úč</w:t>
      </w:r>
      <w:proofErr w:type="spellEnd"/>
      <w:r>
        <w:rPr>
          <w:rFonts w:ascii="Arial" w:hAnsi="Arial" w:cs="Arial"/>
          <w:lang w:val="sk-SK"/>
        </w:rPr>
        <w:t xml:space="preserve"> POD 3-04</w:t>
      </w:r>
      <w:r>
        <w:rPr>
          <w:rFonts w:ascii="Arial" w:hAnsi="Arial" w:cs="Arial"/>
          <w:lang w:val="sk-SK"/>
        </w:rPr>
        <w:tab/>
        <w:t>DIČ: 2020020475</w:t>
      </w:r>
      <w:r>
        <w:rPr>
          <w:rFonts w:ascii="Arial" w:hAnsi="Arial" w:cs="Arial"/>
          <w:lang w:val="sk-SK"/>
        </w:rPr>
        <w:tab/>
        <w:t>IČO: 36482242</w:t>
      </w:r>
    </w:p>
    <w:p w:rsidR="00C106BC" w:rsidRDefault="00C106BC" w:rsidP="00034BFD">
      <w:pPr>
        <w:keepNext w:val="0"/>
        <w:spacing w:before="120"/>
        <w:rPr>
          <w:rFonts w:ascii="Arial" w:hAnsi="Arial" w:cs="Arial"/>
          <w:lang w:val="sk-SK"/>
        </w:rPr>
      </w:pPr>
      <w:r w:rsidRPr="00C106BC">
        <w:rPr>
          <w:rFonts w:ascii="Arial" w:hAnsi="Arial" w:cs="Arial"/>
          <w:lang w:val="sk-SK"/>
        </w:rPr>
        <w:t>Motor-Car</w:t>
      </w:r>
      <w:r>
        <w:rPr>
          <w:rFonts w:ascii="Arial" w:hAnsi="Arial" w:cs="Arial"/>
          <w:lang w:val="sk-SK"/>
        </w:rPr>
        <w:t xml:space="preserve"> Poprad, spol. s r.o.</w:t>
      </w:r>
    </w:p>
    <w:p w:rsidR="00C106BC" w:rsidRPr="00F013E9" w:rsidRDefault="00C106BC" w:rsidP="00034BFD">
      <w:pPr>
        <w:keepNext w:val="0"/>
        <w:spacing w:before="120"/>
        <w:rPr>
          <w:rFonts w:ascii="Arial" w:hAnsi="Arial" w:cs="Arial"/>
          <w:sz w:val="22"/>
          <w:szCs w:val="22"/>
          <w:lang w:val="sk-SK"/>
        </w:rPr>
      </w:pPr>
    </w:p>
    <w:p w:rsidR="00034BFD" w:rsidRPr="00F013E9" w:rsidRDefault="00034BFD" w:rsidP="00034BFD">
      <w:pPr>
        <w:pStyle w:val="Nadpis1"/>
        <w:keepNext w:val="0"/>
        <w:spacing w:before="12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Popis spoločnosti</w:t>
      </w:r>
      <w:bookmarkEnd w:id="0"/>
      <w:bookmarkEnd w:id="1"/>
    </w:p>
    <w:p w:rsidR="00034BFD" w:rsidRPr="00F013E9" w:rsidRDefault="00034BFD" w:rsidP="00034BFD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Motor –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Car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Poprad, spol. s r.o. (ďalej len „spoločnosť”) je spoločnosť s ručením obmedzeným, ktorá bola založená dňa 07.10.2002.</w:t>
      </w:r>
      <w:r w:rsidRPr="00F013E9">
        <w:rPr>
          <w:rFonts w:ascii="Arial" w:hAnsi="Arial" w:cs="Arial"/>
          <w:i/>
          <w:iCs/>
          <w:sz w:val="22"/>
          <w:szCs w:val="22"/>
          <w:lang w:val="sk-SK"/>
        </w:rPr>
        <w:t xml:space="preserve"> </w:t>
      </w:r>
      <w:r w:rsidRPr="00F013E9">
        <w:rPr>
          <w:rFonts w:ascii="Arial" w:hAnsi="Arial" w:cs="Arial"/>
          <w:sz w:val="22"/>
          <w:szCs w:val="22"/>
          <w:lang w:val="sk-SK"/>
        </w:rPr>
        <w:t xml:space="preserve">Dňa 24.10.2002 bola zapísaná do Obchodného registra vedenom na Okresnom súde Prešov, oddiel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Sro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, vložka číslo 13769/P. Spoločnosť sídli  v Poprade, Partizánska 102/4447, Slovenská republika, identifikačné číslo 36482242. </w:t>
      </w:r>
    </w:p>
    <w:p w:rsidR="00034BFD" w:rsidRPr="00F013E9" w:rsidRDefault="00034BFD" w:rsidP="00034BFD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V roku 201</w:t>
      </w:r>
      <w:r w:rsidR="00E2514D">
        <w:rPr>
          <w:rFonts w:ascii="Arial" w:hAnsi="Arial" w:cs="Arial"/>
          <w:sz w:val="22"/>
          <w:szCs w:val="22"/>
          <w:lang w:val="sk-SK"/>
        </w:rPr>
        <w:t>4</w:t>
      </w:r>
      <w:r w:rsidRPr="00F013E9">
        <w:rPr>
          <w:rFonts w:ascii="Arial" w:hAnsi="Arial" w:cs="Arial"/>
          <w:sz w:val="22"/>
          <w:szCs w:val="22"/>
          <w:lang w:val="sk-SK"/>
        </w:rPr>
        <w:t xml:space="preserve"> neboli uskutočnené žiadne významné zmeny v zápise do Obchodného registra. </w:t>
      </w:r>
    </w:p>
    <w:p w:rsidR="00034BFD" w:rsidRPr="00F013E9" w:rsidRDefault="00034BFD" w:rsidP="00034BFD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Hlavným predmetom činnosti je:</w:t>
      </w:r>
    </w:p>
    <w:p w:rsidR="00034BFD" w:rsidRPr="00F013E9" w:rsidRDefault="00034BFD" w:rsidP="00034BFD">
      <w:pPr>
        <w:keepNext w:val="0"/>
        <w:numPr>
          <w:ilvl w:val="0"/>
          <w:numId w:val="2"/>
        </w:num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Kúpa a predaj automobilov, poľnohospodárskej, lesnej a stavebnej techniky</w:t>
      </w:r>
    </w:p>
    <w:p w:rsidR="00034BFD" w:rsidRPr="00F013E9" w:rsidRDefault="00034BFD" w:rsidP="00034BFD">
      <w:pPr>
        <w:keepNext w:val="0"/>
        <w:numPr>
          <w:ilvl w:val="0"/>
          <w:numId w:val="2"/>
        </w:num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maloobchod v rozsahu voľných živností</w:t>
      </w:r>
    </w:p>
    <w:p w:rsidR="00034BFD" w:rsidRPr="00F013E9" w:rsidRDefault="00034BFD" w:rsidP="00034BFD">
      <w:pPr>
        <w:keepNext w:val="0"/>
        <w:numPr>
          <w:ilvl w:val="0"/>
          <w:numId w:val="2"/>
        </w:num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veľkoobchod v rozsahu voľných živností</w:t>
      </w:r>
    </w:p>
    <w:p w:rsidR="00034BFD" w:rsidRPr="00F013E9" w:rsidRDefault="00034BFD" w:rsidP="00034BFD">
      <w:pPr>
        <w:keepNext w:val="0"/>
        <w:numPr>
          <w:ilvl w:val="0"/>
          <w:numId w:val="2"/>
        </w:num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sprostredkovanie obchodu a služieb v rozsahu voľných živností</w:t>
      </w:r>
    </w:p>
    <w:p w:rsidR="00034BFD" w:rsidRPr="00F013E9" w:rsidRDefault="00034BFD" w:rsidP="00034BFD">
      <w:pPr>
        <w:keepNext w:val="0"/>
        <w:numPr>
          <w:ilvl w:val="0"/>
          <w:numId w:val="2"/>
        </w:num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prenájom hnuteľného majetku</w:t>
      </w:r>
    </w:p>
    <w:p w:rsidR="00034BFD" w:rsidRPr="00F013E9" w:rsidRDefault="00034BFD" w:rsidP="00034BFD">
      <w:pPr>
        <w:keepNext w:val="0"/>
        <w:numPr>
          <w:ilvl w:val="0"/>
          <w:numId w:val="2"/>
        </w:num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opravy cestných motorových vozidiel</w:t>
      </w:r>
    </w:p>
    <w:p w:rsidR="00034BFD" w:rsidRPr="00F013E9" w:rsidRDefault="00034BFD" w:rsidP="00034BFD">
      <w:pPr>
        <w:keepNext w:val="0"/>
        <w:numPr>
          <w:ilvl w:val="0"/>
          <w:numId w:val="2"/>
        </w:num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opravy pracovných strojov</w:t>
      </w:r>
    </w:p>
    <w:p w:rsidR="00034BFD" w:rsidRPr="00F013E9" w:rsidRDefault="00034BFD" w:rsidP="00034BFD">
      <w:pPr>
        <w:keepNext w:val="0"/>
        <w:numPr>
          <w:ilvl w:val="0"/>
          <w:numId w:val="2"/>
        </w:num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opravy karosérií</w:t>
      </w:r>
    </w:p>
    <w:p w:rsidR="00034BFD" w:rsidRPr="00F013E9" w:rsidRDefault="00034BFD" w:rsidP="00034BFD">
      <w:pPr>
        <w:keepNext w:val="0"/>
        <w:numPr>
          <w:ilvl w:val="0"/>
          <w:numId w:val="2"/>
        </w:num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pneuservis</w:t>
      </w:r>
    </w:p>
    <w:p w:rsidR="006056D8" w:rsidRPr="00F013E9" w:rsidRDefault="006056D8">
      <w:pPr>
        <w:rPr>
          <w:rFonts w:ascii="Arial" w:hAnsi="Arial" w:cs="Arial"/>
          <w:sz w:val="22"/>
          <w:szCs w:val="22"/>
        </w:rPr>
      </w:pPr>
    </w:p>
    <w:p w:rsidR="00792C37" w:rsidRPr="00F013E9" w:rsidRDefault="00792C37" w:rsidP="00792C37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Informácie o štruktúre spoločníkov ku dňu, ku ktorému sa zostavuje účtovná závierka a o štruktúre spoločníkov  do dňa jej zmeny v priebehu účtovného obdobia</w:t>
      </w:r>
    </w:p>
    <w:tbl>
      <w:tblPr>
        <w:tblW w:w="9020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9"/>
        <w:gridCol w:w="1615"/>
        <w:gridCol w:w="1608"/>
        <w:gridCol w:w="1400"/>
        <w:gridCol w:w="1358"/>
      </w:tblGrid>
      <w:tr w:rsidR="00792C37" w:rsidRPr="00F013E9" w:rsidTr="007C6144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  <w:t>Iný podiel na ostatných položkách VI ako na ZI v %</w:t>
            </w:r>
          </w:p>
        </w:tc>
      </w:tr>
      <w:tr w:rsidR="00792C37" w:rsidRPr="00F013E9" w:rsidTr="007C6144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792C37" w:rsidRPr="00F013E9" w:rsidTr="007C6144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Ing. Pavel Jančík PhD.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16929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51</w:t>
            </w:r>
          </w:p>
        </w:tc>
      </w:tr>
      <w:tr w:rsidR="00792C37" w:rsidRPr="00F013E9" w:rsidTr="007C6144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 xml:space="preserve">Motor – </w:t>
            </w:r>
            <w:proofErr w:type="spellStart"/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Car</w:t>
            </w:r>
            <w:proofErr w:type="spellEnd"/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 xml:space="preserve"> Bratislava </w:t>
            </w:r>
            <w:proofErr w:type="spellStart"/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sro</w:t>
            </w:r>
            <w:proofErr w:type="spellEnd"/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16266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49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49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49</w:t>
            </w:r>
          </w:p>
        </w:tc>
      </w:tr>
      <w:tr w:rsidR="00792C37" w:rsidRPr="00F013E9" w:rsidTr="007C6144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792C37" w:rsidRPr="00F013E9" w:rsidTr="007C6144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792C37" w:rsidRPr="00F013E9" w:rsidTr="007C6144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792C37" w:rsidRPr="00F013E9" w:rsidTr="007C6144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33195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92C37" w:rsidRPr="00F013E9" w:rsidRDefault="00792C37" w:rsidP="007C61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F013E9"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  <w:t>100</w:t>
            </w:r>
          </w:p>
        </w:tc>
      </w:tr>
    </w:tbl>
    <w:p w:rsidR="00792C37" w:rsidRPr="00F013E9" w:rsidRDefault="00792C37" w:rsidP="00792C37">
      <w:pPr>
        <w:keepNext w:val="0"/>
        <w:spacing w:after="0"/>
        <w:rPr>
          <w:rFonts w:ascii="Arial" w:hAnsi="Arial" w:cs="Arial"/>
          <w:sz w:val="22"/>
          <w:szCs w:val="22"/>
          <w:lang w:val="sk-SK"/>
        </w:rPr>
      </w:pPr>
    </w:p>
    <w:p w:rsidR="00662CEA" w:rsidRPr="00F013E9" w:rsidRDefault="00662CEA" w:rsidP="00662CEA">
      <w:pPr>
        <w:keepNext w:val="0"/>
        <w:rPr>
          <w:rFonts w:ascii="Arial" w:hAnsi="Arial" w:cs="Arial"/>
          <w:i/>
          <w:iCs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Spoločnosť je súčasťou skupiny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Wiesenthal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. Materskou spoločnosťou spoločnosti je Motor –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Car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Bratislava, spol. s r.o. a materskou spoločnosťou celej skupiny je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Wiesenthal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Holding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GmbH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,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Troststrasse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109-111, 1100 Viedeň. </w:t>
      </w:r>
    </w:p>
    <w:p w:rsidR="00662CEA" w:rsidRPr="00F013E9" w:rsidRDefault="00662CEA" w:rsidP="00662CEA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highlight w:val="yellow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Spoločnosť je oslobodená od povinnosti zostaviť konsolidovanú účtovnú závierku a konsolidovanú účtovnú správu podľa a) § 22 ods. 9 zákona, nakoľko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Wiesenthal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Holding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GmbH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,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Troststrasse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109-111, 1100 Viedeň zostavuje konsolidovanú účtovnú závierku podľa právnych predpisov EU, do ktorej je zahrnovaná účtovná jednotka a všetky jej dcérske účtovné jednotky.</w:t>
      </w:r>
    </w:p>
    <w:p w:rsidR="00662CEA" w:rsidRPr="00F013E9" w:rsidRDefault="00662CEA" w:rsidP="00662CEA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iCs/>
          <w:sz w:val="22"/>
          <w:szCs w:val="22"/>
          <w:lang w:val="sk-SK"/>
        </w:rPr>
      </w:pPr>
    </w:p>
    <w:p w:rsidR="00662CEA" w:rsidRPr="00F013E9" w:rsidRDefault="00662CEA" w:rsidP="00662CEA">
      <w:pPr>
        <w:keepNext w:val="0"/>
        <w:rPr>
          <w:rFonts w:ascii="Arial" w:hAnsi="Arial" w:cs="Arial"/>
          <w:sz w:val="22"/>
          <w:szCs w:val="22"/>
          <w:lang w:val="sk-SK"/>
        </w:rPr>
      </w:pPr>
    </w:p>
    <w:p w:rsidR="00662CEA" w:rsidRPr="00F013E9" w:rsidRDefault="00662CEA" w:rsidP="00662CEA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Členovia štatutárnych orgánov k 31. decembru 2014:</w:t>
      </w:r>
    </w:p>
    <w:tbl>
      <w:tblPr>
        <w:tblW w:w="0" w:type="auto"/>
        <w:tblInd w:w="-70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662CEA" w:rsidRPr="00F013E9" w:rsidTr="007C6144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662CEA" w:rsidRPr="00F013E9" w:rsidRDefault="00662CEA" w:rsidP="007C614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lang w:val="sk-SK"/>
              </w:rPr>
            </w:pPr>
            <w:r w:rsidRPr="00F013E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val="sk-SK"/>
              </w:rPr>
              <w:t>Konatelia</w:t>
            </w:r>
          </w:p>
        </w:tc>
      </w:tr>
      <w:tr w:rsidR="00662CEA" w:rsidRPr="00F013E9" w:rsidTr="007C6144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662CEA" w:rsidRPr="00F013E9" w:rsidRDefault="00662CEA" w:rsidP="007C6144">
            <w:pPr>
              <w:pStyle w:val="TableFirstLine"/>
              <w:keepNext w:val="0"/>
              <w:spacing w:after="0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F013E9">
              <w:rPr>
                <w:rFonts w:ascii="Arial" w:hAnsi="Arial" w:cs="Arial"/>
                <w:sz w:val="22"/>
                <w:szCs w:val="22"/>
                <w:lang w:val="sk-SK"/>
              </w:rPr>
              <w:t>Konateľ: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662CEA" w:rsidRPr="00F013E9" w:rsidRDefault="00662CEA" w:rsidP="007C6144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F013E9">
              <w:rPr>
                <w:rFonts w:ascii="Arial" w:hAnsi="Arial" w:cs="Arial"/>
                <w:sz w:val="22"/>
                <w:szCs w:val="22"/>
                <w:lang w:val="sk-SK"/>
              </w:rPr>
              <w:t>Ing. Pavel Jančík PhD.</w:t>
            </w:r>
          </w:p>
        </w:tc>
      </w:tr>
      <w:tr w:rsidR="00662CEA" w:rsidRPr="00F013E9" w:rsidTr="007C6144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662CEA" w:rsidRPr="00F013E9" w:rsidRDefault="00662CEA" w:rsidP="007C6144">
            <w:pPr>
              <w:pStyle w:val="TableFirstLine"/>
              <w:keepNext w:val="0"/>
              <w:spacing w:after="0"/>
              <w:rPr>
                <w:rFonts w:ascii="Arial" w:hAnsi="Arial" w:cs="Arial"/>
                <w:sz w:val="22"/>
                <w:szCs w:val="22"/>
                <w:lang w:val="sk-SK"/>
              </w:rPr>
            </w:pP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662CEA" w:rsidRPr="00F013E9" w:rsidRDefault="00662CEA" w:rsidP="007C6144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2"/>
                <w:szCs w:val="22"/>
                <w:lang w:val="sk-SK"/>
              </w:rPr>
            </w:pPr>
          </w:p>
        </w:tc>
      </w:tr>
      <w:tr w:rsidR="00662CEA" w:rsidRPr="00F013E9" w:rsidTr="007C6144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2CEA" w:rsidRPr="00F013E9" w:rsidRDefault="00662CEA" w:rsidP="007C6144">
            <w:pPr>
              <w:pStyle w:val="TableFirstLine"/>
              <w:keepNext w:val="0"/>
              <w:spacing w:after="0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F013E9">
              <w:rPr>
                <w:rFonts w:ascii="Arial" w:hAnsi="Arial" w:cs="Arial"/>
                <w:sz w:val="22"/>
                <w:szCs w:val="22"/>
                <w:lang w:val="sk-SK"/>
              </w:rPr>
              <w:t>Prokúra: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2CEA" w:rsidRPr="00F013E9" w:rsidRDefault="00662CEA" w:rsidP="007C6144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F013E9">
              <w:rPr>
                <w:rFonts w:ascii="Arial" w:hAnsi="Arial" w:cs="Arial"/>
                <w:sz w:val="22"/>
                <w:szCs w:val="22"/>
                <w:lang w:val="sk-SK"/>
              </w:rPr>
              <w:t xml:space="preserve">Ing. Andrej </w:t>
            </w:r>
            <w:proofErr w:type="spellStart"/>
            <w:r w:rsidRPr="00F013E9">
              <w:rPr>
                <w:rFonts w:ascii="Arial" w:hAnsi="Arial" w:cs="Arial"/>
                <w:sz w:val="22"/>
                <w:szCs w:val="22"/>
                <w:lang w:val="sk-SK"/>
              </w:rPr>
              <w:t>Glatz</w:t>
            </w:r>
            <w:proofErr w:type="spellEnd"/>
          </w:p>
        </w:tc>
      </w:tr>
      <w:tr w:rsidR="00662CEA" w:rsidRPr="00F013E9" w:rsidTr="007C6144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2CEA" w:rsidRPr="00F013E9" w:rsidRDefault="00662CEA" w:rsidP="007C6144">
            <w:pPr>
              <w:pStyle w:val="TableFirstLine"/>
              <w:keepNext w:val="0"/>
              <w:spacing w:after="0"/>
              <w:rPr>
                <w:rFonts w:ascii="Arial" w:hAnsi="Arial" w:cs="Arial"/>
                <w:sz w:val="22"/>
                <w:szCs w:val="22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62CEA" w:rsidRPr="00F013E9" w:rsidRDefault="00662CEA" w:rsidP="007C6144">
            <w:pPr>
              <w:pStyle w:val="TableFirstLine"/>
              <w:keepNext w:val="0"/>
              <w:spacing w:before="60" w:after="60"/>
              <w:rPr>
                <w:rFonts w:ascii="Arial" w:hAnsi="Arial" w:cs="Arial"/>
                <w:sz w:val="22"/>
                <w:szCs w:val="22"/>
                <w:lang w:val="sk-SK"/>
              </w:rPr>
            </w:pPr>
          </w:p>
        </w:tc>
      </w:tr>
    </w:tbl>
    <w:p w:rsidR="00792C37" w:rsidRPr="00F013E9" w:rsidRDefault="00792C37">
      <w:pPr>
        <w:rPr>
          <w:rFonts w:ascii="Arial" w:hAnsi="Arial" w:cs="Arial"/>
          <w:sz w:val="22"/>
          <w:szCs w:val="22"/>
        </w:rPr>
      </w:pPr>
    </w:p>
    <w:p w:rsidR="00662CEA" w:rsidRPr="00F013E9" w:rsidRDefault="00662CEA">
      <w:p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Spoločnosť nemá organizačnú zložku v zahraničí. Spoločnosť nevstúpila do konkurzu, zlúčenia, splynutia, rozdelenia, premeny.</w:t>
      </w:r>
    </w:p>
    <w:p w:rsidR="00464C9B" w:rsidRPr="00F013E9" w:rsidRDefault="00464C9B" w:rsidP="00464C9B">
      <w:pPr>
        <w:pStyle w:val="Nadpis1"/>
        <w:keepNext w:val="0"/>
        <w:rPr>
          <w:rFonts w:ascii="Arial" w:hAnsi="Arial" w:cs="Arial"/>
          <w:sz w:val="22"/>
          <w:szCs w:val="22"/>
          <w:lang w:val="sk-SK"/>
        </w:rPr>
      </w:pPr>
      <w:bookmarkStart w:id="2" w:name="_Toc474124190"/>
      <w:bookmarkStart w:id="3" w:name="_Toc474124302"/>
      <w:r w:rsidRPr="00F013E9">
        <w:rPr>
          <w:rFonts w:ascii="Arial" w:hAnsi="Arial" w:cs="Arial"/>
          <w:sz w:val="22"/>
          <w:szCs w:val="22"/>
          <w:lang w:val="sk-SK"/>
        </w:rPr>
        <w:t>ZákladnÉ východiskÁ prE ZostavenIE účTOVNEJ závIErky</w:t>
      </w:r>
      <w:bookmarkEnd w:id="2"/>
      <w:bookmarkEnd w:id="3"/>
    </w:p>
    <w:p w:rsidR="00464C9B" w:rsidRPr="00F013E9" w:rsidRDefault="00464C9B" w:rsidP="00464C9B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Účtovná závierka bola zostavená podľa Zákona č. 431/2002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Z.z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. o účtovníctve v znení neskorších predpisov za predpokladu nepretržitého trvania jej činnosti a je zostavená ako riadna účtovná závierka. </w:t>
      </w:r>
    </w:p>
    <w:p w:rsidR="00464C9B" w:rsidRPr="00F013E9" w:rsidRDefault="00464C9B" w:rsidP="00464C9B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Účtovná závierka spoločnosti za predchádzajúce účtovné obdobie k 31. decembru 2013</w:t>
      </w:r>
      <w:r w:rsidRPr="00F013E9">
        <w:rPr>
          <w:rFonts w:ascii="Arial" w:hAnsi="Arial" w:cs="Arial"/>
          <w:i/>
          <w:iCs/>
          <w:sz w:val="22"/>
          <w:szCs w:val="22"/>
          <w:lang w:val="sk-SK"/>
        </w:rPr>
        <w:t xml:space="preserve"> </w:t>
      </w:r>
      <w:r w:rsidRPr="00F013E9">
        <w:rPr>
          <w:rFonts w:ascii="Arial" w:hAnsi="Arial" w:cs="Arial"/>
          <w:sz w:val="22"/>
          <w:szCs w:val="22"/>
          <w:lang w:val="sk-SK"/>
        </w:rPr>
        <w:t>bola schválená valným zhromaždením spoločnosti dňa 8.4.2014.</w:t>
      </w:r>
    </w:p>
    <w:p w:rsidR="00385ED8" w:rsidRPr="00F013E9" w:rsidRDefault="00F013E9" w:rsidP="0092090C">
      <w:pPr>
        <w:keepNext w:val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22"/>
          <w:szCs w:val="22"/>
          <w:lang w:val="sk-SK"/>
        </w:rPr>
        <w:t>Dlhodobý hmotný majetok</w:t>
      </w:r>
    </w:p>
    <w:p w:rsidR="0040619A" w:rsidRPr="00F013E9" w:rsidRDefault="0040619A" w:rsidP="0092090C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Na dlhodobý hmotný majetok k 31.12.2014 v zostatkovej hodnote </w:t>
      </w:r>
      <w:r w:rsidR="00EA026B" w:rsidRPr="00F013E9">
        <w:rPr>
          <w:rFonts w:ascii="Arial" w:hAnsi="Arial" w:cs="Arial"/>
          <w:sz w:val="22"/>
          <w:szCs w:val="22"/>
          <w:lang w:val="sk-SK"/>
        </w:rPr>
        <w:t xml:space="preserve">546572 EUR bolo zriadené záložne právo na krytie dlhodobého úveru od </w:t>
      </w:r>
      <w:proofErr w:type="spellStart"/>
      <w:r w:rsidR="00EA026B" w:rsidRPr="00F013E9">
        <w:rPr>
          <w:rFonts w:ascii="Arial" w:hAnsi="Arial" w:cs="Arial"/>
          <w:sz w:val="22"/>
          <w:szCs w:val="22"/>
          <w:lang w:val="sk-SK"/>
        </w:rPr>
        <w:t>Oberbank</w:t>
      </w:r>
      <w:proofErr w:type="spellEnd"/>
      <w:r w:rsidR="00EA026B" w:rsidRPr="00F013E9">
        <w:rPr>
          <w:rFonts w:ascii="Arial" w:hAnsi="Arial" w:cs="Arial"/>
          <w:sz w:val="22"/>
          <w:szCs w:val="22"/>
          <w:lang w:val="sk-SK"/>
        </w:rPr>
        <w:t xml:space="preserve"> </w:t>
      </w:r>
      <w:r w:rsidR="004907AD" w:rsidRPr="00F013E9">
        <w:rPr>
          <w:rFonts w:ascii="Arial" w:hAnsi="Arial" w:cs="Arial"/>
          <w:sz w:val="22"/>
          <w:szCs w:val="22"/>
          <w:lang w:val="sk-SK"/>
        </w:rPr>
        <w:t>AG.</w:t>
      </w:r>
    </w:p>
    <w:p w:rsidR="00385ED8" w:rsidRPr="00F013E9" w:rsidRDefault="00385ED8" w:rsidP="00385ED8">
      <w:pPr>
        <w:keepNext w:val="0"/>
        <w:spacing w:before="120" w:line="240" w:lineRule="atLeast"/>
        <w:rPr>
          <w:rFonts w:ascii="Arial" w:hAnsi="Arial" w:cs="Arial"/>
          <w:bCs/>
          <w:sz w:val="22"/>
          <w:szCs w:val="22"/>
          <w:lang w:val="sk-SK"/>
        </w:rPr>
      </w:pPr>
      <w:r w:rsidRPr="00F013E9">
        <w:rPr>
          <w:rFonts w:ascii="Arial" w:hAnsi="Arial" w:cs="Arial"/>
          <w:bCs/>
          <w:sz w:val="22"/>
          <w:szCs w:val="22"/>
          <w:lang w:val="sk-SK"/>
        </w:rPr>
        <w:t>Poistenie majetku</w:t>
      </w:r>
    </w:p>
    <w:p w:rsidR="00385ED8" w:rsidRPr="00F013E9" w:rsidRDefault="00385ED8" w:rsidP="00385ED8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Dlhodobý majetok spoločnosti je poistený v poisťovni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Allianz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>, a.s. Majetkové poistenie zahŕňa predovšetkým stroje a zariadenia, zásoby a budovu – garáže. Ročný limit plnenia je pre všetky miesta poistenia na území SR vo výške 700 TEUR</w:t>
      </w:r>
    </w:p>
    <w:p w:rsidR="005A7704" w:rsidRPr="00F013E9" w:rsidRDefault="005A7704" w:rsidP="00F013E9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i/>
          <w:sz w:val="22"/>
          <w:szCs w:val="22"/>
          <w:u w:val="none"/>
          <w:lang w:val="sk-SK"/>
        </w:rPr>
      </w:pPr>
      <w:bookmarkStart w:id="4" w:name="_Toc474124207"/>
      <w:bookmarkStart w:id="5" w:name="_Toc474124319"/>
      <w:r w:rsidRPr="00F013E9">
        <w:rPr>
          <w:rFonts w:ascii="Arial" w:hAnsi="Arial" w:cs="Arial"/>
          <w:i/>
          <w:sz w:val="22"/>
          <w:szCs w:val="22"/>
          <w:u w:val="none"/>
          <w:lang w:val="sk-SK"/>
        </w:rPr>
        <w:t>Zásoby</w:t>
      </w:r>
      <w:bookmarkEnd w:id="4"/>
      <w:bookmarkEnd w:id="5"/>
    </w:p>
    <w:p w:rsidR="005A7704" w:rsidRPr="00F013E9" w:rsidRDefault="005A7704" w:rsidP="005A7704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Ocenenie nadbytočných, zastaraných a 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nízkoobrátkových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zásob sa znižuje na nižšiu úžitkovú hodnotu prostredníctvom opravných položiek. Opravnú položku stanovilo vedenie spoločnosti na základe zoznamu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neobrátkových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dielov, ktorých pohyb na sklade nebol zaznamenaný viac ako rok od 33% do 99%. Opravnú položku na tovar stanovilo vedenie spoločnosti podľa predpokladanej ceny predaja budúceho roku.</w:t>
      </w:r>
    </w:p>
    <w:p w:rsidR="00F013E9" w:rsidRPr="00F013E9" w:rsidRDefault="00F013E9" w:rsidP="00B66272">
      <w:pPr>
        <w:keepNext w:val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22"/>
          <w:szCs w:val="22"/>
          <w:lang w:val="sk-SK"/>
        </w:rPr>
        <w:lastRenderedPageBreak/>
        <w:t>Pohľadávky</w:t>
      </w:r>
    </w:p>
    <w:p w:rsidR="00B66272" w:rsidRPr="00F013E9" w:rsidRDefault="00B66272" w:rsidP="00B66272">
      <w:pPr>
        <w:keepNext w:val="0"/>
        <w:rPr>
          <w:rFonts w:ascii="Arial" w:hAnsi="Arial" w:cs="Arial"/>
          <w:i/>
          <w:iCs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K pochybným pohľadávkam boli v roku 2014 a 2013 vytvorené opravné položky na základe </w:t>
      </w:r>
      <w:r w:rsidRPr="00F013E9">
        <w:rPr>
          <w:rFonts w:ascii="Arial" w:hAnsi="Arial" w:cs="Arial"/>
          <w:i/>
          <w:iCs/>
          <w:sz w:val="22"/>
          <w:szCs w:val="22"/>
          <w:lang w:val="sk-SK"/>
        </w:rPr>
        <w:t xml:space="preserve">zákona o dani z príjmov. </w:t>
      </w:r>
    </w:p>
    <w:p w:rsidR="00B66272" w:rsidRPr="00F013E9" w:rsidRDefault="00B66272" w:rsidP="00B66272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i/>
          <w:iCs/>
          <w:sz w:val="22"/>
          <w:szCs w:val="22"/>
          <w:lang w:val="sk-SK"/>
        </w:rPr>
        <w:t>V roku 2014 a 2013 spoločnosť z dôvodu nedobytnosti, zamietnutím konkurzu a vyrovnaním či neuspokojením pohľadávok v konkurznom riadení, atď. odpísala do nákladov pohľadávky vo výške 0 EUR a 0  EUR.</w:t>
      </w:r>
    </w:p>
    <w:p w:rsidR="009772C2" w:rsidRPr="00F013E9" w:rsidRDefault="00F013E9" w:rsidP="009772C2">
      <w:pPr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22"/>
          <w:szCs w:val="22"/>
          <w:lang w:val="sk-SK"/>
        </w:rPr>
        <w:t>Rezervy</w:t>
      </w:r>
    </w:p>
    <w:p w:rsidR="0033096B" w:rsidRDefault="009772C2" w:rsidP="009772C2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Rezervy sú vytvorené z dôvodu, aby účtovná závierka poskytovala verný a pravdivý obraz o skutočnostiach, ktoré sú predmetom účtovníctva a finančnej situácie spoločnosti, za rok 2014 boli vytvorené krátkodobé rezervy s predpokladom ich použitia do konca roka 2015</w:t>
      </w:r>
    </w:p>
    <w:p w:rsidR="00F013E9" w:rsidRPr="00F013E9" w:rsidRDefault="00F013E9" w:rsidP="009772C2">
      <w:pPr>
        <w:keepNext w:val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22"/>
          <w:szCs w:val="22"/>
          <w:lang w:val="sk-SK"/>
        </w:rPr>
        <w:t>Záväzky</w:t>
      </w:r>
    </w:p>
    <w:p w:rsidR="00AF15C8" w:rsidRPr="00F013E9" w:rsidRDefault="00AF15C8" w:rsidP="009772C2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Záväzky voči spriazneným osobám tvoria záväzky z obchodného styku vo výške 386526 EUR a záväzky z leasingu vo výške 191249 EUR</w:t>
      </w:r>
    </w:p>
    <w:p w:rsidR="009772C2" w:rsidRPr="00F013E9" w:rsidRDefault="00616E1A" w:rsidP="009772C2">
      <w:pPr>
        <w:keepNext w:val="0"/>
        <w:rPr>
          <w:rFonts w:ascii="Arial" w:hAnsi="Arial" w:cs="Arial"/>
          <w:i/>
          <w:iCs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Spoločnosť zaúčtovala odložený daňový záväzok a pohľadávku vo výške 6913 EUR a -1036 EUR ako náklad z titulu dočasných rozdielov medzi účtovnou a daňovou zostatkovou cenou dlhodobého majetku a dočasných rozdielov opravnej položky k pohľadávkam a k zásobám</w:t>
      </w:r>
    </w:p>
    <w:p w:rsidR="009772C2" w:rsidRPr="005A6719" w:rsidRDefault="005A6719" w:rsidP="0092090C">
      <w:pPr>
        <w:keepNext w:val="0"/>
        <w:rPr>
          <w:rFonts w:ascii="Arial" w:hAnsi="Arial" w:cs="Arial"/>
          <w:b/>
          <w:i/>
          <w:sz w:val="22"/>
          <w:szCs w:val="22"/>
          <w:lang w:val="sk-SK"/>
        </w:rPr>
      </w:pPr>
      <w:r>
        <w:rPr>
          <w:rFonts w:ascii="Arial" w:hAnsi="Arial" w:cs="Arial"/>
          <w:b/>
          <w:i/>
          <w:sz w:val="22"/>
          <w:szCs w:val="22"/>
          <w:lang w:val="sk-SK"/>
        </w:rPr>
        <w:t>Bankové úvery a finančné výpomoci</w:t>
      </w:r>
    </w:p>
    <w:p w:rsidR="003D701D" w:rsidRPr="00F013E9" w:rsidRDefault="003D701D" w:rsidP="0092090C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Spoločnosť v roku 2014 čerpala  dlhodobý bankový úver</w:t>
      </w:r>
      <w:r w:rsidR="004907AD" w:rsidRPr="00F013E9">
        <w:rPr>
          <w:rFonts w:ascii="Arial" w:hAnsi="Arial" w:cs="Arial"/>
          <w:sz w:val="22"/>
          <w:szCs w:val="22"/>
          <w:lang w:val="sk-SK"/>
        </w:rPr>
        <w:t xml:space="preserve"> od </w:t>
      </w:r>
      <w:proofErr w:type="spellStart"/>
      <w:r w:rsidR="004907AD" w:rsidRPr="00F013E9">
        <w:rPr>
          <w:rFonts w:ascii="Arial" w:hAnsi="Arial" w:cs="Arial"/>
          <w:sz w:val="22"/>
          <w:szCs w:val="22"/>
          <w:lang w:val="sk-SK"/>
        </w:rPr>
        <w:t>Oberbank</w:t>
      </w:r>
      <w:proofErr w:type="spellEnd"/>
      <w:r w:rsidR="004907AD" w:rsidRPr="00F013E9">
        <w:rPr>
          <w:rFonts w:ascii="Arial" w:hAnsi="Arial" w:cs="Arial"/>
          <w:sz w:val="22"/>
          <w:szCs w:val="22"/>
          <w:lang w:val="sk-SK"/>
        </w:rPr>
        <w:t xml:space="preserve"> AG</w:t>
      </w:r>
      <w:r w:rsidRPr="00F013E9">
        <w:rPr>
          <w:rFonts w:ascii="Arial" w:hAnsi="Arial" w:cs="Arial"/>
          <w:sz w:val="22"/>
          <w:szCs w:val="22"/>
          <w:lang w:val="sk-SK"/>
        </w:rPr>
        <w:t xml:space="preserve"> vo výške 375 TEUR na odkúpenie budovy autosalónu KIA. K 31. decembru 2014 bol debetný zostatok vo výške 321 TEUR a v súvahe je vyk</w:t>
      </w:r>
      <w:r w:rsidR="005178A8" w:rsidRPr="00F013E9">
        <w:rPr>
          <w:rFonts w:ascii="Arial" w:hAnsi="Arial" w:cs="Arial"/>
          <w:sz w:val="22"/>
          <w:szCs w:val="22"/>
          <w:lang w:val="sk-SK"/>
        </w:rPr>
        <w:t>á</w:t>
      </w:r>
      <w:r w:rsidRPr="00F013E9">
        <w:rPr>
          <w:rFonts w:ascii="Arial" w:hAnsi="Arial" w:cs="Arial"/>
          <w:sz w:val="22"/>
          <w:szCs w:val="22"/>
          <w:lang w:val="sk-SK"/>
        </w:rPr>
        <w:t>zaný ako dlhodobý bankový úver.</w:t>
      </w:r>
    </w:p>
    <w:p w:rsidR="007C76D5" w:rsidRPr="00F013E9" w:rsidRDefault="007C76D5" w:rsidP="007C76D5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Spoločnosť má otvorený kontokorentný účet v 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UniCredit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Bank a.s., ktorý jej umožňuje čerpať úver do výšky 1700 TEUR. K 31. decembru 2014 bol debetný zostatok v súlade s dohodnutým úverovým rámcom 1231 TEUR a v súvahe je vykázaný ako krátkodobý bankový úver.</w:t>
      </w:r>
    </w:p>
    <w:p w:rsidR="003D701D" w:rsidRPr="00F013E9" w:rsidRDefault="003D701D" w:rsidP="0092090C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V roku 2014 spoločnosť využila financovanie veľkoobchodného predaja </w:t>
      </w:r>
      <w:r w:rsidR="005178A8" w:rsidRPr="00F013E9">
        <w:rPr>
          <w:rFonts w:ascii="Arial" w:hAnsi="Arial" w:cs="Arial"/>
          <w:sz w:val="22"/>
          <w:szCs w:val="22"/>
          <w:lang w:val="sk-SK"/>
        </w:rPr>
        <w:t xml:space="preserve">nových vozidiel značky KIA </w:t>
      </w:r>
      <w:r w:rsidRPr="00F013E9">
        <w:rPr>
          <w:rFonts w:ascii="Arial" w:hAnsi="Arial" w:cs="Arial"/>
          <w:sz w:val="22"/>
          <w:szCs w:val="22"/>
          <w:lang w:val="sk-SK"/>
        </w:rPr>
        <w:t xml:space="preserve">cez </w:t>
      </w:r>
      <w:proofErr w:type="spellStart"/>
      <w:r w:rsidRPr="00F013E9">
        <w:rPr>
          <w:rFonts w:ascii="Arial" w:hAnsi="Arial" w:cs="Arial"/>
          <w:sz w:val="22"/>
          <w:szCs w:val="22"/>
          <w:lang w:val="sk-SK"/>
        </w:rPr>
        <w:t>UniCredit</w:t>
      </w:r>
      <w:proofErr w:type="spellEnd"/>
      <w:r w:rsidRPr="00F013E9">
        <w:rPr>
          <w:rFonts w:ascii="Arial" w:hAnsi="Arial" w:cs="Arial"/>
          <w:sz w:val="22"/>
          <w:szCs w:val="22"/>
          <w:lang w:val="sk-SK"/>
        </w:rPr>
        <w:t xml:space="preserve"> Leasing Slovakia, a.s., vo výške </w:t>
      </w:r>
      <w:r w:rsidR="005178A8" w:rsidRPr="00F013E9">
        <w:rPr>
          <w:rFonts w:ascii="Arial" w:hAnsi="Arial" w:cs="Arial"/>
          <w:sz w:val="22"/>
          <w:szCs w:val="22"/>
          <w:lang w:val="sk-SK"/>
        </w:rPr>
        <w:t>291498 EUR. K 31.decembru 2014 bol debetný zostatok vo výške 189187 EUR a v súvahe je vykázaný ako krátkodobá finančná výpomoc.</w:t>
      </w:r>
    </w:p>
    <w:p w:rsidR="0092090C" w:rsidRPr="00F013E9" w:rsidRDefault="00B524C7" w:rsidP="0092090C">
      <w:p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Zmluvy o úvere neobsahujú špecifické podmienky, ktoré musí spoločnosť dodržiavať. K 31.12. 2014 spoločnosť podmienky jednotlivých úverov dodržiavala.</w:t>
      </w:r>
    </w:p>
    <w:p w:rsidR="0092090C" w:rsidRPr="005A6719" w:rsidRDefault="005A6719" w:rsidP="0092090C">
      <w:pPr>
        <w:keepNext w:val="0"/>
        <w:rPr>
          <w:rFonts w:ascii="Arial" w:hAnsi="Arial" w:cs="Arial"/>
          <w:b/>
          <w:i/>
          <w:sz w:val="22"/>
          <w:szCs w:val="22"/>
          <w:lang w:val="sk-SK"/>
        </w:rPr>
      </w:pPr>
      <w:r w:rsidRPr="005A6719">
        <w:rPr>
          <w:rFonts w:ascii="Arial" w:hAnsi="Arial" w:cs="Arial"/>
          <w:b/>
          <w:i/>
          <w:sz w:val="22"/>
          <w:szCs w:val="22"/>
          <w:lang w:val="sk-SK"/>
        </w:rPr>
        <w:t>Vlastné imanie</w:t>
      </w:r>
    </w:p>
    <w:p w:rsidR="005C2C9B" w:rsidRPr="00F013E9" w:rsidRDefault="0092090C" w:rsidP="005C2C9B">
      <w:p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. </w:t>
      </w:r>
      <w:r w:rsidR="005C2C9B" w:rsidRPr="00F013E9">
        <w:rPr>
          <w:rFonts w:ascii="Arial" w:hAnsi="Arial" w:cs="Arial"/>
          <w:sz w:val="22"/>
          <w:szCs w:val="22"/>
          <w:lang w:val="sk-SK"/>
        </w:rPr>
        <w:t>Valné zhromaždenie spoločnosti konané dňa 8.4.2014 schválilo rozdelenie zisku za rok 2013. Na základe rozhodnutia Valného zhromaždenia vyplatila spoločnosť podiely spoločníkom vo výške 107900,56 EUR.</w:t>
      </w:r>
    </w:p>
    <w:p w:rsidR="005C2C9B" w:rsidRPr="00F013E9" w:rsidRDefault="005C2C9B" w:rsidP="005C2C9B">
      <w:p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>Vedenie spoločnosti navrhuje rozdeliť zisk za rok 2014 nasledovne:</w:t>
      </w:r>
    </w:p>
    <w:p w:rsidR="005C2C9B" w:rsidRPr="00F013E9" w:rsidRDefault="005C2C9B" w:rsidP="005C2C9B">
      <w:pPr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30 % zisku bude ponechaných v spoločnosti do ďalších období a 70 % zisku bude vyplatený spoločníkom podľa výšky ich podielov na zisku a to 51% Motor-Car Bratislava spol. s r.o. a 49% Ing. Pavel Jančík PhD. </w:t>
      </w:r>
    </w:p>
    <w:p w:rsidR="0092090C" w:rsidRPr="00F013E9" w:rsidRDefault="0092090C" w:rsidP="0092090C">
      <w:pPr>
        <w:keepNext w:val="0"/>
        <w:rPr>
          <w:rFonts w:ascii="Arial" w:hAnsi="Arial" w:cs="Arial"/>
          <w:sz w:val="22"/>
          <w:szCs w:val="22"/>
          <w:lang w:val="sk-SK"/>
        </w:rPr>
      </w:pPr>
    </w:p>
    <w:p w:rsidR="008F7AC4" w:rsidRPr="00F013E9" w:rsidRDefault="008F7AC4" w:rsidP="008F7AC4">
      <w:pPr>
        <w:pStyle w:val="Nadpis1"/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lastRenderedPageBreak/>
        <w:t>Významné udalosti, ktoré nastali po DnI, KU KTORému sa zostavuje účtovná závierka</w:t>
      </w:r>
    </w:p>
    <w:p w:rsidR="008F7AC4" w:rsidRPr="00F013E9" w:rsidRDefault="008F7AC4" w:rsidP="008F7AC4">
      <w:pPr>
        <w:pStyle w:val="odstavecbezcisla"/>
        <w:ind w:left="0"/>
        <w:rPr>
          <w:rFonts w:ascii="Arial" w:hAnsi="Arial" w:cs="Arial"/>
          <w:sz w:val="22"/>
          <w:szCs w:val="22"/>
          <w:lang w:eastAsia="en-US"/>
        </w:rPr>
      </w:pPr>
    </w:p>
    <w:p w:rsidR="008F7AC4" w:rsidRPr="00F013E9" w:rsidRDefault="008F7AC4" w:rsidP="008F7AC4">
      <w:pPr>
        <w:pStyle w:val="odstavecbezcisla"/>
        <w:ind w:left="0"/>
        <w:rPr>
          <w:rFonts w:ascii="Arial" w:hAnsi="Arial" w:cs="Arial"/>
          <w:sz w:val="22"/>
          <w:szCs w:val="22"/>
          <w:lang w:eastAsia="en-US"/>
        </w:rPr>
      </w:pPr>
      <w:r w:rsidRPr="00F013E9">
        <w:rPr>
          <w:rFonts w:ascii="Arial" w:hAnsi="Arial" w:cs="Arial"/>
          <w:sz w:val="22"/>
          <w:szCs w:val="22"/>
          <w:lang w:eastAsia="en-US"/>
        </w:rPr>
        <w:t>Po 31. decembri 2014 nenastali také udalosti, ktoré majú významný vplyv na verné zobrazenie skutočností uvádzaných v tejto účtovnej závierke.</w:t>
      </w:r>
    </w:p>
    <w:p w:rsidR="00F013E9" w:rsidRDefault="00F013E9"/>
    <w:p w:rsidR="005A6719" w:rsidRPr="00F013E9" w:rsidRDefault="005A6719" w:rsidP="005A6719">
      <w:pPr>
        <w:pStyle w:val="Nadpis1"/>
        <w:keepNext w:val="0"/>
        <w:rPr>
          <w:rFonts w:ascii="Arial" w:hAnsi="Arial" w:cs="Arial"/>
          <w:sz w:val="22"/>
          <w:szCs w:val="22"/>
          <w:lang w:val="sk-SK"/>
        </w:rPr>
      </w:pPr>
      <w:bookmarkStart w:id="6" w:name="_Toc474124227"/>
      <w:bookmarkStart w:id="7" w:name="_Toc474124339"/>
      <w:r w:rsidRPr="00F013E9">
        <w:rPr>
          <w:rFonts w:ascii="Arial" w:hAnsi="Arial" w:cs="Arial"/>
          <w:sz w:val="22"/>
          <w:szCs w:val="22"/>
          <w:lang w:val="sk-SK"/>
        </w:rPr>
        <w:t xml:space="preserve">Prehľad o peňažných tokoch </w:t>
      </w:r>
      <w:bookmarkEnd w:id="6"/>
      <w:bookmarkEnd w:id="7"/>
    </w:p>
    <w:p w:rsidR="005A6719" w:rsidRPr="00F013E9" w:rsidRDefault="005A6719" w:rsidP="005A6719">
      <w:pPr>
        <w:keepNext w:val="0"/>
        <w:rPr>
          <w:rFonts w:ascii="Arial" w:hAnsi="Arial" w:cs="Arial"/>
          <w:sz w:val="22"/>
          <w:szCs w:val="22"/>
          <w:lang w:val="sk-SK"/>
        </w:rPr>
      </w:pPr>
      <w:r w:rsidRPr="00F013E9">
        <w:rPr>
          <w:rFonts w:ascii="Arial" w:hAnsi="Arial" w:cs="Arial"/>
          <w:sz w:val="22"/>
          <w:szCs w:val="22"/>
          <w:lang w:val="sk-SK"/>
        </w:rPr>
        <w:t xml:space="preserve">Prehľad o peňažných tokoch bol spracovaný nepriamou metódou. </w:t>
      </w:r>
    </w:p>
    <w:tbl>
      <w:tblPr>
        <w:tblW w:w="94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7"/>
        <w:gridCol w:w="5587"/>
        <w:gridCol w:w="853"/>
        <w:gridCol w:w="879"/>
      </w:tblGrid>
      <w:tr w:rsidR="00DA4AD0" w:rsidRPr="00DA4AD0" w:rsidTr="00DA4AD0">
        <w:trPr>
          <w:trHeight w:val="315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Prehľad o peňažných tokoch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DA4AD0" w:rsidRPr="00DA4AD0" w:rsidTr="00DA4AD0">
        <w:trPr>
          <w:trHeight w:val="315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za rok končiaci: 31.12.2014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DA4AD0" w:rsidRPr="00DA4AD0" w:rsidTr="00DA4AD0">
        <w:trPr>
          <w:trHeight w:val="315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(v EUR)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DA4AD0" w:rsidRPr="00DA4AD0" w:rsidTr="00DA4AD0">
        <w:trPr>
          <w:trHeight w:val="51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5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5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Calibri" w:hAnsi="Calibri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proofErr w:type="spellStart"/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Ozna-čenie</w:t>
            </w:r>
            <w:proofErr w:type="spellEnd"/>
          </w:p>
        </w:tc>
        <w:tc>
          <w:tcPr>
            <w:tcW w:w="5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17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Skutočnosť v EUR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5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Bežné účtovné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Minulé účtovné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5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obdobie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obdobie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Peňažné toky z prevádzkovej činnosti</w:t>
            </w:r>
          </w:p>
        </w:tc>
        <w:tc>
          <w:tcPr>
            <w:tcW w:w="5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495"/>
        </w:trPr>
        <w:tc>
          <w:tcPr>
            <w:tcW w:w="2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Z/S</w:t>
            </w:r>
          </w:p>
        </w:tc>
        <w:tc>
          <w:tcPr>
            <w:tcW w:w="5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Výsledok hospodárenia z bežnej činnosti pred zdanením daňou z príjmov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144 265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170 391</w:t>
            </w:r>
          </w:p>
        </w:tc>
      </w:tr>
      <w:tr w:rsidR="00DA4AD0" w:rsidRPr="00DA4AD0" w:rsidTr="00DA4AD0">
        <w:trPr>
          <w:trHeight w:val="73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Nepeňažné operácie ovplyvňujúce výsledok hospodárenia z bežnej činnosti pred zdanením daňou z príjmov (súčet A.1.1. až A.1.13)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191 594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307 114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A.1.1.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Odpisy dlhodobého nehmotného majetku a dlhodobého hmotného majetku (+)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194 900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216 641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A.1.3.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Odpis opravnej položky k nadobudnutému majetku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-2 500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-1 692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A.1.5.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Zmena stavu opravných položiek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-2 208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5 833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A.1.6.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Zmena stavu položiek časového rozlíšenia nákladov a výnosov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1 402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6 873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A.1.8.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Úroky účtované do nákladov (+)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76 411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A.1.9.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Úroky účtované do výnosov (-)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-2 450</w:t>
            </w:r>
          </w:p>
        </w:tc>
      </w:tr>
      <w:tr w:rsidR="00DA4AD0" w:rsidRPr="00DA4AD0" w:rsidTr="00DA4AD0">
        <w:trPr>
          <w:trHeight w:val="63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A.1.10.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-3</w:t>
            </w:r>
          </w:p>
        </w:tc>
      </w:tr>
      <w:tr w:rsidR="00DA4AD0" w:rsidRPr="00DA4AD0" w:rsidTr="00DA4AD0">
        <w:trPr>
          <w:trHeight w:val="46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A.1.11.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25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A.1.12.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5 476</w:t>
            </w:r>
          </w:p>
        </w:tc>
      </w:tr>
      <w:tr w:rsidR="00DA4AD0" w:rsidRPr="00DA4AD0" w:rsidTr="00DA4AD0">
        <w:trPr>
          <w:trHeight w:val="69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A.1.13.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Ostatné položky nepeňažného charakteru, ktoré ovplyvňujú výsledok hospodárenia z bežnej činnosti s výnimkou tých, ktoré sa uvádzajú osobitne v iných častiach prehľadu peňažných tokov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91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A.2.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Vplyv zmien stavu pracovného kapitálu (rozdiel medzi obežným majetkom a krátkodobými záväzkami s výnimkou položiek obežného majetku, ktoré sú súčasťou peňažných prostriedkov a peňažných ekvivalentov) na výsledok hospodárenia z bežnej činnosti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-805 534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325 958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A.2.1.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Zmena stavu pohľadávok z prevádzkovej činnosti (-/+)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-20 488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-120 981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A.2.2.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Zmena stavu záväzkov z prevádzkovej činnosti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-422 989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690 137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A.2.3.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Zmena stavu zásob (-/+)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-362 057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-243 198</w:t>
            </w:r>
          </w:p>
        </w:tc>
      </w:tr>
      <w:tr w:rsidR="00DA4AD0" w:rsidRPr="00DA4AD0" w:rsidTr="00DA4AD0">
        <w:trPr>
          <w:trHeight w:val="72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lastRenderedPageBreak/>
              <w:t> 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Peňažné toky z prevádzkovej činnosti s výnimkou príjmov a výdavkov, ktoré sa uvádzajú osobitne v iných častiach prehľadu peňažných tokov (+/-), (súčet Z/S+A.1.+A.2.)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-469 675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803 463</w:t>
            </w:r>
          </w:p>
        </w:tc>
      </w:tr>
      <w:tr w:rsidR="00DA4AD0" w:rsidRPr="00DA4AD0" w:rsidTr="00DA4AD0">
        <w:trPr>
          <w:trHeight w:val="49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Peňažné toky z prevádzkovej činnosti (+/-) (súčet Z/S + A.1. až A.6.)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-469 675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803 463</w:t>
            </w:r>
          </w:p>
        </w:tc>
      </w:tr>
      <w:tr w:rsidR="00DA4AD0" w:rsidRPr="00DA4AD0" w:rsidTr="00DA4AD0">
        <w:trPr>
          <w:trHeight w:val="49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A.8.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Príjmy mimoriadneho charakteru vzťahujúce sa na prevádzkovú činnosť (+)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49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A.9.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Výdavky mimoriadneho charakteru vzťahujúce sa na prevádzkovú činnosť (-)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48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A.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Čisté peňažné toky z prevádzkovej činnosti (+/-) (súčet Z/S + A.1. až A.9.)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-469 675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803 463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Peňažné toky z investičnej činnosti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49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B.1.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Výdavky na obstaranie dlhodobého nehmotného majetku (-)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B.2.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Výdavky na obstaranie dlhodobého hmotného majetku (-)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-296 023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-194 764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B.4.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Príjmy z predaja dlhodobého nehmotného majetku (+)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B.5.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Príjmy z predaja dlhodobého hmotného majetku (+)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311 959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60 858</w:t>
            </w:r>
          </w:p>
        </w:tc>
      </w:tr>
      <w:tr w:rsidR="00DA4AD0" w:rsidRPr="00DA4AD0" w:rsidTr="00DA4AD0">
        <w:trPr>
          <w:trHeight w:val="48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Čisté peňažné toky z investičnej činnosti (súčet B.1. až B.20.)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15 936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-133 906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Peňažné toky z finančnej činnosti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C.1.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Peňažné toky vo vlastnom imaní (súčet C.1.1. až C.1.8.)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49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C.1.2.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49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C.2.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Peňažné toky vznikajúce z dlhodobých záväzkov a krátkodobých záväzkov z finančnej činnosti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593 588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-511 217</w:t>
            </w:r>
          </w:p>
        </w:tc>
      </w:tr>
      <w:tr w:rsidR="00DA4AD0" w:rsidRPr="00DA4AD0" w:rsidTr="00DA4AD0">
        <w:trPr>
          <w:trHeight w:val="73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C.2.3.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Príjmy z úverov, ktoré účtovnej jednotke poskytla banka alebo pobočka zahraničnej banky s výnimkou úverov, ktoré boli poskytnuté na zabezpečenie hlavného predmetu činnosti (+)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482 822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97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C.2.4.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Výdavky na splácanie úverov, ktoré účtovnej jednotke poskytla banka alebo pobočka zahraničnej banky s výnimkou úverov, ktoré boli poskytnuté na zabezpečenie hlavného predmetu činnosti (-)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-42 137</w:t>
            </w:r>
          </w:p>
        </w:tc>
      </w:tr>
      <w:tr w:rsidR="00DA4AD0" w:rsidRPr="00DA4AD0" w:rsidTr="00DA4AD0">
        <w:trPr>
          <w:trHeight w:val="49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C.2.5.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Príjmy z prijatých pôžičiek (+)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189 187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73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C.2.8.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-78 421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-469 080</w:t>
            </w:r>
          </w:p>
        </w:tc>
      </w:tr>
      <w:tr w:rsidR="00DA4AD0" w:rsidRPr="00DA4AD0" w:rsidTr="00DA4AD0">
        <w:trPr>
          <w:trHeight w:val="49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C.3.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Výdavky na zaplatené úroky s výnimkou tých, ktoré sa začleňujú do prevádzkových činností (-)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73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C.4.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Výdavky na vyplatené dividendy a iné podiely na zisku s výnimkou tých, ktoré sa začleňujú do prevádzkových činností (-)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-107 901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-97 658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C.7.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sz w:val="18"/>
                <w:szCs w:val="18"/>
                <w:lang w:val="sk-SK" w:eastAsia="sk-SK"/>
              </w:rPr>
              <w:t>Výdavky na daň z príjmov účtovnej jednotky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-39 630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sz w:val="18"/>
                <w:szCs w:val="18"/>
                <w:lang w:val="sk-SK" w:eastAsia="sk-SK"/>
              </w:rPr>
              <w:t>-62 490</w:t>
            </w:r>
          </w:p>
        </w:tc>
      </w:tr>
      <w:tr w:rsidR="00DA4AD0" w:rsidRPr="00DA4AD0" w:rsidTr="00DA4AD0">
        <w:trPr>
          <w:trHeight w:val="30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Čisté peňažné toky z finančnej činnosti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446 057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-671 365</w:t>
            </w:r>
          </w:p>
        </w:tc>
      </w:tr>
      <w:tr w:rsidR="00DA4AD0" w:rsidRPr="00DA4AD0" w:rsidTr="00DA4AD0">
        <w:trPr>
          <w:trHeight w:val="72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D.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Čisté zvýšenie alebo čisté zníženie peňažných prostriedkov a peňažných ekvivalentov (+/-) (súčet A+B+C)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-7 682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-1 808</w:t>
            </w:r>
          </w:p>
        </w:tc>
      </w:tr>
      <w:tr w:rsidR="00DA4AD0" w:rsidRPr="00DA4AD0" w:rsidTr="00DA4AD0">
        <w:trPr>
          <w:trHeight w:val="48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E.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Stav peňažných prostriedkov a peňažných ekvivalentov na začiatku účtovného obdobia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16 764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18 572</w:t>
            </w:r>
          </w:p>
        </w:tc>
      </w:tr>
      <w:tr w:rsidR="00DA4AD0" w:rsidRPr="00DA4AD0" w:rsidTr="00DA4AD0">
        <w:trPr>
          <w:trHeight w:val="96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F.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Stav peňažných prostriedkov a 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9 082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16 764</w:t>
            </w:r>
          </w:p>
        </w:tc>
      </w:tr>
      <w:tr w:rsidR="00DA4AD0" w:rsidRPr="00DA4AD0" w:rsidTr="00DA4AD0">
        <w:trPr>
          <w:trHeight w:val="720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lastRenderedPageBreak/>
              <w:t>G.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Kurzové rozdiely vyčíslené k peňažným prostriedkom a peňažným ekvivalentom  ku dňu, ku ktorému sa zostavuje účtovná závierka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DA4AD0" w:rsidRPr="00DA4AD0" w:rsidTr="00DA4AD0">
        <w:trPr>
          <w:trHeight w:val="97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H.</w:t>
            </w:r>
          </w:p>
        </w:tc>
        <w:tc>
          <w:tcPr>
            <w:tcW w:w="55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9 082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DA4AD0" w:rsidRPr="00DA4AD0" w:rsidRDefault="00DA4AD0" w:rsidP="00DA4AD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</w:pPr>
            <w:r w:rsidRPr="00DA4AD0">
              <w:rPr>
                <w:rFonts w:ascii="Arial CE" w:hAnsi="Arial CE" w:cs="Arial CE"/>
                <w:b/>
                <w:bCs/>
                <w:sz w:val="18"/>
                <w:szCs w:val="18"/>
                <w:lang w:val="sk-SK" w:eastAsia="sk-SK"/>
              </w:rPr>
              <w:t>16 764</w:t>
            </w:r>
          </w:p>
        </w:tc>
      </w:tr>
    </w:tbl>
    <w:p w:rsidR="005C2C9B" w:rsidRDefault="005C2C9B"/>
    <w:p w:rsidR="00662CEA" w:rsidRDefault="00662CEA"/>
    <w:p w:rsidR="00792C37" w:rsidRDefault="00792C37"/>
    <w:p w:rsidR="00792C37" w:rsidRDefault="00792C37">
      <w:bookmarkStart w:id="8" w:name="_GoBack"/>
      <w:bookmarkEnd w:id="8"/>
    </w:p>
    <w:sectPr w:rsidR="00792C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717C9"/>
    <w:multiLevelType w:val="hybridMultilevel"/>
    <w:tmpl w:val="2F18099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BFD"/>
    <w:rsid w:val="00034BFD"/>
    <w:rsid w:val="0004099B"/>
    <w:rsid w:val="0033096B"/>
    <w:rsid w:val="00385ED8"/>
    <w:rsid w:val="003D701D"/>
    <w:rsid w:val="0040619A"/>
    <w:rsid w:val="00464C9B"/>
    <w:rsid w:val="004907AD"/>
    <w:rsid w:val="005178A8"/>
    <w:rsid w:val="005A6719"/>
    <w:rsid w:val="005A7704"/>
    <w:rsid w:val="005B5846"/>
    <w:rsid w:val="005C2C9B"/>
    <w:rsid w:val="006056D8"/>
    <w:rsid w:val="00616E1A"/>
    <w:rsid w:val="00662CEA"/>
    <w:rsid w:val="00792C37"/>
    <w:rsid w:val="007C76D5"/>
    <w:rsid w:val="008F7AC4"/>
    <w:rsid w:val="0092090C"/>
    <w:rsid w:val="009772C2"/>
    <w:rsid w:val="00AF15C8"/>
    <w:rsid w:val="00B524C7"/>
    <w:rsid w:val="00B66272"/>
    <w:rsid w:val="00B87E80"/>
    <w:rsid w:val="00C106BC"/>
    <w:rsid w:val="00DA4AD0"/>
    <w:rsid w:val="00E2514D"/>
    <w:rsid w:val="00E81FD1"/>
    <w:rsid w:val="00EA026B"/>
    <w:rsid w:val="00EB712C"/>
    <w:rsid w:val="00F013E9"/>
    <w:rsid w:val="00F82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4BFD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4BFD"/>
    <w:pPr>
      <w:numPr>
        <w:numId w:val="1"/>
      </w:numPr>
      <w:shd w:val="solid" w:color="FFFFFF" w:fill="FFFFFF"/>
      <w:spacing w:before="360"/>
      <w:outlineLvl w:val="0"/>
    </w:pPr>
    <w:rPr>
      <w:b/>
      <w:bCs/>
      <w:cap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4BFD"/>
    <w:rPr>
      <w:rFonts w:ascii="Times New Roman" w:eastAsia="Times New Roman" w:hAnsi="Times New Roman" w:cs="Times New Roman"/>
      <w:b/>
      <w:bCs/>
      <w:caps/>
      <w:sz w:val="20"/>
      <w:szCs w:val="20"/>
      <w:u w:val="single"/>
      <w:shd w:val="solid" w:color="FFFFFF" w:fill="FFFFFF"/>
      <w:lang w:val="cs-CZ"/>
    </w:rPr>
  </w:style>
  <w:style w:type="paragraph" w:customStyle="1" w:styleId="TableHeader">
    <w:name w:val="Table Header"/>
    <w:basedOn w:val="Normlny"/>
    <w:uiPriority w:val="99"/>
    <w:rsid w:val="00662CEA"/>
    <w:pPr>
      <w:spacing w:after="0"/>
      <w:jc w:val="center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662CEA"/>
    <w:pPr>
      <w:spacing w:after="120"/>
      <w:jc w:val="left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uiPriority w:val="99"/>
    <w:rsid w:val="008F7AC4"/>
    <w:pPr>
      <w:keepNext w:val="0"/>
      <w:spacing w:after="0"/>
      <w:ind w:left="426"/>
    </w:pPr>
    <w:rPr>
      <w:sz w:val="20"/>
      <w:szCs w:val="20"/>
      <w:lang w:val="sk-SK" w:eastAsia="sk-SK"/>
    </w:rPr>
  </w:style>
  <w:style w:type="character" w:customStyle="1" w:styleId="odstavecbezcislaChar">
    <w:name w:val="odstavecbezcisla Char"/>
    <w:link w:val="odstavecbezcisla"/>
    <w:uiPriority w:val="99"/>
    <w:locked/>
    <w:rsid w:val="008F7AC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8F7AC4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8F7AC4"/>
    <w:rPr>
      <w:rFonts w:ascii="Times New Roman" w:eastAsia="Times New Roman" w:hAnsi="Times New Roman" w:cs="Times New Roman"/>
      <w:sz w:val="16"/>
      <w:szCs w:val="16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2514D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514D"/>
    <w:rPr>
      <w:rFonts w:ascii="Tahoma" w:eastAsia="Times New Roman" w:hAnsi="Tahoma" w:cs="Tahoma"/>
      <w:sz w:val="16"/>
      <w:szCs w:val="16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4BFD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4BFD"/>
    <w:pPr>
      <w:numPr>
        <w:numId w:val="1"/>
      </w:numPr>
      <w:shd w:val="solid" w:color="FFFFFF" w:fill="FFFFFF"/>
      <w:spacing w:before="360"/>
      <w:outlineLvl w:val="0"/>
    </w:pPr>
    <w:rPr>
      <w:b/>
      <w:bCs/>
      <w:cap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4BFD"/>
    <w:rPr>
      <w:rFonts w:ascii="Times New Roman" w:eastAsia="Times New Roman" w:hAnsi="Times New Roman" w:cs="Times New Roman"/>
      <w:b/>
      <w:bCs/>
      <w:caps/>
      <w:sz w:val="20"/>
      <w:szCs w:val="20"/>
      <w:u w:val="single"/>
      <w:shd w:val="solid" w:color="FFFFFF" w:fill="FFFFFF"/>
      <w:lang w:val="cs-CZ"/>
    </w:rPr>
  </w:style>
  <w:style w:type="paragraph" w:customStyle="1" w:styleId="TableHeader">
    <w:name w:val="Table Header"/>
    <w:basedOn w:val="Normlny"/>
    <w:uiPriority w:val="99"/>
    <w:rsid w:val="00662CEA"/>
    <w:pPr>
      <w:spacing w:after="0"/>
      <w:jc w:val="center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662CEA"/>
    <w:pPr>
      <w:spacing w:after="120"/>
      <w:jc w:val="left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uiPriority w:val="99"/>
    <w:rsid w:val="008F7AC4"/>
    <w:pPr>
      <w:keepNext w:val="0"/>
      <w:spacing w:after="0"/>
      <w:ind w:left="426"/>
    </w:pPr>
    <w:rPr>
      <w:sz w:val="20"/>
      <w:szCs w:val="20"/>
      <w:lang w:val="sk-SK" w:eastAsia="sk-SK"/>
    </w:rPr>
  </w:style>
  <w:style w:type="character" w:customStyle="1" w:styleId="odstavecbezcislaChar">
    <w:name w:val="odstavecbezcisla Char"/>
    <w:link w:val="odstavecbezcisla"/>
    <w:uiPriority w:val="99"/>
    <w:locked/>
    <w:rsid w:val="008F7AC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8F7AC4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8F7AC4"/>
    <w:rPr>
      <w:rFonts w:ascii="Times New Roman" w:eastAsia="Times New Roman" w:hAnsi="Times New Roman" w:cs="Times New Roman"/>
      <w:sz w:val="16"/>
      <w:szCs w:val="16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2514D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514D"/>
    <w:rPr>
      <w:rFonts w:ascii="Tahoma" w:eastAsia="Times New Roman" w:hAnsi="Tahoma" w:cs="Tahoma"/>
      <w:sz w:val="16"/>
      <w:szCs w:val="1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4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1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BD7526-CA09-464A-AA17-56BD8F606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6</Pages>
  <Words>1659</Words>
  <Characters>9457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Motor-Car</Company>
  <LinksUpToDate>false</LinksUpToDate>
  <CharactersWithSpaces>11094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Ščurková Ľubica</dc:creator>
  <cp:lastModifiedBy>Ščurková Ľubica</cp:lastModifiedBy>
  <cp:revision>34</cp:revision>
  <cp:lastPrinted>2015-03-18T07:08:00Z</cp:lastPrinted>
  <dcterms:created xsi:type="dcterms:W3CDTF">2015-03-16T10:19:00Z</dcterms:created>
  <dcterms:modified xsi:type="dcterms:W3CDTF">2015-03-18T09:46:00Z</dcterms:modified>
</cp:coreProperties>
</file>