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2341D" w:rsidRDefault="0092341D">
      <w:pPr>
        <w:spacing w:before="2" w:line="140" w:lineRule="exact"/>
        <w:rPr>
          <w:rFonts w:ascii="Times New Roman" w:hAnsi="Times New Roman" w:cs="Times New Roman"/>
          <w:sz w:val="14"/>
          <w:szCs w:val="14"/>
          <w:lang w:val="en-US"/>
        </w:rPr>
      </w:pPr>
    </w:p>
    <w:p w:rsidR="0092341D" w:rsidRDefault="0092341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Poznámky k mikro účtovnej závierke za rok 2014</w:t>
      </w:r>
    </w:p>
    <w:p w:rsidR="0092341D" w:rsidRDefault="0092341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ascii="Arial Narrow" w:hAnsi="Arial Narrow" w:cs="Arial Narrow"/>
          <w:b/>
          <w:bCs/>
        </w:rPr>
        <w:t>mikro účtovné jednotky</w:t>
      </w:r>
      <w:r>
        <w:rPr>
          <w:rFonts w:ascii="Arial Narrow" w:hAnsi="Arial Narrow" w:cs="Arial Narrow"/>
        </w:rPr>
        <w:t xml:space="preserve"> v znení neskorších predpisov</w:t>
      </w:r>
    </w:p>
    <w:p w:rsidR="0092341D" w:rsidRDefault="0092341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(ostatná novela č.MF/18008/2014-74 – FS č.10/2014)</w:t>
      </w:r>
    </w:p>
    <w:p w:rsidR="0092341D" w:rsidRDefault="0092341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92341D" w:rsidRDefault="0092341D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</w:t>
      </w:r>
    </w:p>
    <w:p w:rsidR="0092341D" w:rsidRDefault="0092341D">
      <w:pPr>
        <w:ind w:right="841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Vš</w:t>
      </w:r>
      <w:r>
        <w:rPr>
          <w:rFonts w:ascii="Arial" w:hAnsi="Arial" w:cs="Arial"/>
          <w:b/>
          <w:bCs/>
          <w:spacing w:val="-2"/>
        </w:rPr>
        <w:t>e</w:t>
      </w:r>
      <w:r>
        <w:rPr>
          <w:rFonts w:ascii="Arial" w:hAnsi="Arial" w:cs="Arial"/>
          <w:b/>
          <w:bCs/>
        </w:rPr>
        <w:t>ob</w:t>
      </w:r>
      <w:r>
        <w:rPr>
          <w:rFonts w:ascii="Arial" w:hAnsi="Arial" w:cs="Arial"/>
          <w:b/>
          <w:bCs/>
          <w:spacing w:val="-1"/>
        </w:rPr>
        <w:t>ec</w:t>
      </w:r>
      <w:r>
        <w:rPr>
          <w:rFonts w:ascii="Arial" w:hAnsi="Arial" w:cs="Arial"/>
          <w:b/>
          <w:bCs/>
        </w:rPr>
        <w:t>né</w:t>
      </w:r>
      <w:r>
        <w:rPr>
          <w:rFonts w:ascii="Arial" w:hAnsi="Arial" w:cs="Arial"/>
          <w:b/>
          <w:bCs/>
          <w:spacing w:val="-1"/>
        </w:rPr>
        <w:t xml:space="preserve"> </w:t>
      </w:r>
      <w:r>
        <w:rPr>
          <w:rFonts w:ascii="Arial" w:hAnsi="Arial" w:cs="Arial"/>
          <w:b/>
          <w:bCs/>
        </w:rPr>
        <w:t>úda</w:t>
      </w:r>
      <w:r>
        <w:rPr>
          <w:rFonts w:ascii="Arial" w:hAnsi="Arial" w:cs="Arial"/>
          <w:b/>
          <w:bCs/>
          <w:spacing w:val="-1"/>
        </w:rPr>
        <w:t>j</w:t>
      </w:r>
      <w:r>
        <w:rPr>
          <w:rFonts w:ascii="Arial" w:hAnsi="Arial" w:cs="Arial"/>
          <w:b/>
          <w:bCs/>
        </w:rPr>
        <w:t>e</w:t>
      </w:r>
    </w:p>
    <w:p w:rsidR="0092341D" w:rsidRDefault="0092341D">
      <w:pPr>
        <w:spacing w:before="7" w:line="240" w:lineRule="exact"/>
        <w:jc w:val="both"/>
        <w:rPr>
          <w:rFonts w:ascii="Arial" w:hAnsi="Arial" w:cs="Arial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92341D" w:rsidRDefault="0092341D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3085"/>
        <w:gridCol w:w="6602"/>
      </w:tblGrid>
      <w:tr w:rsidR="0092341D">
        <w:tc>
          <w:tcPr>
            <w:tcW w:w="3085" w:type="dxa"/>
          </w:tcPr>
          <w:p w:rsidR="0092341D" w:rsidRDefault="0092341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92341D" w:rsidRDefault="00181F4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Tánczos Matušík s.r.o.</w:t>
            </w:r>
          </w:p>
        </w:tc>
      </w:tr>
      <w:tr w:rsidR="0092341D">
        <w:tc>
          <w:tcPr>
            <w:tcW w:w="3085" w:type="dxa"/>
          </w:tcPr>
          <w:p w:rsidR="0092341D" w:rsidRDefault="0092341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92341D" w:rsidRDefault="00181F4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47 255 676</w:t>
            </w:r>
          </w:p>
        </w:tc>
      </w:tr>
      <w:tr w:rsidR="0092341D">
        <w:tc>
          <w:tcPr>
            <w:tcW w:w="3085" w:type="dxa"/>
          </w:tcPr>
          <w:p w:rsidR="0092341D" w:rsidRDefault="0092341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92341D" w:rsidRDefault="0092341D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92341D" w:rsidRDefault="0092341D">
      <w:pPr>
        <w:spacing w:line="260" w:lineRule="exact"/>
        <w:jc w:val="both"/>
        <w:rPr>
          <w:rFonts w:ascii="Arial" w:hAnsi="Arial" w:cs="Arial"/>
        </w:rPr>
      </w:pPr>
    </w:p>
    <w:p w:rsidR="0092341D" w:rsidRDefault="0092341D">
      <w:pPr>
        <w:spacing w:line="260" w:lineRule="exact"/>
        <w:jc w:val="both"/>
        <w:rPr>
          <w:rFonts w:ascii="Arial" w:hAnsi="Arial" w:cs="Arial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- </w:t>
      </w:r>
      <w:r>
        <w:rPr>
          <w:rFonts w:ascii="Arial" w:hAnsi="Arial" w:cs="Arial"/>
          <w:sz w:val="22"/>
          <w:szCs w:val="22"/>
        </w:rPr>
        <w:t>ob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síd</w:t>
      </w:r>
      <w:r>
        <w:rPr>
          <w:rFonts w:ascii="Arial" w:hAnsi="Arial" w:cs="Arial"/>
          <w:spacing w:val="3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konsolidujú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92341D" w:rsidRDefault="0092341D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92341D" w:rsidRDefault="0092341D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:rsidR="0092341D" w:rsidRDefault="0092341D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4219"/>
        <w:gridCol w:w="2126"/>
        <w:gridCol w:w="3342"/>
      </w:tblGrid>
      <w:tr w:rsidR="0092341D">
        <w:tc>
          <w:tcPr>
            <w:tcW w:w="4219" w:type="dxa"/>
          </w:tcPr>
          <w:p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Názov</w:t>
            </w:r>
          </w:p>
        </w:tc>
        <w:tc>
          <w:tcPr>
            <w:tcW w:w="2126" w:type="dxa"/>
          </w:tcPr>
          <w:p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Bežné účtovné</w:t>
            </w:r>
          </w:p>
          <w:p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obdobie</w:t>
            </w:r>
          </w:p>
        </w:tc>
        <w:tc>
          <w:tcPr>
            <w:tcW w:w="3342" w:type="dxa"/>
          </w:tcPr>
          <w:p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Bezprostredne predchádzajúce účtovné obdobie</w:t>
            </w:r>
          </w:p>
        </w:tc>
      </w:tr>
      <w:tr w:rsidR="0092341D">
        <w:tc>
          <w:tcPr>
            <w:tcW w:w="4219" w:type="dxa"/>
          </w:tcPr>
          <w:p w:rsidR="0092341D" w:rsidRDefault="0092341D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92341D" w:rsidRDefault="00181F4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92341D" w:rsidRDefault="0092341D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92341D" w:rsidRDefault="0092341D">
      <w:pPr>
        <w:spacing w:line="260" w:lineRule="exact"/>
        <w:jc w:val="both"/>
        <w:rPr>
          <w:rFonts w:ascii="Arial" w:hAnsi="Arial" w:cs="Arial"/>
        </w:rPr>
      </w:pPr>
    </w:p>
    <w:p w:rsidR="0092341D" w:rsidRDefault="0092341D">
      <w:pPr>
        <w:spacing w:before="1" w:line="280" w:lineRule="exact"/>
        <w:jc w:val="both"/>
        <w:rPr>
          <w:rFonts w:ascii="Arial" w:hAnsi="Arial" w:cs="Arial"/>
        </w:rPr>
      </w:pPr>
    </w:p>
    <w:p w:rsidR="0092341D" w:rsidRDefault="0092341D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</w:t>
      </w:r>
    </w:p>
    <w:p w:rsidR="0092341D" w:rsidRDefault="0092341D">
      <w:pPr>
        <w:ind w:right="836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In</w:t>
      </w:r>
      <w:r>
        <w:rPr>
          <w:rFonts w:ascii="Arial" w:hAnsi="Arial" w:cs="Arial"/>
          <w:b/>
          <w:bCs/>
          <w:spacing w:val="1"/>
        </w:rPr>
        <w:t>f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  <w:spacing w:val="-4"/>
        </w:rPr>
        <w:t>m</w:t>
      </w:r>
      <w:r>
        <w:rPr>
          <w:rFonts w:ascii="Arial" w:hAnsi="Arial" w:cs="Arial"/>
          <w:b/>
          <w:bCs/>
        </w:rPr>
        <w:t>á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ie o p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</w:rPr>
        <w:t>ij</w:t>
      </w:r>
      <w:r>
        <w:rPr>
          <w:rFonts w:ascii="Arial" w:hAnsi="Arial" w:cs="Arial"/>
          <w:b/>
          <w:bCs/>
          <w:spacing w:val="1"/>
        </w:rPr>
        <w:t>a</w:t>
      </w:r>
      <w:r>
        <w:rPr>
          <w:rFonts w:ascii="Arial" w:hAnsi="Arial" w:cs="Arial"/>
          <w:b/>
          <w:bCs/>
        </w:rPr>
        <w:t>tý</w:t>
      </w:r>
      <w:r>
        <w:rPr>
          <w:rFonts w:ascii="Arial" w:hAnsi="Arial" w:cs="Arial"/>
          <w:b/>
          <w:bCs/>
          <w:spacing w:val="-2"/>
        </w:rPr>
        <w:t>c</w:t>
      </w:r>
      <w:r>
        <w:rPr>
          <w:rFonts w:ascii="Arial" w:hAnsi="Arial" w:cs="Arial"/>
          <w:b/>
          <w:bCs/>
        </w:rPr>
        <w:t>h</w:t>
      </w:r>
      <w:r>
        <w:rPr>
          <w:rFonts w:ascii="Arial" w:hAnsi="Arial" w:cs="Arial"/>
          <w:b/>
          <w:bCs/>
          <w:spacing w:val="2"/>
        </w:rPr>
        <w:t xml:space="preserve"> </w:t>
      </w:r>
      <w:r>
        <w:rPr>
          <w:rFonts w:ascii="Arial" w:hAnsi="Arial" w:cs="Arial"/>
          <w:b/>
          <w:bCs/>
        </w:rPr>
        <w:t>postu</w:t>
      </w:r>
      <w:r>
        <w:rPr>
          <w:rFonts w:ascii="Arial" w:hAnsi="Arial" w:cs="Arial"/>
          <w:b/>
          <w:bCs/>
          <w:spacing w:val="1"/>
        </w:rPr>
        <w:t>p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h</w:t>
      </w:r>
    </w:p>
    <w:p w:rsidR="0092341D" w:rsidRDefault="0092341D">
      <w:pPr>
        <w:spacing w:before="11" w:line="260" w:lineRule="exact"/>
        <w:jc w:val="both"/>
        <w:rPr>
          <w:rFonts w:ascii="Arial" w:hAnsi="Arial" w:cs="Arial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innosti:</w:t>
      </w: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to:</w:t>
      </w: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4843"/>
        <w:gridCol w:w="4844"/>
      </w:tblGrid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Spôsob oceňovania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181F44">
              <w:rPr>
                <w:rFonts w:ascii="Arial" w:hAnsi="Arial" w:cs="Arial"/>
                <w:sz w:val="22"/>
                <w:szCs w:val="22"/>
              </w:rPr>
              <w:t xml:space="preserve"> 0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181F44">
              <w:rPr>
                <w:rFonts w:ascii="Arial" w:hAnsi="Arial" w:cs="Arial"/>
                <w:sz w:val="22"/>
                <w:szCs w:val="22"/>
              </w:rPr>
              <w:t xml:space="preserve"> 0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fin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181F44">
              <w:rPr>
                <w:rFonts w:ascii="Arial" w:hAnsi="Arial" w:cs="Arial"/>
                <w:sz w:val="22"/>
                <w:szCs w:val="22"/>
              </w:rPr>
              <w:t xml:space="preserve"> 0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Zásoby obst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kúpo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181F44">
              <w:rPr>
                <w:rFonts w:ascii="Arial" w:hAnsi="Arial" w:cs="Arial"/>
                <w:sz w:val="22"/>
                <w:szCs w:val="22"/>
              </w:rPr>
              <w:t xml:space="preserve"> 0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 xml:space="preserve">soby 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>
              <w:rPr>
                <w:rFonts w:ascii="Arial" w:hAnsi="Arial" w:cs="Arial"/>
                <w:sz w:val="22"/>
                <w:szCs w:val="22"/>
              </w:rPr>
              <w:t>tvor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92341D" w:rsidRDefault="0092341D" w:rsidP="00181F4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náklady</w:t>
            </w:r>
            <w:r w:rsidR="00181F44">
              <w:rPr>
                <w:rFonts w:ascii="Arial" w:hAnsi="Arial" w:cs="Arial"/>
                <w:sz w:val="22"/>
                <w:szCs w:val="22"/>
              </w:rPr>
              <w:t xml:space="preserve">           14280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  <w:r w:rsidR="00181F44">
              <w:rPr>
                <w:rFonts w:ascii="Arial" w:hAnsi="Arial" w:cs="Arial"/>
                <w:sz w:val="22"/>
                <w:szCs w:val="22"/>
              </w:rPr>
              <w:t xml:space="preserve">          1308 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Kúpené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>
              <w:rPr>
                <w:rFonts w:ascii="Arial" w:hAnsi="Arial" w:cs="Arial"/>
                <w:sz w:val="22"/>
                <w:szCs w:val="22"/>
              </w:rPr>
              <w:t>ina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181F44">
              <w:rPr>
                <w:rFonts w:ascii="Arial" w:hAnsi="Arial" w:cs="Arial"/>
                <w:sz w:val="22"/>
                <w:szCs w:val="22"/>
              </w:rPr>
              <w:t xml:space="preserve">         9212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>
              <w:rPr>
                <w:rFonts w:ascii="Arial" w:hAnsi="Arial" w:cs="Arial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z w:val="22"/>
                <w:szCs w:val="22"/>
              </w:rPr>
              <w:t>ky 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>tane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  <w:r w:rsidR="00181F44">
              <w:rPr>
                <w:rFonts w:ascii="Arial" w:hAnsi="Arial" w:cs="Arial"/>
                <w:sz w:val="22"/>
                <w:szCs w:val="22"/>
              </w:rPr>
              <w:t xml:space="preserve">        15036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Pô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>
              <w:rPr>
                <w:rFonts w:ascii="Arial" w:hAnsi="Arial" w:cs="Arial"/>
                <w:sz w:val="22"/>
                <w:szCs w:val="22"/>
              </w:rPr>
              <w:t>ičky 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úv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  <w:bookmarkStart w:id="0" w:name="_GoBack"/>
            <w:bookmarkEnd w:id="0"/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riv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to</w:t>
            </w:r>
            <w:r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ascii="Arial" w:hAnsi="Arial" w:cs="Arial"/>
                <w:sz w:val="22"/>
                <w:szCs w:val="22"/>
              </w:rPr>
              <w:t>op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252792" w:rsidRDefault="0025279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252792" w:rsidRDefault="0025279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252792" w:rsidRDefault="0025279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</w:t>
      </w:r>
    </w:p>
    <w:p w:rsidR="00252792" w:rsidRDefault="0025279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252792" w:rsidRDefault="0025279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Účtovné odpisy sa  rovnajú daňovým dokladom.</w:t>
      </w: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252792" w:rsidRDefault="0025279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252792" w:rsidRDefault="0025279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Všetky účtovné zásady sa zhodujú so zásadami účtovania podľa zákona o účtovníctve a postupov účtovania</w:t>
      </w: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dotá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</w:t>
      </w:r>
      <w:r>
        <w:rPr>
          <w:rFonts w:ascii="Arial" w:hAnsi="Arial" w:cs="Arial"/>
          <w:spacing w:val="1"/>
          <w:sz w:val="22"/>
          <w:szCs w:val="22"/>
          <w:u w:val="single"/>
        </w:rPr>
        <w:t>á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ich o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ňov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 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íctv</w:t>
      </w:r>
      <w:r>
        <w:rPr>
          <w:rFonts w:ascii="Arial" w:hAnsi="Arial" w:cs="Arial"/>
          <w:spacing w:val="-1"/>
          <w:sz w:val="22"/>
          <w:szCs w:val="22"/>
        </w:rPr>
        <w:t>e:</w:t>
      </w:r>
    </w:p>
    <w:p w:rsidR="00252792" w:rsidRDefault="0025279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Účtovná jednotka v roku 2014 neúčtovala o dotáciách</w:t>
      </w: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4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</w:t>
      </w:r>
    </w:p>
    <w:p w:rsidR="0092341D" w:rsidRDefault="00252792">
      <w:pPr>
        <w:spacing w:before="1" w:line="28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Rok 2014 je prvým účtovným obdobím účtovnej jednotky, preto sa o oprave chýb minulých období neúčtovalo.</w:t>
      </w:r>
    </w:p>
    <w:p w:rsidR="00252792" w:rsidRDefault="00252792">
      <w:pPr>
        <w:spacing w:before="1" w:line="280" w:lineRule="exact"/>
        <w:jc w:val="both"/>
        <w:rPr>
          <w:rFonts w:ascii="Arial" w:hAnsi="Arial" w:cs="Arial"/>
        </w:rPr>
      </w:pPr>
    </w:p>
    <w:p w:rsidR="0092341D" w:rsidRDefault="0092341D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III</w:t>
      </w:r>
    </w:p>
    <w:p w:rsidR="0092341D" w:rsidRDefault="0092341D">
      <w:pPr>
        <w:ind w:right="157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In</w:t>
      </w:r>
      <w:r>
        <w:rPr>
          <w:rFonts w:ascii="Arial" w:hAnsi="Arial" w:cs="Arial"/>
          <w:b/>
          <w:bCs/>
          <w:spacing w:val="1"/>
        </w:rPr>
        <w:t>f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  <w:spacing w:val="-4"/>
        </w:rPr>
        <w:t>m</w:t>
      </w:r>
      <w:r>
        <w:rPr>
          <w:rFonts w:ascii="Arial" w:hAnsi="Arial" w:cs="Arial"/>
          <w:b/>
          <w:bCs/>
        </w:rPr>
        <w:t>á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ie, ktoré</w:t>
      </w:r>
      <w:r>
        <w:rPr>
          <w:rFonts w:ascii="Arial" w:hAnsi="Arial" w:cs="Arial"/>
          <w:b/>
          <w:bCs/>
          <w:spacing w:val="-1"/>
        </w:rPr>
        <w:t xml:space="preserve"> </w:t>
      </w:r>
      <w:r>
        <w:rPr>
          <w:rFonts w:ascii="Arial" w:hAnsi="Arial" w:cs="Arial"/>
          <w:b/>
          <w:bCs/>
        </w:rPr>
        <w:t>vysv</w:t>
      </w:r>
      <w:r>
        <w:rPr>
          <w:rFonts w:ascii="Arial" w:hAnsi="Arial" w:cs="Arial"/>
          <w:b/>
          <w:bCs/>
          <w:spacing w:val="1"/>
        </w:rPr>
        <w:t>e</w:t>
      </w:r>
      <w:r>
        <w:rPr>
          <w:rFonts w:ascii="Arial" w:hAnsi="Arial" w:cs="Arial"/>
          <w:b/>
          <w:bCs/>
        </w:rPr>
        <w:t>tľujú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dop</w:t>
      </w:r>
      <w:r>
        <w:rPr>
          <w:rFonts w:ascii="Arial" w:hAnsi="Arial" w:cs="Arial"/>
          <w:b/>
          <w:bCs/>
          <w:spacing w:val="-2"/>
        </w:rPr>
        <w:t>ĺ</w:t>
      </w:r>
      <w:r>
        <w:rPr>
          <w:rFonts w:ascii="Arial" w:hAnsi="Arial" w:cs="Arial"/>
          <w:b/>
          <w:bCs/>
        </w:rPr>
        <w:t>ňa</w:t>
      </w:r>
      <w:r>
        <w:rPr>
          <w:rFonts w:ascii="Arial" w:hAnsi="Arial" w:cs="Arial"/>
          <w:b/>
          <w:bCs/>
          <w:spacing w:val="-1"/>
        </w:rPr>
        <w:t>j</w:t>
      </w:r>
      <w:r>
        <w:rPr>
          <w:rFonts w:ascii="Arial" w:hAnsi="Arial" w:cs="Arial"/>
          <w:b/>
          <w:bCs/>
        </w:rPr>
        <w:t>ú súv</w:t>
      </w:r>
      <w:r>
        <w:rPr>
          <w:rFonts w:ascii="Arial" w:hAnsi="Arial" w:cs="Arial"/>
          <w:b/>
          <w:bCs/>
          <w:spacing w:val="-3"/>
        </w:rPr>
        <w:t>a</w:t>
      </w:r>
      <w:r>
        <w:rPr>
          <w:rFonts w:ascii="Arial" w:hAnsi="Arial" w:cs="Arial"/>
          <w:b/>
          <w:bCs/>
          <w:spacing w:val="-2"/>
        </w:rPr>
        <w:t>h</w:t>
      </w:r>
      <w:r>
        <w:rPr>
          <w:rFonts w:ascii="Arial" w:hAnsi="Arial" w:cs="Arial"/>
          <w:b/>
          <w:bCs/>
        </w:rPr>
        <w:t>u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výkaz</w:t>
      </w:r>
      <w:r>
        <w:rPr>
          <w:rFonts w:ascii="Arial" w:hAnsi="Arial" w:cs="Arial"/>
          <w:b/>
          <w:bCs/>
          <w:spacing w:val="-1"/>
        </w:rPr>
        <w:t xml:space="preserve"> z</w:t>
      </w:r>
      <w:r>
        <w:rPr>
          <w:rFonts w:ascii="Arial" w:hAnsi="Arial" w:cs="Arial"/>
          <w:b/>
          <w:bCs/>
        </w:rPr>
        <w:t>is</w:t>
      </w:r>
      <w:r>
        <w:rPr>
          <w:rFonts w:ascii="Arial" w:hAnsi="Arial" w:cs="Arial"/>
          <w:b/>
          <w:bCs/>
          <w:spacing w:val="1"/>
        </w:rPr>
        <w:t>k</w:t>
      </w:r>
      <w:r>
        <w:rPr>
          <w:rFonts w:ascii="Arial" w:hAnsi="Arial" w:cs="Arial"/>
          <w:b/>
          <w:bCs/>
        </w:rPr>
        <w:t>ov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st</w:t>
      </w:r>
      <w:r>
        <w:rPr>
          <w:rFonts w:ascii="Arial" w:hAnsi="Arial" w:cs="Arial"/>
          <w:b/>
          <w:bCs/>
          <w:spacing w:val="-2"/>
        </w:rPr>
        <w:t>r</w:t>
      </w:r>
      <w:r>
        <w:rPr>
          <w:rFonts w:ascii="Arial" w:hAnsi="Arial" w:cs="Arial"/>
          <w:b/>
          <w:bCs/>
        </w:rPr>
        <w:t>át</w:t>
      </w:r>
    </w:p>
    <w:p w:rsidR="0092341D" w:rsidRDefault="0092341D">
      <w:pPr>
        <w:spacing w:before="11" w:line="260" w:lineRule="exact"/>
        <w:jc w:val="both"/>
        <w:rPr>
          <w:rFonts w:ascii="Arial" w:hAnsi="Arial" w:cs="Arial"/>
        </w:rPr>
      </w:pPr>
    </w:p>
    <w:p w:rsidR="0092341D" w:rsidRDefault="0092341D" w:rsidP="00252792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z w:val="22"/>
          <w:szCs w:val="22"/>
        </w:rPr>
        <w:t>n</w:t>
      </w:r>
      <w:r>
        <w:rPr>
          <w:rFonts w:ascii="Arial" w:hAnsi="Arial" w:cs="Arial"/>
          <w:b/>
          <w:bCs/>
          <w:spacing w:val="-1"/>
          <w:sz w:val="22"/>
          <w:szCs w:val="22"/>
        </w:rPr>
        <w:t>á</w:t>
      </w:r>
      <w:r>
        <w:rPr>
          <w:rFonts w:ascii="Arial" w:hAnsi="Arial" w:cs="Arial"/>
          <w:b/>
          <w:bCs/>
          <w:sz w:val="22"/>
          <w:szCs w:val="22"/>
        </w:rPr>
        <w:t>kladov</w:t>
      </w:r>
      <w:r>
        <w:rPr>
          <w:rFonts w:ascii="Arial" w:hAnsi="Arial" w:cs="Arial"/>
          <w:b/>
          <w:bCs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pacing w:val="-1"/>
          <w:sz w:val="22"/>
          <w:szCs w:val="22"/>
        </w:rPr>
        <w:t>a</w:t>
      </w:r>
      <w:r>
        <w:rPr>
          <w:rFonts w:ascii="Arial" w:hAnsi="Arial" w:cs="Arial"/>
          <w:b/>
          <w:bCs/>
          <w:sz w:val="22"/>
          <w:szCs w:val="22"/>
        </w:rPr>
        <w:t>lebo</w:t>
      </w:r>
      <w:r>
        <w:rPr>
          <w:rFonts w:ascii="Arial" w:hAnsi="Arial" w:cs="Arial"/>
          <w:b/>
          <w:bCs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pacing w:val="2"/>
          <w:sz w:val="22"/>
          <w:szCs w:val="22"/>
        </w:rPr>
        <w:t>v</w:t>
      </w:r>
      <w:r>
        <w:rPr>
          <w:rFonts w:ascii="Arial" w:hAnsi="Arial" w:cs="Arial"/>
          <w:b/>
          <w:bCs/>
          <w:spacing w:val="-5"/>
          <w:sz w:val="22"/>
          <w:szCs w:val="22"/>
        </w:rPr>
        <w:t>ý</w:t>
      </w:r>
      <w:r>
        <w:rPr>
          <w:rFonts w:ascii="Arial" w:hAnsi="Arial" w:cs="Arial"/>
          <w:b/>
          <w:bCs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</w:t>
      </w:r>
    </w:p>
    <w:p w:rsidR="00252792" w:rsidRDefault="00252792" w:rsidP="00252792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 výnimočných nákladoch sa v období 2014 neúčtovalo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</w:t>
      </w:r>
      <w:r w:rsidR="00252792">
        <w:rPr>
          <w:rFonts w:ascii="Arial" w:hAnsi="Arial" w:cs="Arial"/>
          <w:sz w:val="22"/>
          <w:szCs w:val="22"/>
        </w:rPr>
        <w:t xml:space="preserve"> -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</w:t>
      </w:r>
      <w:r w:rsidR="00252792">
        <w:rPr>
          <w:rFonts w:ascii="Arial" w:hAnsi="Arial" w:cs="Arial"/>
          <w:sz w:val="22"/>
          <w:szCs w:val="22"/>
        </w:rPr>
        <w:t xml:space="preserve"> -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52792" w:rsidRDefault="0092341D" w:rsidP="00252792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 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</w:t>
      </w:r>
      <w:r>
        <w:rPr>
          <w:rFonts w:ascii="Arial" w:hAnsi="Arial" w:cs="Arial"/>
          <w:spacing w:val="-1"/>
          <w:sz w:val="22"/>
          <w:szCs w:val="22"/>
        </w:rPr>
        <w:t>čet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</w:t>
      </w:r>
      <w:r w:rsidR="00252792">
        <w:rPr>
          <w:rFonts w:ascii="Arial" w:hAnsi="Arial" w:cs="Arial"/>
          <w:sz w:val="22"/>
          <w:szCs w:val="22"/>
        </w:rPr>
        <w:t xml:space="preserve"> </w:t>
      </w:r>
    </w:p>
    <w:p w:rsidR="00252792" w:rsidRDefault="00252792" w:rsidP="00252792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pacing w:val="-4"/>
          <w:sz w:val="22"/>
          <w:szCs w:val="22"/>
          <w:u w:val="single"/>
        </w:rPr>
      </w:pPr>
    </w:p>
    <w:p w:rsidR="0092341D" w:rsidRDefault="00252792" w:rsidP="00252792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nemá ani vlastné ani cudzie akcie.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</w:t>
      </w:r>
      <w:r w:rsidR="00252792">
        <w:rPr>
          <w:rFonts w:ascii="Arial" w:hAnsi="Arial" w:cs="Arial"/>
          <w:spacing w:val="-5"/>
          <w:sz w:val="22"/>
          <w:szCs w:val="22"/>
        </w:rPr>
        <w:t xml:space="preserve">   -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obdobia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</w:t>
      </w:r>
      <w:r w:rsidR="00252792">
        <w:rPr>
          <w:rFonts w:ascii="Arial" w:hAnsi="Arial" w:cs="Arial"/>
          <w:spacing w:val="-2"/>
          <w:sz w:val="22"/>
          <w:szCs w:val="22"/>
        </w:rPr>
        <w:t xml:space="preserve">  -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</w:t>
      </w:r>
      <w:r w:rsidR="00252792">
        <w:rPr>
          <w:rFonts w:ascii="Arial" w:hAnsi="Arial" w:cs="Arial"/>
          <w:spacing w:val="-5"/>
          <w:sz w:val="22"/>
          <w:szCs w:val="22"/>
        </w:rPr>
        <w:t xml:space="preserve">  -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tovať:</w:t>
      </w:r>
      <w:r w:rsidR="00252792">
        <w:rPr>
          <w:rFonts w:ascii="Arial" w:hAnsi="Arial" w:cs="Arial"/>
          <w:sz w:val="22"/>
          <w:szCs w:val="22"/>
        </w:rPr>
        <w:t xml:space="preserve">   -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a 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</w:t>
      </w:r>
      <w:r>
        <w:rPr>
          <w:rFonts w:ascii="Arial" w:hAnsi="Arial" w:cs="Arial"/>
          <w:spacing w:val="-2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</w:t>
      </w:r>
      <w:r w:rsidR="00252792">
        <w:rPr>
          <w:rFonts w:ascii="Arial" w:hAnsi="Arial" w:cs="Arial"/>
          <w:spacing w:val="-8"/>
          <w:sz w:val="22"/>
          <w:szCs w:val="22"/>
        </w:rPr>
        <w:t xml:space="preserve">  -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</w:t>
      </w:r>
      <w:r w:rsidR="00252792">
        <w:rPr>
          <w:rFonts w:ascii="Arial" w:hAnsi="Arial" w:cs="Arial"/>
          <w:sz w:val="22"/>
          <w:szCs w:val="22"/>
        </w:rPr>
        <w:t xml:space="preserve"> -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 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</w:t>
      </w:r>
      <w:r w:rsidR="00252792">
        <w:rPr>
          <w:rFonts w:ascii="Arial" w:hAnsi="Arial" w:cs="Arial"/>
          <w:sz w:val="22"/>
          <w:szCs w:val="22"/>
        </w:rPr>
        <w:t xml:space="preserve">  -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> 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</w:t>
      </w:r>
      <w:r w:rsidR="00252792">
        <w:rPr>
          <w:rFonts w:ascii="Arial" w:hAnsi="Arial" w:cs="Arial"/>
          <w:sz w:val="22"/>
          <w:szCs w:val="22"/>
        </w:rPr>
        <w:t xml:space="preserve">  -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ascii="Arial" w:hAnsi="Arial" w:cs="Arial"/>
          <w:b/>
          <w:bCs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921257">
        <w:rPr>
          <w:rFonts w:ascii="Arial" w:hAnsi="Arial" w:cs="Arial"/>
          <w:sz w:val="22"/>
          <w:szCs w:val="22"/>
        </w:rPr>
        <w:t xml:space="preserve">   -</w:t>
      </w:r>
    </w:p>
    <w:sectPr w:rsidR="0092341D" w:rsidSect="0092341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A6906" w:rsidRDefault="005A6906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separator/>
      </w:r>
    </w:p>
  </w:endnote>
  <w:endnote w:type="continuationSeparator" w:id="1">
    <w:p w:rsidR="005A6906" w:rsidRDefault="005A6906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2341D" w:rsidRDefault="004F1AC9">
    <w:pPr>
      <w:spacing w:line="200" w:lineRule="exact"/>
      <w:rPr>
        <w:rFonts w:ascii="Times New Roman" w:hAnsi="Times New Roman" w:cs="Times New Roman"/>
        <w:sz w:val="20"/>
        <w:szCs w:val="20"/>
      </w:rPr>
    </w:pPr>
    <w:r w:rsidRPr="004F1AC9">
      <w:rPr>
        <w:noProof/>
        <w:lang w:val="cs-CZ" w:eastAsia="cs-CZ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92341D" w:rsidRDefault="0092341D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4F1AC9">
                  <w:rPr>
                    <w:rFonts w:cs="Times New Roman"/>
                  </w:rPr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4F1AC9">
                  <w:rPr>
                    <w:rFonts w:cs="Times New Roman"/>
                  </w:rPr>
                  <w:fldChar w:fldCharType="separate"/>
                </w:r>
                <w:r w:rsidR="00921257">
                  <w:rPr>
                    <w:rFonts w:cs="Times New Roman"/>
                    <w:noProof/>
                  </w:rPr>
                  <w:t>3</w:t>
                </w:r>
                <w:r w:rsidR="004F1AC9">
                  <w:rPr>
                    <w:rFonts w:cs="Times New Roman"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A6906" w:rsidRDefault="005A6906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separator/>
      </w:r>
    </w:p>
  </w:footnote>
  <w:footnote w:type="continuationSeparator" w:id="1">
    <w:p w:rsidR="005A6906" w:rsidRDefault="005A6906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2341D" w:rsidRDefault="0092341D">
    <w:pPr>
      <w:pStyle w:val="Hlavika"/>
      <w:rPr>
        <w:rFonts w:ascii="Times New Roman" w:hAnsi="Times New Roman" w:cs="Times New Roman"/>
      </w:rPr>
    </w:pPr>
  </w:p>
  <w:p w:rsidR="0092341D" w:rsidRDefault="0092341D">
    <w:pPr>
      <w:pStyle w:val="Hlavika"/>
      <w:rPr>
        <w:rFonts w:ascii="Times New Roman" w:hAnsi="Times New Roman" w:cs="Times New Roman"/>
      </w:rPr>
    </w:pPr>
  </w:p>
  <w:p w:rsidR="0092341D" w:rsidRDefault="0092341D">
    <w:pPr>
      <w:pStyle w:val="Hlavika"/>
      <w:rPr>
        <w:rFonts w:ascii="Times New Roman" w:hAnsi="Times New Roman" w:cs="Times New Roman"/>
      </w:rPr>
    </w:pPr>
  </w:p>
  <w:p w:rsidR="0092341D" w:rsidRDefault="0092341D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bdr w:val="single" w:sz="4" w:space="0" w:color="auto"/>
      </w:rPr>
      <w:t>Po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>
      <w:rPr>
        <w:rFonts w:ascii="Arial" w:hAnsi="Arial" w:cs="Arial"/>
        <w:sz w:val="22"/>
        <w:szCs w:val="22"/>
        <w:bdr w:val="single" w:sz="4" w:space="0" w:color="auto"/>
      </w:rPr>
      <w:t>n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>
      <w:rPr>
        <w:rFonts w:ascii="Arial" w:hAnsi="Arial" w:cs="Arial"/>
        <w:sz w:val="22"/>
        <w:szCs w:val="22"/>
        <w:bdr w:val="single" w:sz="4" w:space="0" w:color="auto"/>
      </w:rPr>
      <w:t>m</w:t>
    </w:r>
    <w:r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>
      <w:rPr>
        <w:rFonts w:ascii="Arial" w:hAnsi="Arial" w:cs="Arial"/>
        <w:sz w:val="22"/>
        <w:szCs w:val="22"/>
        <w:bdr w:val="single" w:sz="4" w:space="0" w:color="auto"/>
      </w:rPr>
      <w:t>y</w:t>
    </w:r>
    <w:r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>
      <w:rPr>
        <w:rFonts w:ascii="Arial" w:hAnsi="Arial" w:cs="Arial"/>
        <w:sz w:val="22"/>
        <w:szCs w:val="22"/>
        <w:bdr w:val="single" w:sz="4" w:space="0" w:color="auto"/>
      </w:rPr>
      <w:t>č MÚJ 3 –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ČO: 12345678 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>Č: 1234567890</w:t>
    </w:r>
  </w:p>
  <w:p w:rsidR="0092341D" w:rsidRDefault="0092341D">
    <w:pPr>
      <w:pStyle w:val="Hlavika"/>
      <w:rPr>
        <w:rFonts w:ascii="Times New Roman" w:hAnsi="Times New Roman" w:cs="Times New Roman"/>
        <w:sz w:val="24"/>
        <w:szCs w:val="24"/>
      </w:rPr>
    </w:pPr>
  </w:p>
  <w:p w:rsidR="0092341D" w:rsidRDefault="0092341D">
    <w:pPr>
      <w:pStyle w:val="Hlavika"/>
      <w:rPr>
        <w:rFonts w:ascii="Times New Roman" w:hAnsi="Times New Roman" w:cs="Times New Roman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541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261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981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701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421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141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861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581" w:hanging="180"/>
      </w:pPr>
      <w:rPr>
        <w:rFonts w:ascii="Times New Roman" w:hAnsi="Times New Roman" w:cs="Times New Roman"/>
      </w:rPr>
    </w:lvl>
  </w:abstractNum>
  <w:abstractNum w:abstractNumId="4">
    <w:nsid w:val="56A30099"/>
    <w:multiLevelType w:val="hybridMultilevel"/>
    <w:tmpl w:val="A88EBC7E"/>
    <w:lvl w:ilvl="0" w:tplc="0DCE03C2">
      <w:start w:val="1"/>
      <w:numFmt w:val="decimal"/>
      <w:lvlText w:val="%1.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5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6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7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7"/>
  </w:num>
  <w:num w:numId="3">
    <w:abstractNumId w:val="6"/>
  </w:num>
  <w:num w:numId="4">
    <w:abstractNumId w:val="1"/>
  </w:num>
  <w:num w:numId="5">
    <w:abstractNumId w:val="5"/>
  </w:num>
  <w:num w:numId="6">
    <w:abstractNumId w:val="2"/>
  </w:num>
  <w:num w:numId="7">
    <w:abstractNumId w:val="3"/>
  </w:num>
  <w:num w:numId="8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SystemFonts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4098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seFELayout/>
  </w:compat>
  <w:rsids>
    <w:rsidRoot w:val="0092341D"/>
    <w:rsid w:val="00014D88"/>
    <w:rsid w:val="00181F44"/>
    <w:rsid w:val="00252792"/>
    <w:rsid w:val="004F1AC9"/>
    <w:rsid w:val="00597896"/>
    <w:rsid w:val="005A6906"/>
    <w:rsid w:val="00921257"/>
    <w:rsid w:val="0092341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F1AC9"/>
    <w:pPr>
      <w:widowControl w:val="0"/>
    </w:pPr>
    <w:rPr>
      <w:rFonts w:ascii="Calibri" w:hAnsi="Calibri" w:cs="Calibri"/>
      <w:lang w:val="sk-SK" w:eastAsia="en-US"/>
    </w:rPr>
  </w:style>
  <w:style w:type="paragraph" w:styleId="Nadpis1">
    <w:name w:val="heading 1"/>
    <w:basedOn w:val="Normlny"/>
    <w:link w:val="Nadpis1Char"/>
    <w:uiPriority w:val="99"/>
    <w:qFormat/>
    <w:rsid w:val="004F1AC9"/>
    <w:pPr>
      <w:outlineLvl w:val="0"/>
    </w:pPr>
    <w:rPr>
      <w:rFonts w:ascii="Times New Roman" w:hAnsi="Times New Roman" w:cstheme="minorBidi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92341D"/>
    <w:rPr>
      <w:rFonts w:asciiTheme="majorHAnsi" w:eastAsiaTheme="majorEastAsia" w:hAnsiTheme="majorHAnsi" w:cstheme="majorBidi"/>
      <w:b/>
      <w:bCs/>
      <w:kern w:val="32"/>
      <w:sz w:val="32"/>
      <w:szCs w:val="32"/>
      <w:lang w:val="sk-SK" w:eastAsia="en-US"/>
    </w:rPr>
  </w:style>
  <w:style w:type="paragraph" w:styleId="Zkladntext">
    <w:name w:val="Body Text"/>
    <w:basedOn w:val="Normlny"/>
    <w:link w:val="ZkladntextChar"/>
    <w:uiPriority w:val="99"/>
    <w:rsid w:val="004F1AC9"/>
    <w:pPr>
      <w:ind w:left="668" w:hanging="567"/>
    </w:pPr>
    <w:rPr>
      <w:rFonts w:ascii="Times New Roman" w:hAnsi="Times New Roman" w:cstheme="minorBidi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92341D"/>
    <w:rPr>
      <w:rFonts w:ascii="Calibri" w:hAnsi="Calibri" w:cs="Calibri"/>
      <w:lang w:val="sk-SK" w:eastAsia="en-US"/>
    </w:rPr>
  </w:style>
  <w:style w:type="paragraph" w:styleId="Odsekzoznamu">
    <w:name w:val="List Paragraph"/>
    <w:basedOn w:val="Normlny"/>
    <w:uiPriority w:val="99"/>
    <w:qFormat/>
    <w:rsid w:val="004F1AC9"/>
  </w:style>
  <w:style w:type="paragraph" w:customStyle="1" w:styleId="TableParagraph">
    <w:name w:val="Table Paragraph"/>
    <w:basedOn w:val="Normlny"/>
    <w:uiPriority w:val="99"/>
    <w:rsid w:val="004F1AC9"/>
  </w:style>
  <w:style w:type="paragraph" w:styleId="Hlavika">
    <w:name w:val="header"/>
    <w:basedOn w:val="Normlny"/>
    <w:link w:val="HlavikaChar"/>
    <w:uiPriority w:val="99"/>
    <w:rsid w:val="004F1AC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4F1AC9"/>
    <w:rPr>
      <w:rFonts w:ascii="Times New Roman" w:hAnsi="Times New Roman" w:cs="Times New Roman"/>
    </w:rPr>
  </w:style>
  <w:style w:type="paragraph" w:styleId="Pta">
    <w:name w:val="footer"/>
    <w:basedOn w:val="Normlny"/>
    <w:link w:val="PtaChar"/>
    <w:uiPriority w:val="99"/>
    <w:rsid w:val="004F1AC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4F1AC9"/>
    <w:rPr>
      <w:rFonts w:ascii="Times New Roman" w:hAnsi="Times New Roman"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3</Pages>
  <Words>1052</Words>
  <Characters>6003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7041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kukac1</cp:lastModifiedBy>
  <cp:revision>3</cp:revision>
  <dcterms:created xsi:type="dcterms:W3CDTF">2015-03-02T08:35:00Z</dcterms:created>
  <dcterms:modified xsi:type="dcterms:W3CDTF">2015-03-02T08:54:00Z</dcterms:modified>
</cp:coreProperties>
</file>