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6B7" w:rsidRDefault="009A06B7" w:rsidP="009A06B7">
      <w:pPr>
        <w:pStyle w:val="Default"/>
      </w:pPr>
    </w:p>
    <w:tbl>
      <w:tblPr>
        <w:tblStyle w:val="Mriekatabuky"/>
        <w:tblW w:w="0" w:type="auto"/>
        <w:tblLayout w:type="fixed"/>
        <w:tblLook w:val="04A0"/>
      </w:tblPr>
      <w:tblGrid>
        <w:gridCol w:w="3890"/>
        <w:gridCol w:w="613"/>
        <w:gridCol w:w="284"/>
        <w:gridCol w:w="284"/>
        <w:gridCol w:w="283"/>
        <w:gridCol w:w="284"/>
        <w:gridCol w:w="283"/>
        <w:gridCol w:w="236"/>
        <w:gridCol w:w="236"/>
        <w:gridCol w:w="237"/>
        <w:gridCol w:w="992"/>
        <w:gridCol w:w="284"/>
        <w:gridCol w:w="283"/>
        <w:gridCol w:w="284"/>
        <w:gridCol w:w="283"/>
        <w:gridCol w:w="284"/>
        <w:gridCol w:w="283"/>
        <w:gridCol w:w="284"/>
        <w:gridCol w:w="283"/>
        <w:gridCol w:w="249"/>
        <w:gridCol w:w="236"/>
      </w:tblGrid>
      <w:tr w:rsidR="009A06B7" w:rsidTr="009A06B7"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06B7" w:rsidRDefault="009A06B7">
            <w:pPr>
              <w:pStyle w:val="Default"/>
              <w:rPr>
                <w:color w:val="auto"/>
              </w:rPr>
            </w:pPr>
            <w:r>
              <w:rPr>
                <w:sz w:val="23"/>
                <w:szCs w:val="23"/>
              </w:rPr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6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A06B7" w:rsidRDefault="009A06B7">
            <w:pPr>
              <w:pStyle w:val="Default"/>
              <w:rPr>
                <w:color w:val="auto"/>
              </w:rPr>
            </w:pPr>
            <w:r>
              <w:rPr>
                <w:sz w:val="23"/>
                <w:szCs w:val="23"/>
              </w:rPr>
              <w:t>IČO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 w:rsidP="00CA3F7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 w:rsidP="00CA3F7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8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A06B7" w:rsidRDefault="009A06B7">
            <w:pPr>
              <w:pStyle w:val="Default"/>
              <w:rPr>
                <w:color w:val="auto"/>
              </w:rPr>
            </w:pPr>
            <w:r>
              <w:rPr>
                <w:sz w:val="23"/>
                <w:szCs w:val="23"/>
              </w:rPr>
              <w:t>DIČ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9A06B7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9A06B7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 w:rsidP="00CA3F7D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9A06B7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06B7" w:rsidRDefault="00CA3F7D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9A06B7" w:rsidRDefault="009A06B7" w:rsidP="009A06B7">
      <w:pPr>
        <w:pStyle w:val="Default"/>
        <w:rPr>
          <w:color w:val="auto"/>
        </w:rPr>
      </w:pPr>
    </w:p>
    <w:p w:rsidR="009A06B7" w:rsidRDefault="009A06B7" w:rsidP="009A06B7">
      <w:pPr>
        <w:pStyle w:val="Default"/>
        <w:rPr>
          <w:color w:val="auto"/>
        </w:rPr>
      </w:pP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CA3F7D" w:rsidP="009A06B7">
      <w:pPr>
        <w:pStyle w:val="Default"/>
        <w:jc w:val="both"/>
        <w:rPr>
          <w:b/>
          <w:color w:val="auto"/>
          <w:sz w:val="23"/>
          <w:szCs w:val="23"/>
          <w:u w:val="single"/>
        </w:rPr>
      </w:pPr>
      <w:r>
        <w:rPr>
          <w:b/>
          <w:color w:val="auto"/>
          <w:sz w:val="23"/>
          <w:szCs w:val="23"/>
          <w:u w:val="single"/>
        </w:rPr>
        <w:t>BIMI, s.r.o.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Priemerný prepočítaný počet zamestnancov v roku 2014: </w:t>
      </w:r>
      <w:r w:rsidR="00CA3F7D">
        <w:rPr>
          <w:b/>
          <w:color w:val="auto"/>
          <w:sz w:val="23"/>
          <w:szCs w:val="23"/>
        </w:rPr>
        <w:t>1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9A06B7" w:rsidRDefault="009A06B7" w:rsidP="009A06B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</w:t>
      </w:r>
      <w:r>
        <w:rPr>
          <w:b/>
          <w:color w:val="auto"/>
          <w:sz w:val="23"/>
          <w:szCs w:val="23"/>
          <w:u w:val="single"/>
        </w:rPr>
        <w:t>bola</w:t>
      </w:r>
      <w:r>
        <w:rPr>
          <w:color w:val="auto"/>
          <w:sz w:val="23"/>
          <w:szCs w:val="23"/>
        </w:rPr>
        <w:t xml:space="preserve"> zostavená za predpokladu nepretržitého trvania spoločnosti. </w:t>
      </w:r>
    </w:p>
    <w:p w:rsidR="009A06B7" w:rsidRDefault="009A06B7" w:rsidP="009A06B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Účtovné metódy a všeobecné účtovné zásady </w:t>
      </w:r>
      <w:r>
        <w:rPr>
          <w:b/>
          <w:color w:val="auto"/>
          <w:sz w:val="23"/>
          <w:szCs w:val="23"/>
          <w:u w:val="single"/>
        </w:rPr>
        <w:t>boli</w:t>
      </w:r>
      <w:r>
        <w:rPr>
          <w:color w:val="auto"/>
          <w:sz w:val="23"/>
          <w:szCs w:val="23"/>
        </w:rPr>
        <w:t xml:space="preserve"> účtovnou jednotkou konzistentne aplikované.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-</w:t>
      </w:r>
      <w:proofErr w:type="spellStart"/>
      <w:r>
        <w:rPr>
          <w:b/>
          <w:color w:val="auto"/>
          <w:sz w:val="23"/>
          <w:szCs w:val="23"/>
        </w:rPr>
        <w:t>Oceneni,odpisové</w:t>
      </w:r>
      <w:proofErr w:type="spellEnd"/>
      <w:r>
        <w:rPr>
          <w:b/>
          <w:color w:val="auto"/>
          <w:sz w:val="23"/>
          <w:szCs w:val="23"/>
        </w:rPr>
        <w:t xml:space="preserve"> plány DNM a DHM (obstaraného kúpou, vlastnou činnosťou, inak)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Dlhodobý majetok nakupovaný sa oceňuje obstarávacou cenou, ktorá </w:t>
      </w:r>
      <w:proofErr w:type="spellStart"/>
      <w:r>
        <w:rPr>
          <w:color w:val="auto"/>
          <w:sz w:val="23"/>
          <w:szCs w:val="23"/>
        </w:rPr>
        <w:t>zahrńa</w:t>
      </w:r>
      <w:proofErr w:type="spellEnd"/>
      <w:r>
        <w:rPr>
          <w:color w:val="auto"/>
          <w:sz w:val="23"/>
          <w:szCs w:val="23"/>
        </w:rPr>
        <w:t xml:space="preserve"> cenu obstarania a náklady súvisiace s obstaraním (</w:t>
      </w:r>
      <w:proofErr w:type="spellStart"/>
      <w:r>
        <w:rPr>
          <w:color w:val="auto"/>
          <w:sz w:val="23"/>
          <w:szCs w:val="23"/>
        </w:rPr>
        <w:t>clo,preprava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montáž,poistné</w:t>
      </w:r>
      <w:proofErr w:type="spellEnd"/>
      <w:r>
        <w:rPr>
          <w:color w:val="auto"/>
          <w:sz w:val="23"/>
          <w:szCs w:val="23"/>
        </w:rPr>
        <w:t xml:space="preserve"> a pod.)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Odpisy dlhodobého nehmotného majetku sú stanovené vychádzajúc z predpokladanej doby jeho používania a predpokladaného priebehu jeho opotrebenia. Odpisovať sa začína prvým dňom mesiaca uvedenia dlhodobého majetku do používania. Drobný dlhodobý nehmotný majetok, ktorého obstarávacia cena je 2400 Eur a nižšia, sa odpisuje jednorazovo pri uvedení do používania. Odpisy dlhodobého hmotného  majetku sú stanovené vychádzajúc z predpokladanej doby jeho používania a predpokladaného priebehu jeho opotrebenia Odpisovať sa začína prvým dňom mesiaca uvedenia dlhodobého majetku do používania. Drobný dlhodobý hmotný majetok, ktorého obstarávacia cena je 1700 eur a nižšia sa odpisuje jednorazovo pri uvedení do používania. 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  <w:r>
        <w:rPr>
          <w:b/>
          <w:color w:val="auto"/>
          <w:sz w:val="23"/>
          <w:szCs w:val="23"/>
        </w:rPr>
        <w:t>Ocenenie DFM a cenných papierov obchodných podielov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Cenné papiere a podiely sa </w:t>
      </w:r>
      <w:proofErr w:type="spellStart"/>
      <w:r>
        <w:rPr>
          <w:color w:val="auto"/>
          <w:sz w:val="23"/>
          <w:szCs w:val="23"/>
        </w:rPr>
        <w:t>oceńujú</w:t>
      </w:r>
      <w:proofErr w:type="spellEnd"/>
      <w:r>
        <w:rPr>
          <w:color w:val="auto"/>
          <w:sz w:val="23"/>
          <w:szCs w:val="23"/>
        </w:rPr>
        <w:t xml:space="preserve"> obstarávacími cenami vrátane nákladov súvisiacich s obstaraním.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  <w:r>
        <w:rPr>
          <w:b/>
          <w:color w:val="auto"/>
          <w:sz w:val="23"/>
          <w:szCs w:val="23"/>
        </w:rPr>
        <w:t>ocenenie zásob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Zásoby sa </w:t>
      </w:r>
      <w:proofErr w:type="spellStart"/>
      <w:r>
        <w:rPr>
          <w:color w:val="auto"/>
          <w:sz w:val="23"/>
          <w:szCs w:val="23"/>
        </w:rPr>
        <w:t>oceńujú</w:t>
      </w:r>
      <w:proofErr w:type="spellEnd"/>
      <w:r>
        <w:rPr>
          <w:color w:val="auto"/>
          <w:sz w:val="23"/>
          <w:szCs w:val="23"/>
        </w:rPr>
        <w:t xml:space="preserve"> nižšou z nasledujúcich hodnôt obstarávacia cena alebo vlastné náklady alebo čistá realizačná hodnota nakupované zásoby sa oceňujú váženým aritmetickým priemerom z obstarávacích cien. Zníženie hodnoty zásob sa upravuje vytvorením opravnej položky.</w:t>
      </w:r>
    </w:p>
    <w:p w:rsidR="009A06B7" w:rsidRDefault="009A06B7" w:rsidP="009A06B7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-ocenenie pohľadávok 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Pohľadávky pri ich vzniku sa </w:t>
      </w:r>
      <w:proofErr w:type="spellStart"/>
      <w:r>
        <w:rPr>
          <w:color w:val="auto"/>
          <w:sz w:val="23"/>
          <w:szCs w:val="23"/>
        </w:rPr>
        <w:t>oceńujú</w:t>
      </w:r>
      <w:proofErr w:type="spellEnd"/>
      <w:r>
        <w:rPr>
          <w:color w:val="auto"/>
          <w:sz w:val="23"/>
          <w:szCs w:val="23"/>
        </w:rPr>
        <w:t xml:space="preserve">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  <w:r>
        <w:rPr>
          <w:b/>
          <w:color w:val="auto"/>
          <w:sz w:val="23"/>
          <w:szCs w:val="23"/>
        </w:rPr>
        <w:t>ocenenie krátkodobého finančného majetku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Peňažné prostriedky a ceniny sa </w:t>
      </w:r>
      <w:proofErr w:type="spellStart"/>
      <w:r>
        <w:rPr>
          <w:color w:val="auto"/>
          <w:sz w:val="23"/>
          <w:szCs w:val="23"/>
        </w:rPr>
        <w:t>oceńujú</w:t>
      </w:r>
      <w:proofErr w:type="spellEnd"/>
      <w:r>
        <w:rPr>
          <w:color w:val="auto"/>
          <w:sz w:val="23"/>
          <w:szCs w:val="23"/>
        </w:rPr>
        <w:t xml:space="preserve"> ich menovitou hodnotou.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Zníženie ich hodnoty sa vyjadruje opravnou položkou.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lastRenderedPageBreak/>
        <w:t>-ocenenie záväzkov vrátane rezerv, dlhopisov, pôžičiek a úverov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Záväzky pri ich vzniku sa oceňujú menovitou hodnotou. Záväzky pri ich prevzatí sa </w:t>
      </w:r>
      <w:proofErr w:type="spellStart"/>
      <w:r>
        <w:rPr>
          <w:color w:val="auto"/>
          <w:sz w:val="23"/>
          <w:szCs w:val="23"/>
        </w:rPr>
        <w:t>oceńujú</w:t>
      </w:r>
      <w:proofErr w:type="spellEnd"/>
      <w:r>
        <w:rPr>
          <w:color w:val="auto"/>
          <w:sz w:val="23"/>
          <w:szCs w:val="23"/>
        </w:rPr>
        <w:t xml:space="preserve"> obstarávacou cenou ak sa pri inventarizácii zistí že suma je iná ako ich výška v účtovníctve, uvedú sa záväzky v účtovníctve a v účtovnej závierke v tomto zistenom ocenení. Rezervy sú záväzky s neurčitým časovým vymedzením alebo väčšou, tvoria sa na krytie známych rizík alebo strát z podnikania. </w:t>
      </w:r>
      <w:proofErr w:type="spellStart"/>
      <w:r>
        <w:rPr>
          <w:color w:val="auto"/>
          <w:sz w:val="23"/>
          <w:szCs w:val="23"/>
        </w:rPr>
        <w:t>Oceńujú</w:t>
      </w:r>
      <w:proofErr w:type="spellEnd"/>
      <w:r>
        <w:rPr>
          <w:color w:val="auto"/>
          <w:sz w:val="23"/>
          <w:szCs w:val="23"/>
        </w:rPr>
        <w:t xml:space="preserve"> sa v očakávanej výške záväzku.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-ocenenie derivátov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Deriváty sa </w:t>
      </w:r>
      <w:proofErr w:type="spellStart"/>
      <w:r>
        <w:rPr>
          <w:color w:val="auto"/>
          <w:sz w:val="23"/>
          <w:szCs w:val="23"/>
        </w:rPr>
        <w:t>oceńujú</w:t>
      </w:r>
      <w:proofErr w:type="spellEnd"/>
      <w:r>
        <w:rPr>
          <w:color w:val="auto"/>
          <w:sz w:val="23"/>
          <w:szCs w:val="23"/>
        </w:rPr>
        <w:t xml:space="preserve"> reálnou hodnotou. 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Zmena reálnej hodnoty zabezpečovacích derivátov sa účtuje bez vplyvu na výsledok hospodárenia priamo do vlastného imania. Zmena reálnej hodnoty derivátov určených na obchodovanie na burze alebo verejnom trhu sa účtuje s vplyvom na výsledok hospodárenia. 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-Ocenenie majetku a záväzkov zabezpečených derivátmi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Majetok a záväzky zabezpečené derivátmi sa </w:t>
      </w:r>
      <w:proofErr w:type="spellStart"/>
      <w:r>
        <w:rPr>
          <w:color w:val="auto"/>
          <w:sz w:val="23"/>
          <w:szCs w:val="23"/>
        </w:rPr>
        <w:t>oceńujú</w:t>
      </w:r>
      <w:proofErr w:type="spellEnd"/>
      <w:r>
        <w:rPr>
          <w:color w:val="auto"/>
          <w:sz w:val="23"/>
          <w:szCs w:val="23"/>
        </w:rPr>
        <w:t xml:space="preserve"> reálnou hodnotou. Zmena reálnych hodnôt majetku a záväzkov zabezpečených derivátmi sa účtujú bez vplyvu na výsledok hospodárenia, priamo do vlastného imania.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informácie o poskytnutých </w:t>
      </w:r>
      <w:proofErr w:type="spellStart"/>
      <w:r>
        <w:rPr>
          <w:b/>
          <w:color w:val="auto"/>
          <w:sz w:val="23"/>
          <w:szCs w:val="23"/>
        </w:rPr>
        <w:t>dotáciach</w:t>
      </w:r>
      <w:proofErr w:type="spellEnd"/>
      <w:r>
        <w:rPr>
          <w:b/>
          <w:color w:val="auto"/>
          <w:sz w:val="23"/>
          <w:szCs w:val="23"/>
        </w:rPr>
        <w:t xml:space="preserve"> a ich ocenení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Dotácie na hospodársku činnosť sa vykazujú ako výnosy budúcich období a do výkazu ziskov a strát sa rozpúšťajú ako výnosy z hospodárskej činnosti v časovej a vecnej súvislosti s vynaložením nákladov a na príslušný účel.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numPr>
          <w:ilvl w:val="0"/>
          <w:numId w:val="1"/>
        </w:numPr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Informácie, ktoré vysvetľujú a dopĺňajú súvahu a výkazu ziskov a strát</w:t>
      </w:r>
    </w:p>
    <w:p w:rsidR="009A06B7" w:rsidRDefault="009A06B7" w:rsidP="009A06B7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Záväzky</w:t>
      </w:r>
    </w:p>
    <w:p w:rsidR="009A06B7" w:rsidRDefault="009A06B7" w:rsidP="009A06B7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9A06B7" w:rsidRDefault="009A06B7" w:rsidP="009A06B7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>
        <w:rPr>
          <w:b/>
          <w:color w:val="auto"/>
          <w:sz w:val="23"/>
          <w:szCs w:val="23"/>
          <w:u w:val="single"/>
        </w:rPr>
        <w:t>eviduje</w:t>
      </w:r>
      <w:r>
        <w:rPr>
          <w:color w:val="auto"/>
          <w:sz w:val="23"/>
          <w:szCs w:val="23"/>
        </w:rPr>
        <w:t xml:space="preserve"> záväzky .</w:t>
      </w:r>
    </w:p>
    <w:p w:rsidR="009A06B7" w:rsidRDefault="009A06B7" w:rsidP="009A06B7">
      <w:pPr>
        <w:pStyle w:val="Default"/>
        <w:jc w:val="both"/>
        <w:rPr>
          <w:color w:val="auto"/>
        </w:rPr>
      </w:pPr>
    </w:p>
    <w:p w:rsidR="00321498" w:rsidRDefault="00321498"/>
    <w:sectPr w:rsidR="00321498" w:rsidSect="00321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87E7A"/>
    <w:multiLevelType w:val="hybridMultilevel"/>
    <w:tmpl w:val="75A2574A"/>
    <w:lvl w:ilvl="0" w:tplc="7E645D22">
      <w:start w:val="1"/>
      <w:numFmt w:val="decimal"/>
      <w:lvlText w:val="(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156"/>
        </w:tabs>
        <w:ind w:left="1156" w:hanging="360"/>
      </w:pPr>
    </w:lvl>
    <w:lvl w:ilvl="2" w:tplc="041B001B">
      <w:start w:val="1"/>
      <w:numFmt w:val="decimal"/>
      <w:lvlText w:val="%3."/>
      <w:lvlJc w:val="left"/>
      <w:pPr>
        <w:tabs>
          <w:tab w:val="num" w:pos="1876"/>
        </w:tabs>
        <w:ind w:left="1876" w:hanging="360"/>
      </w:pPr>
    </w:lvl>
    <w:lvl w:ilvl="3" w:tplc="041B000F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041B0019">
      <w:start w:val="1"/>
      <w:numFmt w:val="decimal"/>
      <w:lvlText w:val="%5."/>
      <w:lvlJc w:val="left"/>
      <w:pPr>
        <w:tabs>
          <w:tab w:val="num" w:pos="3316"/>
        </w:tabs>
        <w:ind w:left="3316" w:hanging="360"/>
      </w:pPr>
    </w:lvl>
    <w:lvl w:ilvl="5" w:tplc="041B001B">
      <w:start w:val="1"/>
      <w:numFmt w:val="decimal"/>
      <w:lvlText w:val="%6."/>
      <w:lvlJc w:val="left"/>
      <w:pPr>
        <w:tabs>
          <w:tab w:val="num" w:pos="4036"/>
        </w:tabs>
        <w:ind w:left="4036" w:hanging="360"/>
      </w:pPr>
    </w:lvl>
    <w:lvl w:ilvl="6" w:tplc="041B000F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041B0019">
      <w:start w:val="1"/>
      <w:numFmt w:val="decimal"/>
      <w:lvlText w:val="%8."/>
      <w:lvlJc w:val="left"/>
      <w:pPr>
        <w:tabs>
          <w:tab w:val="num" w:pos="5476"/>
        </w:tabs>
        <w:ind w:left="5476" w:hanging="360"/>
      </w:pPr>
    </w:lvl>
    <w:lvl w:ilvl="8" w:tplc="041B001B">
      <w:start w:val="1"/>
      <w:numFmt w:val="decimal"/>
      <w:lvlText w:val="%9."/>
      <w:lvlJc w:val="left"/>
      <w:pPr>
        <w:tabs>
          <w:tab w:val="num" w:pos="6196"/>
        </w:tabs>
        <w:ind w:left="6196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A06B7"/>
    <w:rsid w:val="00321498"/>
    <w:rsid w:val="003C07AC"/>
    <w:rsid w:val="009A06B7"/>
    <w:rsid w:val="00CA3F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06B7"/>
    <w:rPr>
      <w:rFonts w:ascii="Times New Roman" w:eastAsia="Calibri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A06B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9A06B7"/>
    <w:pPr>
      <w:spacing w:after="0" w:line="240" w:lineRule="auto"/>
    </w:pPr>
    <w:rPr>
      <w:rFonts w:eastAsia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A3F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3F7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652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634</Words>
  <Characters>3616</Characters>
  <Application>Microsoft Office Word</Application>
  <DocSecurity>0</DocSecurity>
  <Lines>30</Lines>
  <Paragraphs>8</Paragraphs>
  <ScaleCrop>false</ScaleCrop>
  <Company/>
  <LinksUpToDate>false</LinksUpToDate>
  <CharactersWithSpaces>4242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vlasticka</dc:creator>
  <cp:lastModifiedBy>vlasticka</cp:lastModifiedBy>
  <cp:revision>4</cp:revision>
  <cp:lastPrinted>2015-03-13T13:20:00Z</cp:lastPrinted>
  <dcterms:created xsi:type="dcterms:W3CDTF">2015-03-13T11:45:00Z</dcterms:created>
  <dcterms:modified xsi:type="dcterms:W3CDTF">2015-03-13T13:30:00Z</dcterms:modified>
</cp:coreProperties>
</file>