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FCA" w:rsidRDefault="00E72FCA" w:rsidP="00AF5666">
      <w:pPr>
        <w:shd w:val="clear" w:color="auto" w:fill="FFFFFF"/>
        <w:rPr>
          <w:b w:val="0"/>
          <w:color w:val="000000"/>
          <w:spacing w:val="-3"/>
          <w:sz w:val="24"/>
        </w:rPr>
      </w:pPr>
    </w:p>
    <w:tbl>
      <w:tblPr>
        <w:tblW w:w="91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5960"/>
        <w:gridCol w:w="1180"/>
        <w:gridCol w:w="1060"/>
      </w:tblGrid>
      <w:tr w:rsidR="007A6125" w:rsidRPr="007A6125" w:rsidTr="007A6125">
        <w:trPr>
          <w:trHeight w:val="525"/>
        </w:trPr>
        <w:tc>
          <w:tcPr>
            <w:tcW w:w="692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 xml:space="preserve">Prehľad peňažných tokov 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Bežné  obdobie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Minulé obdobie</w:t>
            </w:r>
          </w:p>
        </w:tc>
      </w:tr>
      <w:tr w:rsidR="007A6125" w:rsidRPr="007A6125" w:rsidTr="007A6125">
        <w:trPr>
          <w:trHeight w:val="300"/>
        </w:trPr>
        <w:tc>
          <w:tcPr>
            <w:tcW w:w="69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201</w:t>
            </w:r>
            <w:r w:rsidR="00AF5666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201</w:t>
            </w:r>
            <w:r w:rsidR="00AF5666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3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 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5" w:rsidRPr="007A6125" w:rsidRDefault="007A6125" w:rsidP="007A6125">
            <w:pPr>
              <w:widowControl/>
              <w:rPr>
                <w:rFonts w:ascii="Calibri" w:hAnsi="Calibri" w:cs="Calibri"/>
                <w:b w:val="0"/>
                <w:snapToGrid/>
                <w:color w:val="000000"/>
                <w:sz w:val="22"/>
                <w:szCs w:val="22"/>
              </w:rPr>
            </w:pPr>
            <w:r w:rsidRPr="007A6125">
              <w:rPr>
                <w:rFonts w:ascii="Calibri" w:hAnsi="Calibri" w:cs="Calibri"/>
                <w:b w:val="0"/>
                <w:snapToGrid/>
                <w:color w:val="000000"/>
                <w:sz w:val="22"/>
                <w:szCs w:val="22"/>
              </w:rPr>
              <w:t>NUSSY s.r.o.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 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Nepeňažné operácie ovplyvňujúce VH z bežnej činnosti(súčet A.1.1 až A.1.13) (+/-)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15"/>
        </w:trPr>
        <w:tc>
          <w:tcPr>
            <w:tcW w:w="6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CCFFFF" w:fill="CCFFFF"/>
            <w:noWrap/>
            <w:vAlign w:val="bottom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Peňažné toky z prevádzkovej činnosti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FF" w:fill="CCFFFF"/>
            <w:noWrap/>
            <w:vAlign w:val="bottom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FF"/>
            <w:noWrap/>
            <w:vAlign w:val="bottom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i/>
                <w:i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i/>
                <w:iCs/>
                <w:snapToGrid/>
                <w:sz w:val="14"/>
                <w:szCs w:val="14"/>
              </w:rPr>
              <w:t>Z/S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i/>
                <w:i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i/>
                <w:iCs/>
                <w:snapToGrid/>
                <w:sz w:val="14"/>
                <w:szCs w:val="14"/>
              </w:rPr>
              <w:t>Výsledok hospodárenia  z bežnej činnosti pred zdanením daňou z príjmov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C20495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927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AF5666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2 452</w:t>
            </w:r>
          </w:p>
        </w:tc>
      </w:tr>
      <w:tr w:rsidR="007A6125" w:rsidRPr="007A6125" w:rsidTr="007A6125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A.1.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Nepeňažné operácie ovplyvňujúce VH z bežnej činnosti(súčet A.1.1 až A.1.13) (+/-)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342406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7 731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AF5666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3 255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A.1.1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Odpisy dlhodobého nehmotného a hmotného majetku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C20495" w:rsidP="00C2049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5 283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  <w:r w:rsidR="00AF5666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4 117</w:t>
            </w:r>
          </w:p>
        </w:tc>
      </w:tr>
      <w:tr w:rsidR="007A6125" w:rsidRPr="007A6125" w:rsidTr="007A6125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A.1.2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Zostatková hodnota DNM a DHM účtovaná pri vyradení do nákladov, s výnimkou predaja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A.1.3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Odpis opravných položiek k odplatne nadobudnutému majetku (+/-)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A.1.4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Zmena stavu dlhodobých rezerv (+/-)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C2049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248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  <w:r w:rsidR="00AF5666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-862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A.1.5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Zmena stavu opravných položiek (+/-)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A.1.6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Zmena stavu položie časového rozlíšenia nákladov a výnosov (+/-)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A.1.7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Dividendy a iné podiely na zisku účtované do výnosov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A.1.8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Úroky účtované do nákladov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C20495" w:rsidP="00C2049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3 531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AF5666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A.1.9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Úroky účtované do výnosov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C20495" w:rsidP="00C2049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-1 253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46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A.1.10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Kurzový zisk vyčíslený k peňažným prostriedkom a peňažným ekvivalentom ku dňu, ku ktorému sa zostavuje účtovná závierka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A.1.11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Kurzová strata vyčíslená k peňažným prostriedkom a peňažným ekvivalentom ku dňu, ku ktorému sa zostavuje účtovná závierka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54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A.1.12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Výsledok z predaja dlhodobého majetku, s výnimkou majetku, ktorý sa považuje za peňažný ekvivalent (+/-)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55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A.1.13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Ostatné položky nepeňažného charakteru,ktoré ovplyvňujú výsledok hospodárenia z bežnej činnosti, s výnimkou tých,ktoré sa uvádzajú osobitne v iných častiach prehľadu peňažných tokov (+/-)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342406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-78</w:t>
            </w:r>
            <w:r w:rsidR="007A6125"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402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A.2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Vplyv zmien stavu pracovného kapitálu (súčet A.2.1 až A.2.4)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C2049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-2 355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AF5666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-157</w:t>
            </w:r>
          </w:p>
        </w:tc>
      </w:tr>
      <w:tr w:rsidR="007A6125" w:rsidRPr="007A6125" w:rsidTr="007A6125">
        <w:trPr>
          <w:trHeight w:val="402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 2.1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Zmena stavu pohľadávok z prevádzkovej činnosti (-/+)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C2049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5 703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AF5666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-399</w:t>
            </w:r>
          </w:p>
        </w:tc>
      </w:tr>
      <w:tr w:rsidR="007A6125" w:rsidRPr="007A6125" w:rsidTr="007A6125">
        <w:trPr>
          <w:trHeight w:val="402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 2.2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Zmena stavu záväzkov z prevádzkovej činnosti (-/+)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C2049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-5 190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AF5666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1 771</w:t>
            </w:r>
          </w:p>
        </w:tc>
      </w:tr>
      <w:tr w:rsidR="007A6125" w:rsidRPr="007A6125" w:rsidTr="007A6125">
        <w:trPr>
          <w:trHeight w:val="402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 2.3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Zmena stavu zásob (-/+)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C2049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-2 868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AF5666" w:rsidP="00AF5666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-1 529</w:t>
            </w:r>
          </w:p>
        </w:tc>
      </w:tr>
      <w:tr w:rsidR="007A6125" w:rsidRPr="007A6125" w:rsidTr="007A6125">
        <w:trPr>
          <w:trHeight w:val="52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 2.4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Zmena stavu krátkodobého finančného majetku, s výnimkou majektu, ktorý je súčasťou peňažných  prostriedkov a peňažných ekvivalentov (-/+)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</w:p>
        </w:tc>
      </w:tr>
      <w:tr w:rsidR="007A6125" w:rsidRPr="007A6125" w:rsidTr="007A6125">
        <w:trPr>
          <w:trHeight w:val="78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Peňažné toky z prevádzkovej činnosti s výnimkou príjmov a výdavkov, ktoré sa uvádzajú osobitne v iných častiach prehľadu peňažných tokov (+/-), (súčet Z/S + A1+A2)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342406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6 303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AF5666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5 550</w:t>
            </w:r>
          </w:p>
        </w:tc>
      </w:tr>
      <w:tr w:rsidR="007A6125" w:rsidRPr="007A6125" w:rsidTr="007A6125">
        <w:trPr>
          <w:trHeight w:val="55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A.3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Prijaté úroky s výnimkou tých,ktoré sa začleňujú do investičných činností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C2049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1 253</w:t>
            </w:r>
            <w:r w:rsidR="007A6125"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54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A.4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na zaplatené úroky s výnimkou tých, ktoré sa začleňujú do investičných činností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  <w:r w:rsidR="00C2049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-3 531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</w:p>
        </w:tc>
      </w:tr>
      <w:tr w:rsidR="007A6125" w:rsidRPr="007A6125" w:rsidTr="007A6125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A.5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Príjmy z dividend a iných podielov na zisku, s výnimkou tých, ktoré sa začleňujú do investičných činností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A.6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na vyplatené dividendy a iné podiely na zisku, s výnimkou tých, ktoré sa začleňujú do finančných činností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Peňažné toky z prevádzkovej činnosti (+/-), (súčet A1 až A6)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342406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4 025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5</w:t>
            </w:r>
            <w:r w:rsidR="00AF5666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 xml:space="preserve"> </w:t>
            </w: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5</w:t>
            </w:r>
            <w:r w:rsidR="00AF5666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50</w:t>
            </w:r>
          </w:p>
        </w:tc>
      </w:tr>
      <w:tr w:rsidR="007A6125" w:rsidRPr="007A6125" w:rsidTr="00CC5303">
        <w:trPr>
          <w:trHeight w:val="55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A.7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na daň z príjmov účtovnej jednotky, s výnimkou tých, ktoré sa začleňujú do investičných činností alebo finančných činností (+/-)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CC5303">
        <w:trPr>
          <w:trHeight w:val="405"/>
        </w:trPr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A.8</w:t>
            </w:r>
          </w:p>
        </w:tc>
        <w:tc>
          <w:tcPr>
            <w:tcW w:w="59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Príjmy mimoriadneho charakteru vzťahujúce  sa na prevádzkovú činnosť (+)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CC5303">
        <w:trPr>
          <w:trHeight w:val="435"/>
        </w:trPr>
        <w:tc>
          <w:tcPr>
            <w:tcW w:w="96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A.9</w:t>
            </w:r>
          </w:p>
        </w:tc>
        <w:tc>
          <w:tcPr>
            <w:tcW w:w="59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mimoriadneho charakteru vzťahujúce sa na prevádzkovú činnosť (-)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52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lastRenderedPageBreak/>
              <w:t>A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i/>
                <w:i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i/>
                <w:iCs/>
                <w:snapToGrid/>
                <w:sz w:val="14"/>
                <w:szCs w:val="14"/>
              </w:rPr>
              <w:t>Čisté peňažné toky z prevádzkovej činnosti (súčet A.1 až  A.9)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342406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4 025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5</w:t>
            </w:r>
            <w:r w:rsidR="00AF5666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 xml:space="preserve"> </w:t>
            </w: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5</w:t>
            </w:r>
            <w:r w:rsidR="00AF5666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50</w:t>
            </w:r>
          </w:p>
        </w:tc>
      </w:tr>
      <w:tr w:rsidR="007A6125" w:rsidRPr="007A6125" w:rsidTr="007A6125">
        <w:trPr>
          <w:trHeight w:val="402"/>
        </w:trPr>
        <w:tc>
          <w:tcPr>
            <w:tcW w:w="692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CCFFFF" w:fill="CCFFFF"/>
            <w:noWrap/>
            <w:vAlign w:val="bottom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Peňažné toky z investičnej činnosti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FF" w:fill="CCFFFF"/>
            <w:noWrap/>
            <w:vAlign w:val="bottom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FF"/>
            <w:noWrap/>
            <w:vAlign w:val="bottom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B.1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na obstaranie dlhodobého nehmotného majetku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B.2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na obstaranie dlhodobého hmotného majetku 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C2049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-18 646</w:t>
            </w:r>
            <w:r w:rsidR="007A6125"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</w:p>
        </w:tc>
      </w:tr>
      <w:tr w:rsidR="007A6125" w:rsidRPr="007A6125" w:rsidTr="007A6125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B.3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na obstaranie dlhodobých cenných papierov a podielov v iných účtovných jednotkách, s výnimkou cenných papierov, ktoré sa považujú za peňažné ekvivalenty a cenných papierov určených na predaj alebo na obchodovanie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402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B.4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Príjmy z predaja dlhodobého nehmotného majetku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402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B.5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Príjmy z predaja dlhodobého hmotného majetku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B.6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Príjmy z predaja dlhodobých cenných papierov a podielov v iných účtovných jednotkách s výnimkou cenných papierov, ktoré sa považujú za peňažné ekvivalenty a cenných papierov určených na predaj alebo na obchodovanie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6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B.7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na dlhodobé pôžičky poskytnuté účtovnou jednotkou inej účtovnej jednotke, ktorá je súčasťou konsolidovaného celku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58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B.8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Príjmy zo splácania dlhodobých pôžičiek poskytnutých účtovnou jednotkou inej účtovnej jednotke, ktorá je súčasťou konsolidovaného celku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70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B.9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na dlhodobé pôžičky poskytnuté účtovnou jednotkou tretím osobám, s výnimkou dlhodobých pôžičiek poskytnutých účtovnej jednotke, ktorá je súčasťou konsolidovaného celku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</w:p>
        </w:tc>
      </w:tr>
      <w:tr w:rsidR="007A6125" w:rsidRPr="007A6125" w:rsidTr="007A6125">
        <w:trPr>
          <w:trHeight w:val="72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B.10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Príjmy zo splácania pôžičiek poskytnutých účtovnou jednotkou tretím osobám s výnimkou dlhodobých pôžičiek poskytnutých účtovnej jednotke, ktorá je súčasťou konsolidovaného celku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57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B.11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Prijaté úroky s výnimkou tých,ktoré sa začleňujú do prevádzkových činností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B.12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Príjmy z dividend a iných podielov na zisku, s výnimkou tých, ktoré sa začleňujú do prevádzkových činností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76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B.13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súvisiace s derivátmi s výnimkou, ak sú určené na predaj alebo na obchodovanie, alebo ak sa tieto výdavky považujú za peňažné toky z finančnej činnosti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76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B.14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Príjmy súvisiace s derivátmi s výnimkou, ak sú určené na predaj alebo na obchodovanie, alebop ak sa tieto výdavky považujú za peňažné toky z finančnej činnosti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B.15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na daň z príjmov účtovnej jednotky, ak je ju možné začleniť do investičných činností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B.16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Príjmy mimoriadneho charakteru vzťahujúce sa na investičnú činnosť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B.17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mimoriadneho charakteru vzťahujúce sa na investičnú činnosť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B.18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Ostatné príjmy vzťahujúce sa na investičnú činnosť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B.19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Ostatné výdavky vzťahujúce sa na investičnú činnosť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i/>
                <w:i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i/>
                <w:iCs/>
                <w:snapToGrid/>
                <w:sz w:val="14"/>
                <w:szCs w:val="14"/>
              </w:rPr>
              <w:t>B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i/>
                <w:i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i/>
                <w:iCs/>
                <w:snapToGrid/>
                <w:sz w:val="14"/>
                <w:szCs w:val="14"/>
              </w:rPr>
              <w:t>Čisté peňažné toky z investičnej činnosti ( súčet B.1 až  B.20)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C20495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-18 646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AF5666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0</w:t>
            </w:r>
          </w:p>
        </w:tc>
      </w:tr>
      <w:tr w:rsidR="007A6125" w:rsidRPr="007A6125" w:rsidTr="007A6125">
        <w:trPr>
          <w:trHeight w:val="315"/>
        </w:trPr>
        <w:tc>
          <w:tcPr>
            <w:tcW w:w="6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CCFFFF" w:fill="CCFFFF"/>
            <w:noWrap/>
            <w:vAlign w:val="bottom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Peňažné toky z finančných činností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FF" w:fill="CCFFFF"/>
            <w:noWrap/>
            <w:vAlign w:val="bottom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FF"/>
            <w:noWrap/>
            <w:vAlign w:val="bottom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C.1.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Peňažné toky vo vlastnom imaní (súčet C.1.1 až C.1.8)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C.1.1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Príjmy z upísaných akcií a obchodných podielov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C.1.2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Príjmy z ďaľších vkladov do vlastného imania spoločníkmi alebo fyzickou osobou, ktorá je účtovnou jednotkou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C.1.3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Prijaté peňažné dary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C.1.4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Príjmy z úhrady straty spoločníkmi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C.1.5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na obstaranie alebo spätné odkúpenie vlastných obchodných podielov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C.1.6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spojené so znížením fondov vytvorených účtovnou jednotkou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CC5303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C.1.7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na vyplatenie podielu na vlastnom imaní spoločníkmi účtovnej jednotky a fyzickou osobou, ktorá je účtovnou jednotkou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CC530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C.1.8</w:t>
            </w:r>
          </w:p>
        </w:tc>
        <w:tc>
          <w:tcPr>
            <w:tcW w:w="5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z iných dôvodov, ktoré súvisia so znížením vlastného imania (-)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CC5303">
        <w:trPr>
          <w:trHeight w:val="510"/>
        </w:trPr>
        <w:tc>
          <w:tcPr>
            <w:tcW w:w="96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lastRenderedPageBreak/>
              <w:t>C.2.</w:t>
            </w:r>
          </w:p>
        </w:tc>
        <w:tc>
          <w:tcPr>
            <w:tcW w:w="59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Peňažné toky vznikajúce z dlhodobých  záväzkov a krátkodobých záväzkov z finančnej činnosti (súčet C.2.1 až C.2.10)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342406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7 132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AF5666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968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C.2.1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Príjmy z emisie dlhodobých cenných papierov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C.2.2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na úhradu záväzkov z dlhových cenných papierov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76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C.2.3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Príjmy z úverov, ktoré účtovnej jednotke poskytla banka alebo pobička zahraničnej banky s výnimkou úverov, ktoré boli poskytnuté na zabezpečenie hlavného predmetu činnosti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76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C.2.4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na splácanie úverov, ktoré účtovnej jednotke poskytla banka alebo pobočka zahraničnej banky, s výnimkou úverov, ktoré boli poskytn</w:t>
            </w:r>
            <w:bookmarkStart w:id="0" w:name="_GoBack"/>
            <w:bookmarkEnd w:id="0"/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uté na zabezpečenie hlavného predmetu činnosti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C.2.5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Príjmy z prijatých pôžičiek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342406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7 132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AF5666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968</w:t>
            </w:r>
            <w:r w:rsidR="007A6125"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C.2.6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na splácanie pôžičie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C.2.7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na úhradu záväzkov z používania majetku, ktorý je predmetom zmluvy o kúpe prenajatej veci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76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C.2.8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Príjmy z ostatných dlhodobých záväzkov a krátkodobých záväzkov vyplývajúcich z finančnej činnosti účtovnej jednotky, s výnimkou tých, ktoré sa uvádzajú osobitne v inej časti prehľadu peňažných tokov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76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C.2.9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na splácanie ostatných dlhodobých záväzkov a krátkodobých záväzkov vyplývajúcich z finančnej činnosti  účtovnej jednotky, s výnimkou tých, ktoré sa uvádzajú osobitne v inej časti prehľadu peňažných tokov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C.3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na zaplatené úroky s výnimkou tých, ktoré sa začleňujú do prevádzkových činností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C.4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na vyplatené dividendy a iné podiely na zisku, s výnimkou tých, ktoré sa začleňujú do prevádzkových činností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76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C.5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súvisiace s derivátmi s výnimkou, ak sú určené na predaj alebo na obchodovanie, alebo ak sa tieto výdavky považujú za peňažné toky z investičnej činnosti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76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C.6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Príjmy súvisiace s derivátmi s výnimkou, ak sú určené na predaj alebo na obchodovanie, alebo ak sa tieto výdavky považujú za peňažné toky z investičnej činnosti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C.7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na daň z príjmov účtovnej jednotky, ak je ju možné začleniť do finančných činností 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C.8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Príjmy mimoriadneho charakteru vzťahujúce sa na finančnú  činnosť 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C.9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Výdavky mimoriadneho charakteru vzťahujúce sa na finančnú činnosť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 w:val="0"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i/>
                <w:i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i/>
                <w:iCs/>
                <w:snapToGrid/>
                <w:sz w:val="14"/>
                <w:szCs w:val="14"/>
              </w:rPr>
              <w:t>C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i/>
                <w:i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i/>
                <w:iCs/>
                <w:snapToGrid/>
                <w:sz w:val="14"/>
                <w:szCs w:val="14"/>
              </w:rPr>
              <w:t>Čisté peňažné toky z finančnej činnosti (súčez C.1 až C.9)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342406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i/>
                <w:iCs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Cs/>
                <w:i/>
                <w:iCs/>
                <w:snapToGrid/>
                <w:sz w:val="14"/>
                <w:szCs w:val="14"/>
              </w:rPr>
              <w:t>7 132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AF5666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i/>
                <w:iCs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Cs/>
                <w:i/>
                <w:iCs/>
                <w:snapToGrid/>
                <w:sz w:val="14"/>
                <w:szCs w:val="14"/>
              </w:rPr>
              <w:t>968</w:t>
            </w:r>
          </w:p>
        </w:tc>
      </w:tr>
      <w:tr w:rsidR="007A6125" w:rsidRPr="007A6125" w:rsidTr="007A6125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D.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Čisté zvýšenie alebo čisté zníženi peňažných prostriedkov (+/-) (súčet A+ B+C)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342406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-7 489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AF5666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6 518</w:t>
            </w:r>
          </w:p>
        </w:tc>
      </w:tr>
      <w:tr w:rsidR="007A6125" w:rsidRPr="007A6125" w:rsidTr="007A6125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E.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Stav peňažných prostriedkov a peňažných ekvivalentov na začiatku účtovného obdobia (+/-)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C20495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7 578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AF5666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1 060</w:t>
            </w:r>
          </w:p>
        </w:tc>
      </w:tr>
      <w:tr w:rsidR="007A6125" w:rsidRPr="007A6125" w:rsidTr="007A6125">
        <w:trPr>
          <w:trHeight w:val="102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F.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Stav peňažných prostriedkov a peňažných ekvivalentov na konci účtovného obdobia pred zohľadnením kurzových rozdielov vyčíslených ku dňu, ku ktorému sa zostavuje účtovná závierka (+/-)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C20495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AF5666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7 578</w:t>
            </w:r>
          </w:p>
        </w:tc>
      </w:tr>
      <w:tr w:rsidR="007A6125" w:rsidRPr="007A6125" w:rsidTr="007A6125">
        <w:trPr>
          <w:trHeight w:val="52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G.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Kurzové rozdiely vyčíslené k peňažným prostriedkom a peňažným ekvivalentom ku dňu, ku ktorému sa zostavuje účtovná závierka (+/-)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 </w:t>
            </w:r>
          </w:p>
        </w:tc>
      </w:tr>
      <w:tr w:rsidR="007A6125" w:rsidRPr="007A6125" w:rsidTr="007A6125">
        <w:trPr>
          <w:trHeight w:val="78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H.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25" w:rsidRPr="007A6125" w:rsidRDefault="007A6125" w:rsidP="007A6125">
            <w:pPr>
              <w:widowControl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Zostatok peňažných prostriedkov a peňažných ekvivalentov na konci účtovného obdobia, upravený o kurzové rozdiely vyčíslené ku dňu, ku ktorému sa zostavuje účtovná závierka (+/-)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7A6125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 w:rsidRPr="007A612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8</w:t>
            </w:r>
            <w:r w:rsidR="00C20495"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C0C0C0" w:fill="FFCC99"/>
            <w:noWrap/>
            <w:vAlign w:val="center"/>
            <w:hideMark/>
          </w:tcPr>
          <w:p w:rsidR="007A6125" w:rsidRPr="007A6125" w:rsidRDefault="00AF5666" w:rsidP="007A6125">
            <w:pPr>
              <w:widowControl/>
              <w:jc w:val="center"/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Cs/>
                <w:snapToGrid/>
                <w:sz w:val="14"/>
                <w:szCs w:val="14"/>
              </w:rPr>
              <w:t xml:space="preserve"> 7 578</w:t>
            </w:r>
          </w:p>
        </w:tc>
      </w:tr>
    </w:tbl>
    <w:p w:rsidR="00E72FCA" w:rsidRDefault="00E72FCA" w:rsidP="007A6125">
      <w:pPr>
        <w:shd w:val="clear" w:color="auto" w:fill="FFFFFF"/>
        <w:ind w:left="4349"/>
        <w:jc w:val="both"/>
        <w:rPr>
          <w:b w:val="0"/>
          <w:color w:val="000000"/>
          <w:spacing w:val="-3"/>
          <w:sz w:val="24"/>
        </w:rPr>
      </w:pPr>
    </w:p>
    <w:p w:rsidR="00E72FCA" w:rsidRDefault="00E72FCA">
      <w:pPr>
        <w:shd w:val="clear" w:color="auto" w:fill="FFFFFF"/>
        <w:ind w:left="4349"/>
        <w:rPr>
          <w:b w:val="0"/>
          <w:color w:val="000000"/>
          <w:spacing w:val="-3"/>
          <w:sz w:val="24"/>
        </w:rPr>
      </w:pPr>
    </w:p>
    <w:p w:rsidR="00E72FCA" w:rsidRDefault="00E72FCA">
      <w:pPr>
        <w:shd w:val="clear" w:color="auto" w:fill="FFFFFF"/>
        <w:ind w:left="4349"/>
        <w:jc w:val="both"/>
        <w:rPr>
          <w:b w:val="0"/>
          <w:color w:val="000000"/>
          <w:spacing w:val="-3"/>
          <w:sz w:val="24"/>
        </w:rPr>
      </w:pPr>
    </w:p>
    <w:p w:rsidR="00D84BF9" w:rsidRDefault="00D84BF9" w:rsidP="00D84BF9">
      <w:pPr>
        <w:shd w:val="clear" w:color="auto" w:fill="FFFFFF"/>
        <w:rPr>
          <w:b w:val="0"/>
          <w:color w:val="000000"/>
          <w:spacing w:val="-3"/>
          <w:sz w:val="24"/>
        </w:rPr>
      </w:pPr>
    </w:p>
    <w:p w:rsidR="00E72FCA" w:rsidRDefault="00D84BF9" w:rsidP="00D84BF9">
      <w:pPr>
        <w:shd w:val="clear" w:color="auto" w:fill="FFFFFF"/>
        <w:rPr>
          <w:b w:val="0"/>
          <w:color w:val="000000"/>
          <w:spacing w:val="-3"/>
          <w:sz w:val="24"/>
        </w:rPr>
      </w:pPr>
      <w:r>
        <w:rPr>
          <w:b w:val="0"/>
          <w:color w:val="000000"/>
          <w:spacing w:val="-3"/>
          <w:sz w:val="24"/>
        </w:rPr>
        <w:tab/>
      </w:r>
      <w:r>
        <w:rPr>
          <w:b w:val="0"/>
          <w:color w:val="000000"/>
          <w:spacing w:val="-3"/>
          <w:sz w:val="24"/>
        </w:rPr>
        <w:tab/>
      </w:r>
      <w:r>
        <w:rPr>
          <w:b w:val="0"/>
          <w:color w:val="000000"/>
          <w:spacing w:val="-3"/>
          <w:sz w:val="24"/>
        </w:rPr>
        <w:tab/>
      </w:r>
      <w:r>
        <w:rPr>
          <w:b w:val="0"/>
          <w:color w:val="000000"/>
          <w:spacing w:val="-3"/>
          <w:sz w:val="24"/>
        </w:rPr>
        <w:tab/>
      </w:r>
      <w:r>
        <w:rPr>
          <w:b w:val="0"/>
          <w:color w:val="000000"/>
          <w:spacing w:val="-3"/>
          <w:sz w:val="24"/>
        </w:rPr>
        <w:tab/>
      </w:r>
      <w:r>
        <w:rPr>
          <w:b w:val="0"/>
          <w:color w:val="000000"/>
          <w:spacing w:val="-3"/>
          <w:sz w:val="24"/>
        </w:rPr>
        <w:tab/>
      </w:r>
      <w:r>
        <w:rPr>
          <w:b w:val="0"/>
          <w:color w:val="000000"/>
          <w:spacing w:val="-3"/>
          <w:sz w:val="24"/>
        </w:rPr>
        <w:tab/>
      </w:r>
      <w:r>
        <w:rPr>
          <w:b w:val="0"/>
          <w:color w:val="000000"/>
          <w:spacing w:val="-3"/>
          <w:sz w:val="24"/>
        </w:rPr>
        <w:tab/>
      </w:r>
      <w:r>
        <w:rPr>
          <w:b w:val="0"/>
          <w:color w:val="000000"/>
          <w:spacing w:val="-3"/>
          <w:sz w:val="24"/>
        </w:rPr>
        <w:tab/>
      </w:r>
    </w:p>
    <w:p w:rsidR="00E72FCA" w:rsidRDefault="00E72FCA">
      <w:pPr>
        <w:shd w:val="clear" w:color="auto" w:fill="FFFFFF"/>
        <w:spacing w:before="216" w:line="278" w:lineRule="exact"/>
        <w:ind w:left="-142" w:right="1075" w:firstLine="142"/>
        <w:jc w:val="center"/>
        <w:rPr>
          <w:i/>
          <w:color w:val="000000"/>
          <w:spacing w:val="-2"/>
          <w:sz w:val="28"/>
        </w:rPr>
      </w:pPr>
    </w:p>
    <w:p w:rsidR="00E72FCA" w:rsidRDefault="00E72FCA"/>
    <w:sectPr w:rsidR="00E72FCA" w:rsidSect="00E83426">
      <w:headerReference w:type="default" r:id="rId8"/>
      <w:type w:val="continuous"/>
      <w:pgSz w:w="11909" w:h="16834"/>
      <w:pgMar w:top="898" w:right="444" w:bottom="360" w:left="444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4A7" w:rsidRDefault="000E14A7" w:rsidP="007A6125">
      <w:r>
        <w:separator/>
      </w:r>
    </w:p>
  </w:endnote>
  <w:endnote w:type="continuationSeparator" w:id="0">
    <w:p w:rsidR="000E14A7" w:rsidRDefault="000E14A7" w:rsidP="007A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4A7" w:rsidRDefault="000E14A7" w:rsidP="007A6125">
      <w:r>
        <w:separator/>
      </w:r>
    </w:p>
  </w:footnote>
  <w:footnote w:type="continuationSeparator" w:id="0">
    <w:p w:rsidR="000E14A7" w:rsidRDefault="000E14A7" w:rsidP="007A6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D21" w:rsidRPr="004E4776" w:rsidRDefault="00717D21" w:rsidP="00717D21">
    <w:pPr>
      <w:pStyle w:val="Header"/>
      <w:rPr>
        <w:sz w:val="22"/>
        <w:szCs w:val="22"/>
      </w:rPr>
    </w:pPr>
    <w:r w:rsidRPr="004E4776">
      <w:rPr>
        <w:sz w:val="22"/>
        <w:szCs w:val="22"/>
        <w:bdr w:val="single" w:sz="4" w:space="0" w:color="auto"/>
      </w:rPr>
      <w:t xml:space="preserve">Poznámky </w:t>
    </w:r>
    <w:r>
      <w:rPr>
        <w:sz w:val="22"/>
        <w:szCs w:val="22"/>
        <w:bdr w:val="single" w:sz="4" w:space="0" w:color="auto"/>
      </w:rPr>
      <w:t>Ú</w:t>
    </w:r>
    <w:r>
      <w:rPr>
        <w:sz w:val="22"/>
        <w:szCs w:val="22"/>
        <w:bdr w:val="single" w:sz="4" w:space="0" w:color="auto"/>
      </w:rPr>
      <w:t>č MÚJ</w:t>
    </w:r>
    <w:r w:rsidRPr="004E4776">
      <w:rPr>
        <w:sz w:val="22"/>
        <w:szCs w:val="22"/>
        <w:bdr w:val="single" w:sz="4" w:space="0" w:color="auto"/>
      </w:rPr>
      <w:t xml:space="preserve"> 3 – 01</w:t>
    </w:r>
    <w:r w:rsidRPr="004E4776">
      <w:rPr>
        <w:sz w:val="22"/>
        <w:szCs w:val="22"/>
      </w:rPr>
      <w:t xml:space="preserve">                    IČO </w:t>
    </w:r>
    <w:r>
      <w:rPr>
        <w:sz w:val="22"/>
        <w:szCs w:val="22"/>
        <w:bdr w:val="single" w:sz="4" w:space="0" w:color="auto"/>
      </w:rPr>
      <w:t>36494160</w:t>
    </w:r>
    <w:r w:rsidRPr="004E4776">
      <w:rPr>
        <w:sz w:val="22"/>
        <w:szCs w:val="22"/>
      </w:rPr>
      <w:t xml:space="preserve">                               DIČ  </w:t>
    </w:r>
    <w:r>
      <w:rPr>
        <w:sz w:val="22"/>
        <w:szCs w:val="22"/>
        <w:bdr w:val="single" w:sz="4" w:space="0" w:color="auto"/>
      </w:rPr>
      <w:t>2021831988</w:t>
    </w:r>
    <w:r w:rsidRPr="004E4776">
      <w:rPr>
        <w:sz w:val="22"/>
        <w:szCs w:val="22"/>
      </w:rPr>
      <w:t xml:space="preserve">  </w:t>
    </w:r>
  </w:p>
  <w:p w:rsidR="000E14A7" w:rsidRDefault="000E14A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6F0B78"/>
    <w:multiLevelType w:val="hybridMultilevel"/>
    <w:tmpl w:val="7398EABE"/>
    <w:lvl w:ilvl="0" w:tplc="33FE1EBC">
      <w:start w:val="1"/>
      <w:numFmt w:val="upperRoman"/>
      <w:lvlText w:val="%1."/>
      <w:lvlJc w:val="left"/>
      <w:pPr>
        <w:tabs>
          <w:tab w:val="num" w:pos="1325"/>
        </w:tabs>
        <w:ind w:left="1325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1">
    <w:nsid w:val="322A3EEC"/>
    <w:multiLevelType w:val="hybridMultilevel"/>
    <w:tmpl w:val="CFAEE114"/>
    <w:lvl w:ilvl="0" w:tplc="C622BE72">
      <w:start w:val="59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38513825"/>
    <w:multiLevelType w:val="hybridMultilevel"/>
    <w:tmpl w:val="2E1EC38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7AE0FD9"/>
    <w:multiLevelType w:val="hybridMultilevel"/>
    <w:tmpl w:val="40DC84F2"/>
    <w:lvl w:ilvl="0" w:tplc="4538C36E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A1D"/>
    <w:rsid w:val="00001D44"/>
    <w:rsid w:val="0000361E"/>
    <w:rsid w:val="0001788B"/>
    <w:rsid w:val="000222C7"/>
    <w:rsid w:val="000274C3"/>
    <w:rsid w:val="0003440E"/>
    <w:rsid w:val="0003463C"/>
    <w:rsid w:val="0003634A"/>
    <w:rsid w:val="00037005"/>
    <w:rsid w:val="0003706C"/>
    <w:rsid w:val="00040E20"/>
    <w:rsid w:val="00040EE5"/>
    <w:rsid w:val="00045473"/>
    <w:rsid w:val="00050977"/>
    <w:rsid w:val="00054AC5"/>
    <w:rsid w:val="00054C37"/>
    <w:rsid w:val="00055D5C"/>
    <w:rsid w:val="00061842"/>
    <w:rsid w:val="000631BE"/>
    <w:rsid w:val="000637F7"/>
    <w:rsid w:val="00073D0B"/>
    <w:rsid w:val="00084E33"/>
    <w:rsid w:val="00087468"/>
    <w:rsid w:val="000910A4"/>
    <w:rsid w:val="000A0524"/>
    <w:rsid w:val="000A0CDE"/>
    <w:rsid w:val="000A3B36"/>
    <w:rsid w:val="000B4856"/>
    <w:rsid w:val="000C0B4C"/>
    <w:rsid w:val="000C2C4D"/>
    <w:rsid w:val="000C4327"/>
    <w:rsid w:val="000C44A8"/>
    <w:rsid w:val="000C5625"/>
    <w:rsid w:val="000D3608"/>
    <w:rsid w:val="000D6247"/>
    <w:rsid w:val="000D7339"/>
    <w:rsid w:val="000E14A7"/>
    <w:rsid w:val="000E1B14"/>
    <w:rsid w:val="000E731F"/>
    <w:rsid w:val="000F33EE"/>
    <w:rsid w:val="000F6B27"/>
    <w:rsid w:val="0010052D"/>
    <w:rsid w:val="00100FEA"/>
    <w:rsid w:val="00101C1C"/>
    <w:rsid w:val="00101D23"/>
    <w:rsid w:val="00103EC8"/>
    <w:rsid w:val="00111AD4"/>
    <w:rsid w:val="00114EA8"/>
    <w:rsid w:val="00115970"/>
    <w:rsid w:val="00121258"/>
    <w:rsid w:val="0012270F"/>
    <w:rsid w:val="00132324"/>
    <w:rsid w:val="001362B2"/>
    <w:rsid w:val="00140946"/>
    <w:rsid w:val="00143D18"/>
    <w:rsid w:val="001458C5"/>
    <w:rsid w:val="0014750B"/>
    <w:rsid w:val="00150944"/>
    <w:rsid w:val="00150BAE"/>
    <w:rsid w:val="00153689"/>
    <w:rsid w:val="0015443E"/>
    <w:rsid w:val="0015477D"/>
    <w:rsid w:val="00157656"/>
    <w:rsid w:val="00162DEA"/>
    <w:rsid w:val="001673CE"/>
    <w:rsid w:val="00171153"/>
    <w:rsid w:val="001717A8"/>
    <w:rsid w:val="00183EBA"/>
    <w:rsid w:val="001846D4"/>
    <w:rsid w:val="00185A07"/>
    <w:rsid w:val="00185B71"/>
    <w:rsid w:val="00185B9C"/>
    <w:rsid w:val="00197FDE"/>
    <w:rsid w:val="001A13CE"/>
    <w:rsid w:val="001A39FC"/>
    <w:rsid w:val="001A6F31"/>
    <w:rsid w:val="001A7390"/>
    <w:rsid w:val="001B0094"/>
    <w:rsid w:val="001B0B16"/>
    <w:rsid w:val="001C09AF"/>
    <w:rsid w:val="001C2E9D"/>
    <w:rsid w:val="001C6768"/>
    <w:rsid w:val="001C6883"/>
    <w:rsid w:val="001D4BB0"/>
    <w:rsid w:val="001E0531"/>
    <w:rsid w:val="001E07C4"/>
    <w:rsid w:val="001E5A4E"/>
    <w:rsid w:val="001E7FB1"/>
    <w:rsid w:val="001F080A"/>
    <w:rsid w:val="001F0A3E"/>
    <w:rsid w:val="0020015A"/>
    <w:rsid w:val="00202B93"/>
    <w:rsid w:val="00207C7F"/>
    <w:rsid w:val="00217F2D"/>
    <w:rsid w:val="0022308F"/>
    <w:rsid w:val="002313B3"/>
    <w:rsid w:val="00231F7D"/>
    <w:rsid w:val="00240A84"/>
    <w:rsid w:val="00242DC0"/>
    <w:rsid w:val="002441C0"/>
    <w:rsid w:val="00244A08"/>
    <w:rsid w:val="002604FF"/>
    <w:rsid w:val="00262768"/>
    <w:rsid w:val="00263764"/>
    <w:rsid w:val="002639D3"/>
    <w:rsid w:val="00265EE7"/>
    <w:rsid w:val="002663D2"/>
    <w:rsid w:val="00270993"/>
    <w:rsid w:val="0028539B"/>
    <w:rsid w:val="002866E3"/>
    <w:rsid w:val="00286A00"/>
    <w:rsid w:val="00292592"/>
    <w:rsid w:val="00296EB7"/>
    <w:rsid w:val="002A28F0"/>
    <w:rsid w:val="002A6AC0"/>
    <w:rsid w:val="002B0A25"/>
    <w:rsid w:val="002B66C6"/>
    <w:rsid w:val="002C2E14"/>
    <w:rsid w:val="002D2290"/>
    <w:rsid w:val="002D5BA6"/>
    <w:rsid w:val="002E036C"/>
    <w:rsid w:val="002E29C8"/>
    <w:rsid w:val="002E5AAC"/>
    <w:rsid w:val="002E62BC"/>
    <w:rsid w:val="002F026D"/>
    <w:rsid w:val="002F0594"/>
    <w:rsid w:val="002F0DCA"/>
    <w:rsid w:val="00301BE9"/>
    <w:rsid w:val="00302A23"/>
    <w:rsid w:val="00305BFA"/>
    <w:rsid w:val="00314179"/>
    <w:rsid w:val="00321D37"/>
    <w:rsid w:val="00326DA7"/>
    <w:rsid w:val="00333830"/>
    <w:rsid w:val="003370C9"/>
    <w:rsid w:val="00337614"/>
    <w:rsid w:val="003407D0"/>
    <w:rsid w:val="00342406"/>
    <w:rsid w:val="00342D19"/>
    <w:rsid w:val="00355F1D"/>
    <w:rsid w:val="00360EB7"/>
    <w:rsid w:val="00361257"/>
    <w:rsid w:val="00361C2D"/>
    <w:rsid w:val="00372EE9"/>
    <w:rsid w:val="00376A50"/>
    <w:rsid w:val="00384865"/>
    <w:rsid w:val="00384C8E"/>
    <w:rsid w:val="00386237"/>
    <w:rsid w:val="00387033"/>
    <w:rsid w:val="003919E6"/>
    <w:rsid w:val="003933E5"/>
    <w:rsid w:val="00394723"/>
    <w:rsid w:val="003A1C77"/>
    <w:rsid w:val="003A3F95"/>
    <w:rsid w:val="003B24B2"/>
    <w:rsid w:val="003B29E9"/>
    <w:rsid w:val="003B55C1"/>
    <w:rsid w:val="003C4536"/>
    <w:rsid w:val="003D0701"/>
    <w:rsid w:val="003D432C"/>
    <w:rsid w:val="003D44C7"/>
    <w:rsid w:val="003D541F"/>
    <w:rsid w:val="003D5DEC"/>
    <w:rsid w:val="003D6561"/>
    <w:rsid w:val="003E0D03"/>
    <w:rsid w:val="003E0E3D"/>
    <w:rsid w:val="003E279C"/>
    <w:rsid w:val="003F1D47"/>
    <w:rsid w:val="003F4176"/>
    <w:rsid w:val="004019FE"/>
    <w:rsid w:val="00401C3C"/>
    <w:rsid w:val="00416C9B"/>
    <w:rsid w:val="00416FD2"/>
    <w:rsid w:val="004234BE"/>
    <w:rsid w:val="004304D1"/>
    <w:rsid w:val="004306DB"/>
    <w:rsid w:val="0043186D"/>
    <w:rsid w:val="00432AF7"/>
    <w:rsid w:val="00434446"/>
    <w:rsid w:val="00441EA6"/>
    <w:rsid w:val="004431CD"/>
    <w:rsid w:val="00445282"/>
    <w:rsid w:val="00445C2B"/>
    <w:rsid w:val="00447EDB"/>
    <w:rsid w:val="00454A49"/>
    <w:rsid w:val="00455B24"/>
    <w:rsid w:val="00463442"/>
    <w:rsid w:val="00466A51"/>
    <w:rsid w:val="00473216"/>
    <w:rsid w:val="00473D64"/>
    <w:rsid w:val="00486CA8"/>
    <w:rsid w:val="00486F45"/>
    <w:rsid w:val="00496AFE"/>
    <w:rsid w:val="004A188A"/>
    <w:rsid w:val="004A6606"/>
    <w:rsid w:val="004B1AA0"/>
    <w:rsid w:val="004B4681"/>
    <w:rsid w:val="004B6527"/>
    <w:rsid w:val="004C12C8"/>
    <w:rsid w:val="004C3267"/>
    <w:rsid w:val="004D2DCB"/>
    <w:rsid w:val="004D2E2A"/>
    <w:rsid w:val="004D7675"/>
    <w:rsid w:val="004E1BBC"/>
    <w:rsid w:val="004E1F78"/>
    <w:rsid w:val="004E241D"/>
    <w:rsid w:val="004F4894"/>
    <w:rsid w:val="00500448"/>
    <w:rsid w:val="005044C5"/>
    <w:rsid w:val="00504CCE"/>
    <w:rsid w:val="00506D18"/>
    <w:rsid w:val="00510A9C"/>
    <w:rsid w:val="005134BC"/>
    <w:rsid w:val="0052342D"/>
    <w:rsid w:val="0052398C"/>
    <w:rsid w:val="00532D76"/>
    <w:rsid w:val="0054060A"/>
    <w:rsid w:val="0054123B"/>
    <w:rsid w:val="005415AE"/>
    <w:rsid w:val="00542A3F"/>
    <w:rsid w:val="00543403"/>
    <w:rsid w:val="005508D7"/>
    <w:rsid w:val="00551E8B"/>
    <w:rsid w:val="00553CA0"/>
    <w:rsid w:val="0055483F"/>
    <w:rsid w:val="005570EE"/>
    <w:rsid w:val="0056622A"/>
    <w:rsid w:val="0056625E"/>
    <w:rsid w:val="00567778"/>
    <w:rsid w:val="00574EE2"/>
    <w:rsid w:val="00580D07"/>
    <w:rsid w:val="00582423"/>
    <w:rsid w:val="00583DD1"/>
    <w:rsid w:val="00584EED"/>
    <w:rsid w:val="00593801"/>
    <w:rsid w:val="00595497"/>
    <w:rsid w:val="005954C3"/>
    <w:rsid w:val="005A49A2"/>
    <w:rsid w:val="005B030C"/>
    <w:rsid w:val="005B4324"/>
    <w:rsid w:val="005B7C7D"/>
    <w:rsid w:val="005C0DAF"/>
    <w:rsid w:val="005C7D90"/>
    <w:rsid w:val="005D16AC"/>
    <w:rsid w:val="005D697F"/>
    <w:rsid w:val="005E1285"/>
    <w:rsid w:val="005E2893"/>
    <w:rsid w:val="005F382C"/>
    <w:rsid w:val="005F5F0F"/>
    <w:rsid w:val="005F7E13"/>
    <w:rsid w:val="00600568"/>
    <w:rsid w:val="00601983"/>
    <w:rsid w:val="00615762"/>
    <w:rsid w:val="00635FB4"/>
    <w:rsid w:val="00636373"/>
    <w:rsid w:val="006416C0"/>
    <w:rsid w:val="0064504F"/>
    <w:rsid w:val="00647B56"/>
    <w:rsid w:val="006611AA"/>
    <w:rsid w:val="00662E34"/>
    <w:rsid w:val="00665198"/>
    <w:rsid w:val="00665B2C"/>
    <w:rsid w:val="00665E02"/>
    <w:rsid w:val="0067175C"/>
    <w:rsid w:val="0067241A"/>
    <w:rsid w:val="00676165"/>
    <w:rsid w:val="00681E56"/>
    <w:rsid w:val="00681EDB"/>
    <w:rsid w:val="006908B9"/>
    <w:rsid w:val="00690EF5"/>
    <w:rsid w:val="00696512"/>
    <w:rsid w:val="006A4E44"/>
    <w:rsid w:val="006B2288"/>
    <w:rsid w:val="006B41B0"/>
    <w:rsid w:val="006C0743"/>
    <w:rsid w:val="006C0F64"/>
    <w:rsid w:val="006D1667"/>
    <w:rsid w:val="006D6956"/>
    <w:rsid w:val="006D6E6C"/>
    <w:rsid w:val="006F30DA"/>
    <w:rsid w:val="006F3484"/>
    <w:rsid w:val="006F3906"/>
    <w:rsid w:val="006F5610"/>
    <w:rsid w:val="00704396"/>
    <w:rsid w:val="00714429"/>
    <w:rsid w:val="00717D21"/>
    <w:rsid w:val="0072394F"/>
    <w:rsid w:val="007250E1"/>
    <w:rsid w:val="0073151A"/>
    <w:rsid w:val="0073355C"/>
    <w:rsid w:val="00743AAF"/>
    <w:rsid w:val="0074593E"/>
    <w:rsid w:val="00745EC6"/>
    <w:rsid w:val="00755A84"/>
    <w:rsid w:val="00760714"/>
    <w:rsid w:val="007607CC"/>
    <w:rsid w:val="007630C6"/>
    <w:rsid w:val="00771546"/>
    <w:rsid w:val="00771B81"/>
    <w:rsid w:val="00784823"/>
    <w:rsid w:val="00786AA1"/>
    <w:rsid w:val="00793B1D"/>
    <w:rsid w:val="007A0942"/>
    <w:rsid w:val="007A5F5B"/>
    <w:rsid w:val="007A6125"/>
    <w:rsid w:val="007A76AF"/>
    <w:rsid w:val="007B3B4D"/>
    <w:rsid w:val="007B591F"/>
    <w:rsid w:val="007B61E0"/>
    <w:rsid w:val="007B629F"/>
    <w:rsid w:val="007C61ED"/>
    <w:rsid w:val="007D15A8"/>
    <w:rsid w:val="007D2E6C"/>
    <w:rsid w:val="007D4485"/>
    <w:rsid w:val="007F224D"/>
    <w:rsid w:val="007F6CFC"/>
    <w:rsid w:val="00802641"/>
    <w:rsid w:val="00805F62"/>
    <w:rsid w:val="008063F3"/>
    <w:rsid w:val="00811339"/>
    <w:rsid w:val="00811381"/>
    <w:rsid w:val="008125F1"/>
    <w:rsid w:val="00815899"/>
    <w:rsid w:val="00821FC1"/>
    <w:rsid w:val="00826D78"/>
    <w:rsid w:val="00830888"/>
    <w:rsid w:val="00831A45"/>
    <w:rsid w:val="00842051"/>
    <w:rsid w:val="00846B00"/>
    <w:rsid w:val="00851BEA"/>
    <w:rsid w:val="00866807"/>
    <w:rsid w:val="00867471"/>
    <w:rsid w:val="00867D82"/>
    <w:rsid w:val="00873565"/>
    <w:rsid w:val="0087415C"/>
    <w:rsid w:val="00881871"/>
    <w:rsid w:val="00881E1A"/>
    <w:rsid w:val="00883E1E"/>
    <w:rsid w:val="0089067B"/>
    <w:rsid w:val="00893CAE"/>
    <w:rsid w:val="008A1C55"/>
    <w:rsid w:val="008A6237"/>
    <w:rsid w:val="008B4471"/>
    <w:rsid w:val="008C045E"/>
    <w:rsid w:val="008C04E2"/>
    <w:rsid w:val="008C36DF"/>
    <w:rsid w:val="008C6AB7"/>
    <w:rsid w:val="008D0366"/>
    <w:rsid w:val="008E05D1"/>
    <w:rsid w:val="008E0B28"/>
    <w:rsid w:val="008F05D8"/>
    <w:rsid w:val="008F2080"/>
    <w:rsid w:val="008F38B1"/>
    <w:rsid w:val="009014F3"/>
    <w:rsid w:val="009022AC"/>
    <w:rsid w:val="00902F93"/>
    <w:rsid w:val="009043BA"/>
    <w:rsid w:val="0090519D"/>
    <w:rsid w:val="00913C50"/>
    <w:rsid w:val="0091552B"/>
    <w:rsid w:val="00921ED7"/>
    <w:rsid w:val="00931358"/>
    <w:rsid w:val="00933CF0"/>
    <w:rsid w:val="00934AEC"/>
    <w:rsid w:val="00942978"/>
    <w:rsid w:val="00943B7A"/>
    <w:rsid w:val="0094422C"/>
    <w:rsid w:val="009448F2"/>
    <w:rsid w:val="00946A5A"/>
    <w:rsid w:val="0094794F"/>
    <w:rsid w:val="00952F90"/>
    <w:rsid w:val="0095426D"/>
    <w:rsid w:val="00954A03"/>
    <w:rsid w:val="00955566"/>
    <w:rsid w:val="009579E0"/>
    <w:rsid w:val="0096032E"/>
    <w:rsid w:val="00960FBB"/>
    <w:rsid w:val="009673C8"/>
    <w:rsid w:val="00970568"/>
    <w:rsid w:val="00970D5A"/>
    <w:rsid w:val="00992145"/>
    <w:rsid w:val="009A0102"/>
    <w:rsid w:val="009A1B05"/>
    <w:rsid w:val="009A74AC"/>
    <w:rsid w:val="009B0D6E"/>
    <w:rsid w:val="009B5A4E"/>
    <w:rsid w:val="009B6A1D"/>
    <w:rsid w:val="009C430F"/>
    <w:rsid w:val="009D2476"/>
    <w:rsid w:val="009D4269"/>
    <w:rsid w:val="009E233B"/>
    <w:rsid w:val="009E236B"/>
    <w:rsid w:val="009E6DD3"/>
    <w:rsid w:val="009F4BF7"/>
    <w:rsid w:val="009F7C63"/>
    <w:rsid w:val="00A021BD"/>
    <w:rsid w:val="00A0246D"/>
    <w:rsid w:val="00A039E1"/>
    <w:rsid w:val="00A04D99"/>
    <w:rsid w:val="00A05CD6"/>
    <w:rsid w:val="00A10B67"/>
    <w:rsid w:val="00A1141F"/>
    <w:rsid w:val="00A11757"/>
    <w:rsid w:val="00A20F95"/>
    <w:rsid w:val="00A25725"/>
    <w:rsid w:val="00A25A52"/>
    <w:rsid w:val="00A26FBB"/>
    <w:rsid w:val="00A37315"/>
    <w:rsid w:val="00A457FE"/>
    <w:rsid w:val="00A56437"/>
    <w:rsid w:val="00A60385"/>
    <w:rsid w:val="00A64E13"/>
    <w:rsid w:val="00A760C9"/>
    <w:rsid w:val="00A805FF"/>
    <w:rsid w:val="00A8132D"/>
    <w:rsid w:val="00A8178F"/>
    <w:rsid w:val="00A81971"/>
    <w:rsid w:val="00A868F0"/>
    <w:rsid w:val="00A9092B"/>
    <w:rsid w:val="00A9313C"/>
    <w:rsid w:val="00A94026"/>
    <w:rsid w:val="00A975F4"/>
    <w:rsid w:val="00AA2FFE"/>
    <w:rsid w:val="00AA3102"/>
    <w:rsid w:val="00AB4A23"/>
    <w:rsid w:val="00AB5303"/>
    <w:rsid w:val="00AB725D"/>
    <w:rsid w:val="00AC25AB"/>
    <w:rsid w:val="00AC5A4A"/>
    <w:rsid w:val="00AD230C"/>
    <w:rsid w:val="00AD262E"/>
    <w:rsid w:val="00AD2BDC"/>
    <w:rsid w:val="00AD36CD"/>
    <w:rsid w:val="00AD488B"/>
    <w:rsid w:val="00AD7331"/>
    <w:rsid w:val="00AE1328"/>
    <w:rsid w:val="00AE200A"/>
    <w:rsid w:val="00AF1778"/>
    <w:rsid w:val="00AF4D03"/>
    <w:rsid w:val="00AF5666"/>
    <w:rsid w:val="00B134AD"/>
    <w:rsid w:val="00B135EA"/>
    <w:rsid w:val="00B16E7F"/>
    <w:rsid w:val="00B21B07"/>
    <w:rsid w:val="00B21B96"/>
    <w:rsid w:val="00B36695"/>
    <w:rsid w:val="00B36F1C"/>
    <w:rsid w:val="00B46154"/>
    <w:rsid w:val="00B52EAE"/>
    <w:rsid w:val="00B53049"/>
    <w:rsid w:val="00B54C36"/>
    <w:rsid w:val="00B635CC"/>
    <w:rsid w:val="00B63A08"/>
    <w:rsid w:val="00B66579"/>
    <w:rsid w:val="00B70851"/>
    <w:rsid w:val="00B75C72"/>
    <w:rsid w:val="00B76476"/>
    <w:rsid w:val="00B823C5"/>
    <w:rsid w:val="00B8650D"/>
    <w:rsid w:val="00B87E25"/>
    <w:rsid w:val="00B90F04"/>
    <w:rsid w:val="00B91B99"/>
    <w:rsid w:val="00BA090B"/>
    <w:rsid w:val="00BB1051"/>
    <w:rsid w:val="00BB3CEC"/>
    <w:rsid w:val="00BC4F1C"/>
    <w:rsid w:val="00BC54B4"/>
    <w:rsid w:val="00BD5BB2"/>
    <w:rsid w:val="00BE768F"/>
    <w:rsid w:val="00BF6DC8"/>
    <w:rsid w:val="00C10AB8"/>
    <w:rsid w:val="00C20495"/>
    <w:rsid w:val="00C20CA6"/>
    <w:rsid w:val="00C24640"/>
    <w:rsid w:val="00C31947"/>
    <w:rsid w:val="00C32838"/>
    <w:rsid w:val="00C3390C"/>
    <w:rsid w:val="00C44AC0"/>
    <w:rsid w:val="00C50144"/>
    <w:rsid w:val="00C5375F"/>
    <w:rsid w:val="00C53FD4"/>
    <w:rsid w:val="00C54709"/>
    <w:rsid w:val="00C603D6"/>
    <w:rsid w:val="00C604B2"/>
    <w:rsid w:val="00C6587F"/>
    <w:rsid w:val="00C66E1F"/>
    <w:rsid w:val="00C71788"/>
    <w:rsid w:val="00C81ED9"/>
    <w:rsid w:val="00C861AD"/>
    <w:rsid w:val="00C90F3F"/>
    <w:rsid w:val="00C92DCE"/>
    <w:rsid w:val="00CA06B7"/>
    <w:rsid w:val="00CA2374"/>
    <w:rsid w:val="00CA51F4"/>
    <w:rsid w:val="00CB7B21"/>
    <w:rsid w:val="00CC1602"/>
    <w:rsid w:val="00CC5303"/>
    <w:rsid w:val="00CD05AD"/>
    <w:rsid w:val="00CD35F9"/>
    <w:rsid w:val="00CE1E6C"/>
    <w:rsid w:val="00CE3F20"/>
    <w:rsid w:val="00CF6665"/>
    <w:rsid w:val="00D0028B"/>
    <w:rsid w:val="00D10C44"/>
    <w:rsid w:val="00D14B3D"/>
    <w:rsid w:val="00D3673A"/>
    <w:rsid w:val="00D43ACA"/>
    <w:rsid w:val="00D46256"/>
    <w:rsid w:val="00D4707D"/>
    <w:rsid w:val="00D476BC"/>
    <w:rsid w:val="00D67176"/>
    <w:rsid w:val="00D67ADE"/>
    <w:rsid w:val="00D70C4A"/>
    <w:rsid w:val="00D734A4"/>
    <w:rsid w:val="00D7451C"/>
    <w:rsid w:val="00D77128"/>
    <w:rsid w:val="00D84BF9"/>
    <w:rsid w:val="00D85D1C"/>
    <w:rsid w:val="00D87D81"/>
    <w:rsid w:val="00D90FC2"/>
    <w:rsid w:val="00D912B6"/>
    <w:rsid w:val="00D916C7"/>
    <w:rsid w:val="00D97AAC"/>
    <w:rsid w:val="00DA0E71"/>
    <w:rsid w:val="00DD2825"/>
    <w:rsid w:val="00DD3FC2"/>
    <w:rsid w:val="00DE04C5"/>
    <w:rsid w:val="00DE0CE7"/>
    <w:rsid w:val="00DE0D94"/>
    <w:rsid w:val="00DE300F"/>
    <w:rsid w:val="00DF513F"/>
    <w:rsid w:val="00DF5263"/>
    <w:rsid w:val="00DF5965"/>
    <w:rsid w:val="00E05F3D"/>
    <w:rsid w:val="00E10EAB"/>
    <w:rsid w:val="00E1471B"/>
    <w:rsid w:val="00E20517"/>
    <w:rsid w:val="00E31168"/>
    <w:rsid w:val="00E44541"/>
    <w:rsid w:val="00E51693"/>
    <w:rsid w:val="00E51EA4"/>
    <w:rsid w:val="00E56587"/>
    <w:rsid w:val="00E57EB1"/>
    <w:rsid w:val="00E633E0"/>
    <w:rsid w:val="00E714D7"/>
    <w:rsid w:val="00E72FCA"/>
    <w:rsid w:val="00E81239"/>
    <w:rsid w:val="00E83426"/>
    <w:rsid w:val="00E92F63"/>
    <w:rsid w:val="00E93FE1"/>
    <w:rsid w:val="00E94BBB"/>
    <w:rsid w:val="00E95C14"/>
    <w:rsid w:val="00EA064A"/>
    <w:rsid w:val="00EA650B"/>
    <w:rsid w:val="00EB3B68"/>
    <w:rsid w:val="00EB4D97"/>
    <w:rsid w:val="00EB7F0F"/>
    <w:rsid w:val="00ED6389"/>
    <w:rsid w:val="00EE28F3"/>
    <w:rsid w:val="00EE2D0D"/>
    <w:rsid w:val="00EF549E"/>
    <w:rsid w:val="00EF5B7B"/>
    <w:rsid w:val="00F01270"/>
    <w:rsid w:val="00F047FC"/>
    <w:rsid w:val="00F113C7"/>
    <w:rsid w:val="00F12353"/>
    <w:rsid w:val="00F134F8"/>
    <w:rsid w:val="00F32EF5"/>
    <w:rsid w:val="00F35298"/>
    <w:rsid w:val="00F36749"/>
    <w:rsid w:val="00F40CA9"/>
    <w:rsid w:val="00F513C5"/>
    <w:rsid w:val="00F51C30"/>
    <w:rsid w:val="00F5687A"/>
    <w:rsid w:val="00F623CF"/>
    <w:rsid w:val="00F62B2C"/>
    <w:rsid w:val="00F71430"/>
    <w:rsid w:val="00F750E9"/>
    <w:rsid w:val="00F76B04"/>
    <w:rsid w:val="00F82D7A"/>
    <w:rsid w:val="00F83ABD"/>
    <w:rsid w:val="00F8665B"/>
    <w:rsid w:val="00F93985"/>
    <w:rsid w:val="00F94C62"/>
    <w:rsid w:val="00FA03B1"/>
    <w:rsid w:val="00FA2451"/>
    <w:rsid w:val="00FC41DF"/>
    <w:rsid w:val="00FD6E3C"/>
    <w:rsid w:val="00FD7DF9"/>
    <w:rsid w:val="00FE2520"/>
    <w:rsid w:val="00FE52FE"/>
    <w:rsid w:val="00FE7E62"/>
    <w:rsid w:val="00FF0A22"/>
    <w:rsid w:val="00FF1571"/>
    <w:rsid w:val="00FF1624"/>
    <w:rsid w:val="00FF510B"/>
    <w:rsid w:val="00FF675D"/>
    <w:rsid w:val="00FF7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9069FF3-89AC-4507-AFDE-3E333DF18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3426"/>
    <w:pPr>
      <w:widowControl w:val="0"/>
    </w:pPr>
    <w:rPr>
      <w:rFonts w:ascii="Arial" w:hAnsi="Arial"/>
      <w:b/>
      <w:snapToGrid w:val="0"/>
    </w:rPr>
  </w:style>
  <w:style w:type="paragraph" w:styleId="Heading1">
    <w:name w:val="heading 1"/>
    <w:basedOn w:val="Normal"/>
    <w:next w:val="Normal"/>
    <w:qFormat/>
    <w:rsid w:val="00E83426"/>
    <w:pPr>
      <w:keepNext/>
      <w:shd w:val="clear" w:color="auto" w:fill="FFFFFF"/>
      <w:spacing w:before="331" w:line="360" w:lineRule="auto"/>
      <w:ind w:left="115"/>
      <w:jc w:val="center"/>
      <w:outlineLvl w:val="0"/>
    </w:pPr>
    <w:rPr>
      <w:i/>
      <w:color w:val="000000"/>
      <w:w w:val="101"/>
      <w:sz w:val="27"/>
    </w:rPr>
  </w:style>
  <w:style w:type="paragraph" w:styleId="Heading2">
    <w:name w:val="heading 2"/>
    <w:basedOn w:val="Normal"/>
    <w:next w:val="Normal"/>
    <w:qFormat/>
    <w:rsid w:val="00E83426"/>
    <w:pPr>
      <w:keepNext/>
      <w:shd w:val="clear" w:color="auto" w:fill="FFFFFF"/>
      <w:spacing w:before="137" w:line="346" w:lineRule="exact"/>
      <w:ind w:left="50"/>
      <w:outlineLvl w:val="1"/>
    </w:pPr>
    <w:rPr>
      <w:color w:val="000000"/>
    </w:rPr>
  </w:style>
  <w:style w:type="paragraph" w:styleId="Heading3">
    <w:name w:val="heading 3"/>
    <w:basedOn w:val="Normal"/>
    <w:next w:val="Normal"/>
    <w:qFormat/>
    <w:rsid w:val="00E83426"/>
    <w:pPr>
      <w:keepNext/>
      <w:shd w:val="clear" w:color="auto" w:fill="FFFFFF"/>
      <w:spacing w:before="180" w:line="360" w:lineRule="exact"/>
      <w:ind w:left="79" w:right="3226"/>
      <w:outlineLvl w:val="2"/>
    </w:pPr>
    <w:rPr>
      <w:color w:val="000000"/>
      <w:spacing w:val="-15"/>
    </w:rPr>
  </w:style>
  <w:style w:type="paragraph" w:styleId="Heading4">
    <w:name w:val="heading 4"/>
    <w:basedOn w:val="Normal"/>
    <w:next w:val="Normal"/>
    <w:qFormat/>
    <w:rsid w:val="00E83426"/>
    <w:pPr>
      <w:keepNext/>
      <w:shd w:val="clear" w:color="auto" w:fill="FFFFFF"/>
      <w:spacing w:before="22" w:line="338" w:lineRule="exact"/>
      <w:ind w:left="79"/>
      <w:outlineLvl w:val="3"/>
    </w:pPr>
    <w:rPr>
      <w:color w:val="000000"/>
    </w:rPr>
  </w:style>
  <w:style w:type="paragraph" w:styleId="Heading5">
    <w:name w:val="heading 5"/>
    <w:basedOn w:val="Normal"/>
    <w:next w:val="Normal"/>
    <w:qFormat/>
    <w:rsid w:val="00E83426"/>
    <w:pPr>
      <w:keepNext/>
      <w:shd w:val="clear" w:color="auto" w:fill="FFFFFF"/>
      <w:spacing w:line="346" w:lineRule="exact"/>
      <w:ind w:left="14" w:right="-83" w:hanging="14"/>
      <w:outlineLvl w:val="4"/>
    </w:pPr>
    <w:rPr>
      <w:color w:val="000000"/>
    </w:rPr>
  </w:style>
  <w:style w:type="paragraph" w:styleId="Heading6">
    <w:name w:val="heading 6"/>
    <w:basedOn w:val="Normal"/>
    <w:next w:val="Normal"/>
    <w:qFormat/>
    <w:rsid w:val="00E83426"/>
    <w:pPr>
      <w:keepNext/>
      <w:shd w:val="clear" w:color="auto" w:fill="FFFFFF"/>
      <w:spacing w:before="137"/>
      <w:outlineLvl w:val="5"/>
    </w:pPr>
    <w:rPr>
      <w:color w:val="000000"/>
    </w:rPr>
  </w:style>
  <w:style w:type="paragraph" w:styleId="Heading7">
    <w:name w:val="heading 7"/>
    <w:basedOn w:val="Normal"/>
    <w:next w:val="Normal"/>
    <w:qFormat/>
    <w:rsid w:val="00E83426"/>
    <w:pPr>
      <w:keepNext/>
      <w:shd w:val="clear" w:color="auto" w:fill="FFFFFF"/>
      <w:ind w:left="259"/>
      <w:outlineLvl w:val="6"/>
    </w:pPr>
    <w:rPr>
      <w:color w:val="000000"/>
      <w:spacing w:val="-7"/>
    </w:rPr>
  </w:style>
  <w:style w:type="paragraph" w:styleId="Heading8">
    <w:name w:val="heading 8"/>
    <w:basedOn w:val="Normal"/>
    <w:next w:val="Normal"/>
    <w:qFormat/>
    <w:rsid w:val="00E83426"/>
    <w:pPr>
      <w:keepNext/>
      <w:shd w:val="clear" w:color="auto" w:fill="FFFFFF"/>
      <w:spacing w:before="338"/>
      <w:ind w:left="194"/>
      <w:outlineLvl w:val="7"/>
    </w:pPr>
    <w:rPr>
      <w:color w:val="000000"/>
      <w:spacing w:val="-5"/>
    </w:rPr>
  </w:style>
  <w:style w:type="paragraph" w:styleId="Heading9">
    <w:name w:val="heading 9"/>
    <w:basedOn w:val="Normal"/>
    <w:next w:val="Normal"/>
    <w:qFormat/>
    <w:rsid w:val="00E83426"/>
    <w:pPr>
      <w:keepNext/>
      <w:shd w:val="clear" w:color="auto" w:fill="FFFFFF"/>
      <w:tabs>
        <w:tab w:val="left" w:pos="6329"/>
      </w:tabs>
      <w:spacing w:before="115"/>
      <w:ind w:left="202"/>
      <w:outlineLvl w:val="8"/>
    </w:pPr>
    <w:rPr>
      <w:color w:val="000000"/>
      <w:spacing w:val="-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3426"/>
    <w:pPr>
      <w:shd w:val="clear" w:color="auto" w:fill="FFFFFF"/>
      <w:spacing w:line="360" w:lineRule="auto"/>
      <w:ind w:left="130"/>
    </w:pPr>
    <w:rPr>
      <w:b w:val="0"/>
      <w:color w:val="000000"/>
      <w:spacing w:val="-4"/>
    </w:rPr>
  </w:style>
  <w:style w:type="paragraph" w:styleId="Caption">
    <w:name w:val="caption"/>
    <w:basedOn w:val="Normal"/>
    <w:next w:val="Normal"/>
    <w:qFormat/>
    <w:rsid w:val="00E83426"/>
    <w:pPr>
      <w:shd w:val="clear" w:color="auto" w:fill="FFFFFF"/>
      <w:spacing w:before="475"/>
      <w:ind w:left="115"/>
    </w:pPr>
    <w:rPr>
      <w:color w:val="000000"/>
      <w:spacing w:val="-3"/>
      <w:sz w:val="22"/>
    </w:rPr>
  </w:style>
  <w:style w:type="paragraph" w:styleId="BodyTextIndent2">
    <w:name w:val="Body Text Indent 2"/>
    <w:basedOn w:val="Normal"/>
    <w:rsid w:val="00E83426"/>
    <w:pPr>
      <w:shd w:val="clear" w:color="auto" w:fill="FFFFFF"/>
      <w:spacing w:before="108" w:line="223" w:lineRule="exact"/>
      <w:ind w:left="101" w:firstLine="698"/>
      <w:jc w:val="both"/>
    </w:pPr>
    <w:rPr>
      <w:color w:val="000000"/>
      <w:w w:val="95"/>
    </w:rPr>
  </w:style>
  <w:style w:type="paragraph" w:styleId="BodyTextIndent3">
    <w:name w:val="Body Text Indent 3"/>
    <w:basedOn w:val="Normal"/>
    <w:rsid w:val="00E83426"/>
    <w:pPr>
      <w:shd w:val="clear" w:color="auto" w:fill="FFFFFF"/>
      <w:spacing w:before="634" w:line="230" w:lineRule="exact"/>
      <w:ind w:left="22"/>
    </w:pPr>
    <w:rPr>
      <w:color w:val="000000"/>
      <w:w w:val="95"/>
    </w:rPr>
  </w:style>
  <w:style w:type="paragraph" w:styleId="BodyText">
    <w:name w:val="Body Text"/>
    <w:basedOn w:val="Normal"/>
    <w:rsid w:val="00E83426"/>
    <w:pPr>
      <w:shd w:val="clear" w:color="auto" w:fill="FFFFFF"/>
      <w:jc w:val="both"/>
    </w:pPr>
    <w:rPr>
      <w:color w:val="000000"/>
      <w:w w:val="96"/>
    </w:rPr>
  </w:style>
  <w:style w:type="paragraph" w:styleId="BlockText">
    <w:name w:val="Block Text"/>
    <w:basedOn w:val="Normal"/>
    <w:rsid w:val="00E83426"/>
    <w:pPr>
      <w:shd w:val="clear" w:color="auto" w:fill="FFFFFF"/>
      <w:spacing w:line="180" w:lineRule="exact"/>
      <w:ind w:left="397" w:right="23"/>
    </w:pPr>
    <w:rPr>
      <w:color w:val="000000"/>
      <w:w w:val="95"/>
      <w:sz w:val="16"/>
    </w:rPr>
  </w:style>
  <w:style w:type="paragraph" w:styleId="BodyText3">
    <w:name w:val="Body Text 3"/>
    <w:basedOn w:val="Normal"/>
    <w:rsid w:val="00E83426"/>
    <w:pPr>
      <w:shd w:val="clear" w:color="auto" w:fill="FFFFFF"/>
      <w:spacing w:line="178" w:lineRule="exact"/>
    </w:pPr>
    <w:rPr>
      <w:color w:val="000000"/>
      <w:w w:val="90"/>
      <w:sz w:val="16"/>
    </w:rPr>
  </w:style>
  <w:style w:type="paragraph" w:styleId="BodyText2">
    <w:name w:val="Body Text 2"/>
    <w:basedOn w:val="Normal"/>
    <w:rsid w:val="00E83426"/>
    <w:pPr>
      <w:shd w:val="clear" w:color="auto" w:fill="FFFFFF"/>
      <w:spacing w:line="182" w:lineRule="exact"/>
    </w:pPr>
    <w:rPr>
      <w:b w:val="0"/>
      <w:color w:val="000000"/>
      <w:w w:val="91"/>
      <w:sz w:val="16"/>
    </w:rPr>
  </w:style>
  <w:style w:type="paragraph" w:styleId="BalloonText">
    <w:name w:val="Balloon Text"/>
    <w:basedOn w:val="Normal"/>
    <w:semiHidden/>
    <w:rsid w:val="00E8342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99"/>
    <w:qFormat/>
    <w:rsid w:val="003D5DEC"/>
    <w:pPr>
      <w:keepNext/>
      <w:widowControl/>
      <w:spacing w:before="100" w:beforeAutospacing="1" w:after="220"/>
      <w:jc w:val="center"/>
      <w:outlineLvl w:val="0"/>
    </w:pPr>
    <w:rPr>
      <w:rFonts w:ascii="Arial Narrow" w:hAnsi="Arial Narrow" w:cs="Arial Narrow"/>
      <w:bCs/>
      <w:snapToGrid/>
      <w:kern w:val="28"/>
      <w:sz w:val="22"/>
      <w:szCs w:val="22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rsid w:val="003D5DEC"/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paragraph" w:customStyle="1" w:styleId="TopHeader">
    <w:name w:val="Top Header"/>
    <w:basedOn w:val="Normal"/>
    <w:qFormat/>
    <w:rsid w:val="003D5DEC"/>
    <w:pPr>
      <w:widowControl/>
      <w:jc w:val="center"/>
    </w:pPr>
    <w:rPr>
      <w:rFonts w:ascii="Arial Narrow" w:hAnsi="Arial Narrow" w:cs="Arial Narrow"/>
      <w:bCs/>
      <w:snapToGrid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055D5C"/>
    <w:pPr>
      <w:ind w:left="720"/>
      <w:contextualSpacing/>
    </w:pPr>
  </w:style>
  <w:style w:type="paragraph" w:styleId="Header">
    <w:name w:val="header"/>
    <w:basedOn w:val="Normal"/>
    <w:link w:val="HeaderChar"/>
    <w:rsid w:val="007A612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A6125"/>
    <w:rPr>
      <w:rFonts w:ascii="Arial" w:hAnsi="Arial"/>
      <w:b/>
      <w:snapToGrid w:val="0"/>
    </w:rPr>
  </w:style>
  <w:style w:type="paragraph" w:styleId="Footer">
    <w:name w:val="footer"/>
    <w:basedOn w:val="Normal"/>
    <w:link w:val="FooterChar"/>
    <w:rsid w:val="007A612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7A6125"/>
    <w:rPr>
      <w:rFonts w:ascii="Arial" w:hAnsi="Arial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6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AB28E-D3F8-4D77-91FE-8827BD55A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1336</Words>
  <Characters>7919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k účtovnej závierke</vt:lpstr>
      <vt:lpstr>Poznámky k účtovnej závierke    </vt:lpstr>
    </vt:vector>
  </TitlesOfParts>
  <Company/>
  <LinksUpToDate>false</LinksUpToDate>
  <CharactersWithSpaces>9237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subject/>
  <dc:creator>PC08</dc:creator>
  <cp:keywords/>
  <dc:description/>
  <cp:lastModifiedBy>Janka Vargova</cp:lastModifiedBy>
  <cp:revision>10</cp:revision>
  <cp:lastPrinted>2014-03-28T08:20:00Z</cp:lastPrinted>
  <dcterms:created xsi:type="dcterms:W3CDTF">2015-03-16T11:54:00Z</dcterms:created>
  <dcterms:modified xsi:type="dcterms:W3CDTF">2015-03-16T12:33:00Z</dcterms:modified>
</cp:coreProperties>
</file>