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F2BB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MINÁRIK,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F2BB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31585434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F2BB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Makovického 8, 01001 Žilina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6F2BB5" w:rsidRDefault="006F2BB5" w:rsidP="006F2BB5">
      <w:pPr>
        <w:spacing w:line="260" w:lineRule="exact"/>
        <w:jc w:val="both"/>
        <w:rPr>
          <w:rFonts w:ascii="Arial" w:hAnsi="Arial" w:cs="Arial"/>
        </w:rPr>
      </w:pPr>
    </w:p>
    <w:p w:rsidR="006F2BB5" w:rsidRDefault="006F2BB5" w:rsidP="006F2BB5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z w:val="22"/>
          <w:szCs w:val="22"/>
        </w:rPr>
        <w:t>spoločnosť nie je súčasťou konsolidovaného celku.</w:t>
      </w:r>
    </w:p>
    <w:p w:rsidR="006F2BB5" w:rsidRDefault="006F2BB5" w:rsidP="006F2BB5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6F2BB5" w:rsidRDefault="006F2BB5" w:rsidP="006F2BB5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Pr="00A55E63" w:rsidRDefault="006F2BB5" w:rsidP="006F2BB5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 spoločnosť nezamestnáva zamestnancov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6F2BB5" w:rsidRPr="006F2BB5" w:rsidRDefault="002C12B4" w:rsidP="006F2BB5">
      <w:pPr>
        <w:pStyle w:val="Odsekzoznamu"/>
        <w:numPr>
          <w:ilvl w:val="0"/>
          <w:numId w:val="8"/>
        </w:numPr>
        <w:spacing w:before="11" w:line="260" w:lineRule="exact"/>
        <w:jc w:val="both"/>
        <w:rPr>
          <w:rFonts w:ascii="Arial" w:hAnsi="Arial" w:cs="Arial"/>
        </w:rPr>
      </w:pPr>
      <w:r w:rsidRPr="006F2BB5">
        <w:rPr>
          <w:rFonts w:ascii="Arial" w:hAnsi="Arial" w:cs="Arial"/>
          <w:spacing w:val="-4"/>
        </w:rPr>
        <w:t>I</w:t>
      </w:r>
      <w:r w:rsidRPr="006F2BB5">
        <w:rPr>
          <w:rFonts w:ascii="Arial" w:hAnsi="Arial" w:cs="Arial"/>
          <w:spacing w:val="2"/>
        </w:rPr>
        <w:t>n</w:t>
      </w:r>
      <w:r w:rsidRPr="006F2BB5">
        <w:rPr>
          <w:rFonts w:ascii="Arial" w:hAnsi="Arial" w:cs="Arial"/>
        </w:rPr>
        <w:t>fo</w:t>
      </w:r>
      <w:r w:rsidRPr="006F2BB5">
        <w:rPr>
          <w:rFonts w:ascii="Arial" w:hAnsi="Arial" w:cs="Arial"/>
          <w:spacing w:val="-2"/>
        </w:rPr>
        <w:t>r</w:t>
      </w:r>
      <w:r w:rsidRPr="006F2BB5">
        <w:rPr>
          <w:rFonts w:ascii="Arial" w:hAnsi="Arial" w:cs="Arial"/>
        </w:rPr>
        <w:t>má</w:t>
      </w:r>
      <w:r w:rsidRPr="006F2BB5">
        <w:rPr>
          <w:rFonts w:ascii="Arial" w:hAnsi="Arial" w:cs="Arial"/>
          <w:spacing w:val="-2"/>
        </w:rPr>
        <w:t>c</w:t>
      </w:r>
      <w:r w:rsidRPr="006F2BB5">
        <w:rPr>
          <w:rFonts w:ascii="Arial" w:hAnsi="Arial" w:cs="Arial"/>
          <w:spacing w:val="2"/>
        </w:rPr>
        <w:t>i</w:t>
      </w:r>
      <w:r w:rsidRPr="006F2BB5">
        <w:rPr>
          <w:rFonts w:ascii="Arial" w:hAnsi="Arial" w:cs="Arial"/>
          <w:spacing w:val="-1"/>
        </w:rPr>
        <w:t>a</w:t>
      </w:r>
      <w:r w:rsidRPr="006F2BB5">
        <w:rPr>
          <w:rFonts w:ascii="Arial" w:hAnsi="Arial" w:cs="Arial"/>
        </w:rPr>
        <w:t>,</w:t>
      </w:r>
      <w:r w:rsidRPr="006F2BB5">
        <w:rPr>
          <w:rFonts w:ascii="Arial" w:hAnsi="Arial" w:cs="Arial"/>
          <w:spacing w:val="4"/>
        </w:rPr>
        <w:t xml:space="preserve"> </w:t>
      </w:r>
      <w:r w:rsidRPr="006F2BB5">
        <w:rPr>
          <w:rFonts w:ascii="Arial" w:hAnsi="Arial" w:cs="Arial"/>
          <w:spacing w:val="-1"/>
        </w:rPr>
        <w:t>č</w:t>
      </w:r>
      <w:r w:rsidRPr="006F2BB5">
        <w:rPr>
          <w:rFonts w:ascii="Arial" w:hAnsi="Arial" w:cs="Arial"/>
        </w:rPr>
        <w:t>i</w:t>
      </w:r>
      <w:r w:rsidRPr="006F2BB5">
        <w:rPr>
          <w:rFonts w:ascii="Arial" w:hAnsi="Arial" w:cs="Arial"/>
          <w:spacing w:val="5"/>
        </w:rPr>
        <w:t xml:space="preserve"> </w:t>
      </w:r>
      <w:r w:rsidRPr="006F2BB5">
        <w:rPr>
          <w:rFonts w:ascii="Arial" w:hAnsi="Arial" w:cs="Arial"/>
        </w:rPr>
        <w:t>je</w:t>
      </w:r>
      <w:r w:rsidRPr="006F2BB5">
        <w:rPr>
          <w:rFonts w:ascii="Arial" w:hAnsi="Arial" w:cs="Arial"/>
          <w:spacing w:val="4"/>
        </w:rPr>
        <w:t xml:space="preserve"> </w:t>
      </w:r>
      <w:r w:rsidRPr="006F2BB5">
        <w:rPr>
          <w:rFonts w:ascii="Arial" w:hAnsi="Arial" w:cs="Arial"/>
          <w:spacing w:val="2"/>
        </w:rPr>
        <w:t>ú</w:t>
      </w:r>
      <w:r w:rsidRPr="006F2BB5">
        <w:rPr>
          <w:rFonts w:ascii="Arial" w:hAnsi="Arial" w:cs="Arial"/>
          <w:spacing w:val="-1"/>
        </w:rPr>
        <w:t>č</w:t>
      </w:r>
      <w:r w:rsidRPr="006F2BB5">
        <w:rPr>
          <w:rFonts w:ascii="Arial" w:hAnsi="Arial" w:cs="Arial"/>
        </w:rPr>
        <w:t>tovná</w:t>
      </w:r>
      <w:r w:rsidRPr="006F2BB5">
        <w:rPr>
          <w:rFonts w:ascii="Arial" w:hAnsi="Arial" w:cs="Arial"/>
          <w:spacing w:val="8"/>
        </w:rPr>
        <w:t xml:space="preserve"> </w:t>
      </w:r>
      <w:r w:rsidRPr="006F2BB5">
        <w:rPr>
          <w:rFonts w:ascii="Arial" w:hAnsi="Arial" w:cs="Arial"/>
          <w:spacing w:val="1"/>
        </w:rPr>
        <w:t>z</w:t>
      </w:r>
      <w:r w:rsidRPr="006F2BB5">
        <w:rPr>
          <w:rFonts w:ascii="Arial" w:hAnsi="Arial" w:cs="Arial"/>
          <w:spacing w:val="-1"/>
        </w:rPr>
        <w:t>á</w:t>
      </w:r>
      <w:r w:rsidRPr="006F2BB5">
        <w:rPr>
          <w:rFonts w:ascii="Arial" w:hAnsi="Arial" w:cs="Arial"/>
        </w:rPr>
        <w:t>vie</w:t>
      </w:r>
      <w:r w:rsidRPr="006F2BB5">
        <w:rPr>
          <w:rFonts w:ascii="Arial" w:hAnsi="Arial" w:cs="Arial"/>
          <w:spacing w:val="-2"/>
        </w:rPr>
        <w:t>r</w:t>
      </w:r>
      <w:r w:rsidRPr="006F2BB5">
        <w:rPr>
          <w:rFonts w:ascii="Arial" w:hAnsi="Arial" w:cs="Arial"/>
        </w:rPr>
        <w:t>ka</w:t>
      </w:r>
      <w:r w:rsidRPr="006F2BB5">
        <w:rPr>
          <w:rFonts w:ascii="Arial" w:hAnsi="Arial" w:cs="Arial"/>
          <w:spacing w:val="3"/>
        </w:rPr>
        <w:t xml:space="preserve"> </w:t>
      </w:r>
      <w:r w:rsidRPr="006F2BB5">
        <w:rPr>
          <w:rFonts w:ascii="Arial" w:hAnsi="Arial" w:cs="Arial"/>
          <w:spacing w:val="1"/>
        </w:rPr>
        <w:t>z</w:t>
      </w:r>
      <w:r w:rsidRPr="006F2BB5">
        <w:rPr>
          <w:rFonts w:ascii="Arial" w:hAnsi="Arial" w:cs="Arial"/>
        </w:rPr>
        <w:t>ostav</w:t>
      </w:r>
      <w:r w:rsidRPr="006F2BB5">
        <w:rPr>
          <w:rFonts w:ascii="Arial" w:hAnsi="Arial" w:cs="Arial"/>
          <w:spacing w:val="-2"/>
        </w:rPr>
        <w:t>e</w:t>
      </w:r>
      <w:r w:rsidRPr="006F2BB5">
        <w:rPr>
          <w:rFonts w:ascii="Arial" w:hAnsi="Arial" w:cs="Arial"/>
        </w:rPr>
        <w:t>ná</w:t>
      </w:r>
      <w:r w:rsidRPr="006F2BB5">
        <w:rPr>
          <w:rFonts w:ascii="Arial" w:hAnsi="Arial" w:cs="Arial"/>
          <w:spacing w:val="3"/>
        </w:rPr>
        <w:t xml:space="preserve"> </w:t>
      </w:r>
      <w:r w:rsidRPr="006F2BB5">
        <w:rPr>
          <w:rFonts w:ascii="Arial" w:hAnsi="Arial" w:cs="Arial"/>
          <w:spacing w:val="1"/>
        </w:rPr>
        <w:t>z</w:t>
      </w:r>
      <w:r w:rsidRPr="006F2BB5">
        <w:rPr>
          <w:rFonts w:ascii="Arial" w:hAnsi="Arial" w:cs="Arial"/>
        </w:rPr>
        <w:t>a s</w:t>
      </w:r>
      <w:r w:rsidRPr="006F2BB5">
        <w:rPr>
          <w:rFonts w:ascii="Arial" w:hAnsi="Arial" w:cs="Arial"/>
          <w:spacing w:val="2"/>
        </w:rPr>
        <w:t>p</w:t>
      </w:r>
      <w:r w:rsidRPr="006F2BB5">
        <w:rPr>
          <w:rFonts w:ascii="Arial" w:hAnsi="Arial" w:cs="Arial"/>
        </w:rPr>
        <w:t>lnenia</w:t>
      </w:r>
      <w:r w:rsidRPr="006F2BB5">
        <w:rPr>
          <w:rFonts w:ascii="Arial" w:hAnsi="Arial" w:cs="Arial"/>
          <w:spacing w:val="3"/>
        </w:rPr>
        <w:t xml:space="preserve"> </w:t>
      </w:r>
      <w:r w:rsidRPr="006F2BB5">
        <w:rPr>
          <w:rFonts w:ascii="Arial" w:hAnsi="Arial" w:cs="Arial"/>
        </w:rPr>
        <w:t>p</w:t>
      </w:r>
      <w:r w:rsidRPr="006F2BB5">
        <w:rPr>
          <w:rFonts w:ascii="Arial" w:hAnsi="Arial" w:cs="Arial"/>
          <w:spacing w:val="-1"/>
        </w:rPr>
        <w:t>re</w:t>
      </w:r>
      <w:r w:rsidRPr="006F2BB5">
        <w:rPr>
          <w:rFonts w:ascii="Arial" w:hAnsi="Arial" w:cs="Arial"/>
        </w:rPr>
        <w:t>dpokladu,</w:t>
      </w:r>
      <w:r w:rsidRPr="006F2BB5">
        <w:rPr>
          <w:rFonts w:ascii="Arial" w:hAnsi="Arial" w:cs="Arial"/>
          <w:spacing w:val="4"/>
        </w:rPr>
        <w:t xml:space="preserve"> </w:t>
      </w:r>
      <w:r w:rsidRPr="006F2BB5">
        <w:rPr>
          <w:rFonts w:ascii="Arial" w:hAnsi="Arial" w:cs="Arial"/>
          <w:spacing w:val="1"/>
        </w:rPr>
        <w:t>ž</w:t>
      </w:r>
      <w:r w:rsidRPr="006F2BB5">
        <w:rPr>
          <w:rFonts w:ascii="Arial" w:hAnsi="Arial" w:cs="Arial"/>
        </w:rPr>
        <w:t>e</w:t>
      </w:r>
      <w:r w:rsidRPr="006F2BB5">
        <w:rPr>
          <w:rFonts w:ascii="Arial" w:hAnsi="Arial" w:cs="Arial"/>
          <w:spacing w:val="3"/>
        </w:rPr>
        <w:t xml:space="preserve"> </w:t>
      </w:r>
      <w:r w:rsidRPr="006F2BB5">
        <w:rPr>
          <w:rFonts w:ascii="Arial" w:hAnsi="Arial" w:cs="Arial"/>
          <w:spacing w:val="2"/>
        </w:rPr>
        <w:t>ú</w:t>
      </w:r>
      <w:r w:rsidRPr="006F2BB5">
        <w:rPr>
          <w:rFonts w:ascii="Arial" w:hAnsi="Arial" w:cs="Arial"/>
          <w:spacing w:val="-1"/>
        </w:rPr>
        <w:t>č</w:t>
      </w:r>
      <w:r w:rsidRPr="006F2BB5">
        <w:rPr>
          <w:rFonts w:ascii="Arial" w:hAnsi="Arial" w:cs="Arial"/>
        </w:rPr>
        <w:t>tovná</w:t>
      </w:r>
      <w:r w:rsidRPr="006F2BB5">
        <w:rPr>
          <w:rFonts w:ascii="Arial" w:hAnsi="Arial" w:cs="Arial"/>
          <w:spacing w:val="4"/>
        </w:rPr>
        <w:t xml:space="preserve"> </w:t>
      </w:r>
      <w:r w:rsidRPr="006F2BB5">
        <w:rPr>
          <w:rFonts w:ascii="Arial" w:hAnsi="Arial" w:cs="Arial"/>
        </w:rPr>
        <w:t>jednotka bude</w:t>
      </w:r>
      <w:r w:rsidRPr="006F2BB5">
        <w:rPr>
          <w:rFonts w:ascii="Arial" w:hAnsi="Arial" w:cs="Arial"/>
          <w:spacing w:val="-1"/>
        </w:rPr>
        <w:t xml:space="preserve"> </w:t>
      </w:r>
      <w:r w:rsidRPr="006F2BB5">
        <w:rPr>
          <w:rFonts w:ascii="Arial" w:hAnsi="Arial" w:cs="Arial"/>
          <w:u w:val="single"/>
        </w:rPr>
        <w:t>n</w:t>
      </w:r>
      <w:r w:rsidRPr="006F2BB5">
        <w:rPr>
          <w:rFonts w:ascii="Arial" w:hAnsi="Arial" w:cs="Arial"/>
          <w:spacing w:val="-1"/>
          <w:u w:val="single"/>
        </w:rPr>
        <w:t>e</w:t>
      </w:r>
      <w:r w:rsidRPr="006F2BB5">
        <w:rPr>
          <w:rFonts w:ascii="Arial" w:hAnsi="Arial" w:cs="Arial"/>
          <w:u w:val="single"/>
        </w:rPr>
        <w:t>p</w:t>
      </w:r>
      <w:r w:rsidRPr="006F2BB5">
        <w:rPr>
          <w:rFonts w:ascii="Arial" w:hAnsi="Arial" w:cs="Arial"/>
          <w:spacing w:val="-1"/>
          <w:u w:val="single"/>
        </w:rPr>
        <w:t>re</w:t>
      </w:r>
      <w:r w:rsidRPr="006F2BB5">
        <w:rPr>
          <w:rFonts w:ascii="Arial" w:hAnsi="Arial" w:cs="Arial"/>
          <w:spacing w:val="2"/>
          <w:u w:val="single"/>
        </w:rPr>
        <w:t>t</w:t>
      </w:r>
      <w:r w:rsidRPr="006F2BB5">
        <w:rPr>
          <w:rFonts w:ascii="Arial" w:hAnsi="Arial" w:cs="Arial"/>
          <w:u w:val="single"/>
        </w:rPr>
        <w:t>ržite</w:t>
      </w:r>
      <w:r w:rsidRPr="006F2BB5">
        <w:rPr>
          <w:rFonts w:ascii="Arial" w:hAnsi="Arial" w:cs="Arial"/>
          <w:spacing w:val="-1"/>
          <w:u w:val="single"/>
        </w:rPr>
        <w:t xml:space="preserve"> </w:t>
      </w:r>
      <w:r w:rsidRPr="006F2BB5">
        <w:rPr>
          <w:rFonts w:ascii="Arial" w:hAnsi="Arial" w:cs="Arial"/>
          <w:u w:val="single"/>
        </w:rPr>
        <w:t>pokr</w:t>
      </w:r>
      <w:r w:rsidRPr="006F2BB5">
        <w:rPr>
          <w:rFonts w:ascii="Arial" w:hAnsi="Arial" w:cs="Arial"/>
          <w:spacing w:val="-2"/>
          <w:u w:val="single"/>
        </w:rPr>
        <w:t>a</w:t>
      </w:r>
      <w:r w:rsidRPr="006F2BB5">
        <w:rPr>
          <w:rFonts w:ascii="Arial" w:hAnsi="Arial" w:cs="Arial"/>
          <w:spacing w:val="-1"/>
          <w:u w:val="single"/>
        </w:rPr>
        <w:t>č</w:t>
      </w:r>
      <w:r w:rsidRPr="006F2BB5">
        <w:rPr>
          <w:rFonts w:ascii="Arial" w:hAnsi="Arial" w:cs="Arial"/>
          <w:spacing w:val="2"/>
          <w:u w:val="single"/>
        </w:rPr>
        <w:t>o</w:t>
      </w:r>
      <w:r w:rsidRPr="006F2BB5">
        <w:rPr>
          <w:rFonts w:ascii="Arial" w:hAnsi="Arial" w:cs="Arial"/>
          <w:u w:val="single"/>
        </w:rPr>
        <w:t>v</w:t>
      </w:r>
      <w:r w:rsidRPr="006F2BB5">
        <w:rPr>
          <w:rFonts w:ascii="Arial" w:hAnsi="Arial" w:cs="Arial"/>
          <w:spacing w:val="-1"/>
          <w:u w:val="single"/>
        </w:rPr>
        <w:t>a</w:t>
      </w:r>
      <w:r w:rsidRPr="006F2BB5">
        <w:rPr>
          <w:rFonts w:ascii="Arial" w:hAnsi="Arial" w:cs="Arial"/>
          <w:u w:val="single"/>
        </w:rPr>
        <w:t>ť</w:t>
      </w:r>
      <w:r w:rsidRPr="006F2BB5">
        <w:rPr>
          <w:rFonts w:ascii="Arial" w:hAnsi="Arial" w:cs="Arial"/>
        </w:rPr>
        <w:t xml:space="preserve"> vo svojej </w:t>
      </w:r>
      <w:r w:rsidRPr="006F2BB5">
        <w:rPr>
          <w:rFonts w:ascii="Arial" w:hAnsi="Arial" w:cs="Arial"/>
          <w:spacing w:val="-1"/>
        </w:rPr>
        <w:t>č</w:t>
      </w:r>
      <w:r w:rsidRPr="006F2BB5">
        <w:rPr>
          <w:rFonts w:ascii="Arial" w:hAnsi="Arial" w:cs="Arial"/>
        </w:rPr>
        <w:t>innosti</w:t>
      </w:r>
      <w:r w:rsidR="00401155" w:rsidRPr="006F2BB5">
        <w:rPr>
          <w:rFonts w:ascii="Arial" w:hAnsi="Arial" w:cs="Arial"/>
        </w:rPr>
        <w:t>:</w:t>
      </w:r>
      <w:r w:rsidR="006F2BB5" w:rsidRPr="006F2BB5">
        <w:rPr>
          <w:rFonts w:ascii="Arial" w:hAnsi="Arial" w:cs="Arial"/>
        </w:rPr>
        <w:t xml:space="preserve"> </w:t>
      </w:r>
    </w:p>
    <w:p w:rsidR="006F2BB5" w:rsidRPr="006F2BB5" w:rsidRDefault="006F2BB5" w:rsidP="006F2BB5">
      <w:pPr>
        <w:pStyle w:val="Odsekzoznamu"/>
        <w:spacing w:before="11" w:line="260" w:lineRule="exact"/>
        <w:ind w:left="720"/>
        <w:jc w:val="both"/>
        <w:rPr>
          <w:rFonts w:ascii="Arial" w:hAnsi="Arial" w:cs="Arial"/>
        </w:rPr>
      </w:pPr>
    </w:p>
    <w:p w:rsidR="006F2BB5" w:rsidRDefault="006F2BB5" w:rsidP="006F2BB5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 je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13409" w:rsidRPr="00A55E63" w:rsidRDefault="00E1340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6F2BB5" w:rsidRDefault="00401155" w:rsidP="006F2BB5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6F2BB5" w:rsidRPr="006F2BB5">
        <w:rPr>
          <w:rFonts w:ascii="Arial" w:hAnsi="Arial" w:cs="Arial"/>
          <w:sz w:val="22"/>
          <w:szCs w:val="22"/>
        </w:rPr>
        <w:t xml:space="preserve"> </w:t>
      </w:r>
      <w:r w:rsidR="006F2BB5">
        <w:rPr>
          <w:rFonts w:ascii="Arial" w:hAnsi="Arial" w:cs="Arial"/>
          <w:sz w:val="22"/>
          <w:szCs w:val="22"/>
        </w:rPr>
        <w:t>Majetok – budova, ktorá sa prenajíma je zahrnutý do 5</w:t>
      </w:r>
      <w:r w:rsidR="006F2BB5">
        <w:rPr>
          <w:rFonts w:ascii="Arial" w:hAnsi="Arial" w:cs="Arial"/>
          <w:sz w:val="22"/>
          <w:szCs w:val="22"/>
        </w:rPr>
        <w:t xml:space="preserve">. odpisovej skupiny s dobou odpisovania </w:t>
      </w:r>
      <w:r w:rsidR="006F2BB5">
        <w:rPr>
          <w:rFonts w:ascii="Arial" w:hAnsi="Arial" w:cs="Arial"/>
          <w:sz w:val="22"/>
          <w:szCs w:val="22"/>
        </w:rPr>
        <w:t>240</w:t>
      </w:r>
      <w:r w:rsidR="006F2BB5">
        <w:rPr>
          <w:rFonts w:ascii="Arial" w:hAnsi="Arial" w:cs="Arial"/>
          <w:sz w:val="22"/>
          <w:szCs w:val="22"/>
        </w:rPr>
        <w:t xml:space="preserve"> mesiacov.</w:t>
      </w:r>
    </w:p>
    <w:p w:rsidR="00E13409" w:rsidRDefault="00E13409" w:rsidP="006F2BB5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14"/>
        <w:gridCol w:w="1614"/>
        <w:gridCol w:w="1614"/>
        <w:gridCol w:w="1615"/>
        <w:gridCol w:w="1615"/>
        <w:gridCol w:w="1615"/>
      </w:tblGrid>
      <w:tr w:rsidR="006F2BB5" w:rsidTr="006F2BB5">
        <w:tc>
          <w:tcPr>
            <w:tcW w:w="1614" w:type="dxa"/>
          </w:tcPr>
          <w:p w:rsidR="006F2BB5" w:rsidRDefault="00E1340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lastRenderedPageBreak/>
              <w:t>Majetok</w:t>
            </w:r>
          </w:p>
        </w:tc>
        <w:tc>
          <w:tcPr>
            <w:tcW w:w="1614" w:type="dxa"/>
          </w:tcPr>
          <w:p w:rsidR="006F2BB5" w:rsidRDefault="00E1340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Stav k 1.1.2014</w:t>
            </w:r>
          </w:p>
        </w:tc>
        <w:tc>
          <w:tcPr>
            <w:tcW w:w="1614" w:type="dxa"/>
          </w:tcPr>
          <w:p w:rsidR="006F2BB5" w:rsidRDefault="00E1340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Odpisy r.2014</w:t>
            </w:r>
          </w:p>
        </w:tc>
        <w:tc>
          <w:tcPr>
            <w:tcW w:w="1615" w:type="dxa"/>
          </w:tcPr>
          <w:p w:rsidR="006F2BB5" w:rsidRDefault="00E1340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Oprávky celkom</w:t>
            </w:r>
          </w:p>
        </w:tc>
        <w:tc>
          <w:tcPr>
            <w:tcW w:w="1615" w:type="dxa"/>
          </w:tcPr>
          <w:p w:rsidR="006F2BB5" w:rsidRDefault="00E1340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Stav k 31.12.2014</w:t>
            </w:r>
          </w:p>
        </w:tc>
        <w:tc>
          <w:tcPr>
            <w:tcW w:w="1615" w:type="dxa"/>
          </w:tcPr>
          <w:p w:rsidR="006F2BB5" w:rsidRDefault="00E1340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poznámka</w:t>
            </w:r>
          </w:p>
        </w:tc>
      </w:tr>
      <w:tr w:rsidR="006F2BB5" w:rsidTr="006F2BB5">
        <w:tc>
          <w:tcPr>
            <w:tcW w:w="1614" w:type="dxa"/>
          </w:tcPr>
          <w:p w:rsidR="006F2BB5" w:rsidRDefault="00E1340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Stavby</w:t>
            </w:r>
          </w:p>
        </w:tc>
        <w:tc>
          <w:tcPr>
            <w:tcW w:w="1614" w:type="dxa"/>
          </w:tcPr>
          <w:p w:rsidR="006F2BB5" w:rsidRDefault="00E1340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95480</w:t>
            </w:r>
          </w:p>
        </w:tc>
        <w:tc>
          <w:tcPr>
            <w:tcW w:w="1614" w:type="dxa"/>
          </w:tcPr>
          <w:p w:rsidR="006F2BB5" w:rsidRDefault="00E1340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4774</w:t>
            </w:r>
          </w:p>
        </w:tc>
        <w:tc>
          <w:tcPr>
            <w:tcW w:w="1615" w:type="dxa"/>
          </w:tcPr>
          <w:p w:rsidR="006F2BB5" w:rsidRDefault="00E1340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65406</w:t>
            </w:r>
          </w:p>
        </w:tc>
        <w:tc>
          <w:tcPr>
            <w:tcW w:w="1615" w:type="dxa"/>
          </w:tcPr>
          <w:p w:rsidR="006F2BB5" w:rsidRDefault="00E1340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30074</w:t>
            </w:r>
          </w:p>
        </w:tc>
        <w:tc>
          <w:tcPr>
            <w:tcW w:w="1615" w:type="dxa"/>
          </w:tcPr>
          <w:p w:rsidR="006F2BB5" w:rsidRDefault="006F2BB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F2BB5" w:rsidRDefault="006F2BB5" w:rsidP="006F2BB5">
      <w:pPr>
        <w:pStyle w:val="Zkladntext"/>
        <w:numPr>
          <w:ilvl w:val="0"/>
          <w:numId w:val="11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Účtovné metódy a všeobecné účtovné zásady boli účtovnou jednotkou konzistentne aplikované.</w:t>
      </w:r>
      <w:r w:rsidRPr="006F2BB5">
        <w:rPr>
          <w:rFonts w:ascii="Arial" w:hAnsi="Arial" w:cs="Arial"/>
          <w:sz w:val="22"/>
          <w:szCs w:val="22"/>
        </w:rPr>
        <w:t xml:space="preserve"> </w:t>
      </w:r>
    </w:p>
    <w:p w:rsidR="006F2BB5" w:rsidRDefault="006F2BB5" w:rsidP="006F2BB5">
      <w:pPr>
        <w:pStyle w:val="Zkladntext"/>
        <w:numPr>
          <w:ilvl w:val="0"/>
          <w:numId w:val="11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Druh zmeny:</w:t>
      </w:r>
    </w:p>
    <w:p w:rsidR="006F2BB5" w:rsidRDefault="006F2BB5" w:rsidP="006F2BB5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Z dôvodu zmeny zákona od roku 2014 spoločnosť prešla na zmenu štruktúry položiek súvahy a výsledovky bez vplyvu na hospodársky výsledok a vlastné imanie.( </w:t>
      </w:r>
      <w:proofErr w:type="spellStart"/>
      <w:r>
        <w:rPr>
          <w:rFonts w:ascii="Arial" w:hAnsi="Arial" w:cs="Arial"/>
          <w:sz w:val="22"/>
          <w:szCs w:val="22"/>
        </w:rPr>
        <w:t>mikro-účtovná</w:t>
      </w:r>
      <w:proofErr w:type="spellEnd"/>
      <w:r>
        <w:rPr>
          <w:rFonts w:ascii="Arial" w:hAnsi="Arial" w:cs="Arial"/>
          <w:sz w:val="22"/>
          <w:szCs w:val="22"/>
        </w:rPr>
        <w:t xml:space="preserve"> jednotka)</w:t>
      </w:r>
    </w:p>
    <w:p w:rsidR="006F2BB5" w:rsidRDefault="006F2BB5" w:rsidP="006F2BB5">
      <w:pPr>
        <w:pStyle w:val="Zkladntext"/>
        <w:tabs>
          <w:tab w:val="left" w:pos="808"/>
        </w:tabs>
        <w:ind w:left="284" w:firstLine="0"/>
        <w:jc w:val="both"/>
        <w:rPr>
          <w:rFonts w:ascii="Arial" w:hAnsi="Arial" w:cs="Arial"/>
          <w:sz w:val="22"/>
          <w:szCs w:val="22"/>
        </w:rPr>
      </w:pPr>
    </w:p>
    <w:p w:rsidR="006F2BB5" w:rsidRPr="00A55E63" w:rsidRDefault="006F2BB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6F2BB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</w:t>
      </w:r>
      <w:r w:rsidR="00373635" w:rsidRPr="00A55E63">
        <w:rPr>
          <w:rFonts w:ascii="Arial" w:hAnsi="Arial" w:cs="Arial"/>
          <w:spacing w:val="-4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F2BB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6F2BB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  <w:r w:rsidRPr="006F2BB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Záväzky sú splatné do 1 roka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13409" w:rsidRDefault="002C12B4" w:rsidP="00E13409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pacing w:val="-4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  <w:r w:rsidR="00E13409" w:rsidRPr="00E13409">
        <w:rPr>
          <w:rFonts w:ascii="Arial" w:hAnsi="Arial" w:cs="Arial"/>
          <w:spacing w:val="-4"/>
          <w:sz w:val="22"/>
          <w:szCs w:val="22"/>
        </w:rPr>
        <w:t xml:space="preserve"> </w:t>
      </w:r>
    </w:p>
    <w:p w:rsidR="00E13409" w:rsidRDefault="00E13409" w:rsidP="00E13409">
      <w:pPr>
        <w:pStyle w:val="Zkladntext"/>
        <w:tabs>
          <w:tab w:val="left" w:pos="668"/>
        </w:tabs>
        <w:ind w:left="720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E13409" w:rsidRDefault="00E13409" w:rsidP="00E13409">
      <w:pPr>
        <w:pStyle w:val="Zkladntext"/>
        <w:tabs>
          <w:tab w:val="left" w:pos="668"/>
        </w:tabs>
        <w:ind w:left="720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 w:rsidRPr="006616BE">
        <w:rPr>
          <w:rFonts w:ascii="Arial" w:hAnsi="Arial" w:cs="Arial"/>
          <w:spacing w:val="-4"/>
          <w:sz w:val="22"/>
          <w:szCs w:val="22"/>
        </w:rPr>
        <w:t xml:space="preserve">Štatutárom </w:t>
      </w:r>
      <w:r>
        <w:rPr>
          <w:rFonts w:ascii="Arial" w:hAnsi="Arial" w:cs="Arial"/>
          <w:spacing w:val="-4"/>
          <w:sz w:val="22"/>
          <w:szCs w:val="22"/>
        </w:rPr>
        <w:t>a </w:t>
      </w:r>
      <w:r>
        <w:rPr>
          <w:rFonts w:ascii="Arial" w:hAnsi="Arial" w:cs="Arial"/>
          <w:spacing w:val="-4"/>
          <w:sz w:val="22"/>
          <w:szCs w:val="22"/>
        </w:rPr>
        <w:t>spoločníkmi firmy sú Peter Minárik, Čajkovského 11, Martin</w:t>
      </w:r>
    </w:p>
    <w:p w:rsidR="00E13409" w:rsidRDefault="00E13409" w:rsidP="00E13409">
      <w:pPr>
        <w:pStyle w:val="Zkladntext"/>
        <w:tabs>
          <w:tab w:val="left" w:pos="668"/>
        </w:tabs>
        <w:ind w:left="720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A Ing. Milan Minárik, Predmestská 56, Žilina</w:t>
      </w:r>
    </w:p>
    <w:p w:rsidR="00E13409" w:rsidRDefault="00E13409" w:rsidP="00E13409">
      <w:pPr>
        <w:pStyle w:val="Zkladntext"/>
        <w:tabs>
          <w:tab w:val="left" w:pos="668"/>
        </w:tabs>
        <w:ind w:left="644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E13409" w:rsidRDefault="00E13409" w:rsidP="00E13409">
      <w:pPr>
        <w:pStyle w:val="Zkladntext"/>
        <w:tabs>
          <w:tab w:val="left" w:pos="668"/>
        </w:tabs>
        <w:ind w:left="644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Predmet činnosť firmy:</w:t>
      </w:r>
    </w:p>
    <w:p w:rsidR="00E13409" w:rsidRDefault="00E13409" w:rsidP="00E13409">
      <w:pPr>
        <w:pStyle w:val="Zkladntext"/>
        <w:tabs>
          <w:tab w:val="left" w:pos="668"/>
        </w:tabs>
        <w:ind w:left="644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- obchodná činnosť v rozsahu voľných živností</w:t>
      </w:r>
    </w:p>
    <w:p w:rsidR="00E13409" w:rsidRDefault="00E13409" w:rsidP="00E13409">
      <w:pPr>
        <w:pStyle w:val="Zkladntext"/>
        <w:tabs>
          <w:tab w:val="left" w:pos="668"/>
        </w:tabs>
        <w:ind w:left="644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- </w:t>
      </w:r>
      <w:r w:rsidR="007C752D">
        <w:rPr>
          <w:rFonts w:ascii="Arial" w:hAnsi="Arial" w:cs="Arial"/>
          <w:spacing w:val="-4"/>
          <w:sz w:val="22"/>
          <w:szCs w:val="22"/>
        </w:rPr>
        <w:t>sprostredkovateľská činnosť</w:t>
      </w:r>
    </w:p>
    <w:p w:rsidR="00373635" w:rsidRDefault="00E13409" w:rsidP="007C752D">
      <w:pPr>
        <w:pStyle w:val="Zkladntext"/>
        <w:tabs>
          <w:tab w:val="left" w:pos="668"/>
        </w:tabs>
        <w:ind w:left="644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- </w:t>
      </w:r>
      <w:r w:rsidR="007C752D">
        <w:rPr>
          <w:rFonts w:ascii="Arial" w:hAnsi="Arial" w:cs="Arial"/>
          <w:spacing w:val="-4"/>
          <w:sz w:val="22"/>
          <w:szCs w:val="22"/>
        </w:rPr>
        <w:t>maloobchod s mäsom a mäsovými výrobkami</w:t>
      </w:r>
    </w:p>
    <w:p w:rsidR="00E13409" w:rsidRPr="00A55E63" w:rsidRDefault="00E1340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373635" w:rsidRPr="00A55E63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25F1E" w:rsidRDefault="00B25F1E">
      <w:r>
        <w:separator/>
      </w:r>
    </w:p>
  </w:endnote>
  <w:endnote w:type="continuationSeparator" w:id="0">
    <w:p w:rsidR="00B25F1E" w:rsidRDefault="00B25F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7078C6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A7FADA0" wp14:editId="2F348FBE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C752D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7C752D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25F1E" w:rsidRDefault="00B25F1E">
      <w:r>
        <w:separator/>
      </w:r>
    </w:p>
  </w:footnote>
  <w:footnote w:type="continuationSeparator" w:id="0">
    <w:p w:rsidR="00B25F1E" w:rsidRDefault="00B25F1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F2BB5">
      <w:rPr>
        <w:rFonts w:ascii="Arial" w:hAnsi="Arial" w:cs="Arial"/>
        <w:sz w:val="22"/>
        <w:szCs w:val="22"/>
        <w:bdr w:val="single" w:sz="4" w:space="0" w:color="auto"/>
      </w:rPr>
      <w:t>31585434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B3BFF">
      <w:rPr>
        <w:rFonts w:ascii="Arial" w:hAnsi="Arial" w:cs="Arial"/>
        <w:sz w:val="22"/>
        <w:szCs w:val="22"/>
        <w:bdr w:val="single" w:sz="4" w:space="0" w:color="auto"/>
      </w:rPr>
      <w:t>202</w:t>
    </w:r>
    <w:r w:rsidR="006F2BB5">
      <w:rPr>
        <w:rFonts w:ascii="Arial" w:hAnsi="Arial" w:cs="Arial"/>
        <w:sz w:val="22"/>
        <w:szCs w:val="22"/>
        <w:bdr w:val="single" w:sz="4" w:space="0" w:color="auto"/>
      </w:rPr>
      <w:t>0444459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3C202B"/>
    <w:multiLevelType w:val="hybridMultilevel"/>
    <w:tmpl w:val="DBBE9C72"/>
    <w:lvl w:ilvl="0" w:tplc="041B000F">
      <w:start w:val="1"/>
      <w:numFmt w:val="decimal"/>
      <w:lvlText w:val="%1."/>
      <w:lvlJc w:val="left"/>
      <w:pPr>
        <w:ind w:left="644" w:hanging="360"/>
      </w:pPr>
    </w:lvl>
    <w:lvl w:ilvl="1" w:tplc="041B0019">
      <w:start w:val="1"/>
      <w:numFmt w:val="lowerLetter"/>
      <w:lvlText w:val="%2."/>
      <w:lvlJc w:val="left"/>
      <w:pPr>
        <w:ind w:left="1364" w:hanging="360"/>
      </w:pPr>
    </w:lvl>
    <w:lvl w:ilvl="2" w:tplc="041B001B">
      <w:start w:val="1"/>
      <w:numFmt w:val="lowerRoman"/>
      <w:lvlText w:val="%3."/>
      <w:lvlJc w:val="right"/>
      <w:pPr>
        <w:ind w:left="2084" w:hanging="180"/>
      </w:pPr>
    </w:lvl>
    <w:lvl w:ilvl="3" w:tplc="041B000F">
      <w:start w:val="1"/>
      <w:numFmt w:val="decimal"/>
      <w:lvlText w:val="%4."/>
      <w:lvlJc w:val="left"/>
      <w:pPr>
        <w:ind w:left="2804" w:hanging="360"/>
      </w:pPr>
    </w:lvl>
    <w:lvl w:ilvl="4" w:tplc="041B0019">
      <w:start w:val="1"/>
      <w:numFmt w:val="lowerLetter"/>
      <w:lvlText w:val="%5."/>
      <w:lvlJc w:val="left"/>
      <w:pPr>
        <w:ind w:left="3524" w:hanging="360"/>
      </w:pPr>
    </w:lvl>
    <w:lvl w:ilvl="5" w:tplc="041B001B">
      <w:start w:val="1"/>
      <w:numFmt w:val="lowerRoman"/>
      <w:lvlText w:val="%6."/>
      <w:lvlJc w:val="right"/>
      <w:pPr>
        <w:ind w:left="4244" w:hanging="180"/>
      </w:pPr>
    </w:lvl>
    <w:lvl w:ilvl="6" w:tplc="041B000F">
      <w:start w:val="1"/>
      <w:numFmt w:val="decimal"/>
      <w:lvlText w:val="%7."/>
      <w:lvlJc w:val="left"/>
      <w:pPr>
        <w:ind w:left="4964" w:hanging="360"/>
      </w:pPr>
    </w:lvl>
    <w:lvl w:ilvl="7" w:tplc="041B0019">
      <w:start w:val="1"/>
      <w:numFmt w:val="lowerLetter"/>
      <w:lvlText w:val="%8."/>
      <w:lvlJc w:val="left"/>
      <w:pPr>
        <w:ind w:left="5684" w:hanging="360"/>
      </w:pPr>
    </w:lvl>
    <w:lvl w:ilvl="8" w:tplc="041B001B">
      <w:start w:val="1"/>
      <w:numFmt w:val="lowerRoman"/>
      <w:lvlText w:val="%9."/>
      <w:lvlJc w:val="right"/>
      <w:pPr>
        <w:ind w:left="6404" w:hanging="180"/>
      </w:pPr>
    </w:lvl>
  </w:abstractNum>
  <w:abstractNum w:abstractNumId="1">
    <w:nsid w:val="0EFD3019"/>
    <w:multiLevelType w:val="hybridMultilevel"/>
    <w:tmpl w:val="DBBE9C7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9">
    <w:nsid w:val="7DF60C27"/>
    <w:multiLevelType w:val="hybridMultilevel"/>
    <w:tmpl w:val="DBBE9C7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8"/>
  </w:num>
  <w:num w:numId="3">
    <w:abstractNumId w:val="7"/>
  </w:num>
  <w:num w:numId="4">
    <w:abstractNumId w:val="3"/>
  </w:num>
  <w:num w:numId="5">
    <w:abstractNumId w:val="6"/>
  </w:num>
  <w:num w:numId="6">
    <w:abstractNumId w:val="4"/>
  </w:num>
  <w:num w:numId="7">
    <w:abstractNumId w:val="5"/>
  </w:num>
  <w:num w:numId="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"/>
  </w:num>
  <w:num w:numId="10">
    <w:abstractNumId w:val="0"/>
  </w:num>
  <w:num w:numId="1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2401F1"/>
    <w:rsid w:val="002C12B4"/>
    <w:rsid w:val="002D7E6D"/>
    <w:rsid w:val="003657F5"/>
    <w:rsid w:val="00373635"/>
    <w:rsid w:val="003D056F"/>
    <w:rsid w:val="00401155"/>
    <w:rsid w:val="004A2BF3"/>
    <w:rsid w:val="0055784D"/>
    <w:rsid w:val="00623868"/>
    <w:rsid w:val="00637F73"/>
    <w:rsid w:val="00676DB4"/>
    <w:rsid w:val="006F2BB5"/>
    <w:rsid w:val="007078C6"/>
    <w:rsid w:val="007B3BFF"/>
    <w:rsid w:val="007C752D"/>
    <w:rsid w:val="008771A6"/>
    <w:rsid w:val="00913435"/>
    <w:rsid w:val="00916772"/>
    <w:rsid w:val="009A27D0"/>
    <w:rsid w:val="009D5C84"/>
    <w:rsid w:val="00A55E63"/>
    <w:rsid w:val="00AD6C8A"/>
    <w:rsid w:val="00AD749D"/>
    <w:rsid w:val="00B15E67"/>
    <w:rsid w:val="00B25F1E"/>
    <w:rsid w:val="00B7440A"/>
    <w:rsid w:val="00C01CB7"/>
    <w:rsid w:val="00CC3205"/>
    <w:rsid w:val="00CD545D"/>
    <w:rsid w:val="00E13409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kladntextChar">
    <w:name w:val="Základný text Char"/>
    <w:basedOn w:val="Predvolenpsmoodseku"/>
    <w:link w:val="Zkladntext"/>
    <w:uiPriority w:val="1"/>
    <w:rsid w:val="006F2BB5"/>
    <w:rPr>
      <w:rFonts w:ascii="Times New Roman" w:eastAsia="Times New Roman" w:hAnsi="Times New Roman"/>
      <w:sz w:val="24"/>
      <w:szCs w:val="24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kladntextChar">
    <w:name w:val="Základný text Char"/>
    <w:basedOn w:val="Predvolenpsmoodseku"/>
    <w:link w:val="Zkladntext"/>
    <w:uiPriority w:val="1"/>
    <w:rsid w:val="006F2BB5"/>
    <w:rPr>
      <w:rFonts w:ascii="Times New Roman" w:eastAsia="Times New Roman" w:hAnsi="Times New Roman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1ADBF4D-7DF4-4B3C-B9BF-A307ADD23E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451</Words>
  <Characters>2572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3017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Čadecká Nadežda</cp:lastModifiedBy>
  <cp:revision>2</cp:revision>
  <dcterms:created xsi:type="dcterms:W3CDTF">2015-03-19T09:50:00Z</dcterms:created>
  <dcterms:modified xsi:type="dcterms:W3CDTF">2015-03-19T09:50:00Z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