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9D9" w:rsidRDefault="002679D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</w:t>
      </w:r>
    </w:p>
    <w:p w:rsidR="002679D9" w:rsidRDefault="002679D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Všeobecné údaje</w:t>
      </w:r>
    </w:p>
    <w:p w:rsidR="002679D9" w:rsidRDefault="002679D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2679D9" w:rsidRDefault="002679D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87"/>
      </w:tblGrid>
      <w:tr w:rsidR="002679D9">
        <w:trPr>
          <w:trHeight w:val="355"/>
        </w:trPr>
        <w:tc>
          <w:tcPr>
            <w:tcW w:w="8187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NORSIM  s.r.o., Holubičia 4, 940 77  Nové Zámky</w:t>
            </w:r>
          </w:p>
        </w:tc>
      </w:tr>
    </w:tbl>
    <w:p w:rsidR="002679D9" w:rsidRDefault="002679D9">
      <w:pPr>
        <w:pStyle w:val="ListParagraph"/>
        <w:jc w:val="both"/>
        <w:rPr>
          <w:rFonts w:ascii="Times New Roman" w:hAnsi="Times New Roman" w:cs="Times New Roman"/>
        </w:rPr>
      </w:pPr>
    </w:p>
    <w:p w:rsidR="002679D9" w:rsidRDefault="002679D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2679D9" w:rsidRDefault="002679D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a sídlo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konsolidujúcej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účtovnej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jednotky,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ktorá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-1"/>
        </w:rPr>
        <w:t>zostavuje</w:t>
      </w:r>
      <w:r>
        <w:rPr>
          <w:rFonts w:ascii="Times New Roman" w:hAnsi="Times New Roman" w:cs="Times New Roman"/>
          <w:spacing w:val="71"/>
        </w:rPr>
        <w:t xml:space="preserve"> </w:t>
      </w:r>
      <w:r>
        <w:rPr>
          <w:rFonts w:ascii="Times New Roman" w:hAnsi="Times New Roman" w:cs="Times New Roman"/>
        </w:rPr>
        <w:t xml:space="preserve">konsolidovanú účtovnú </w:t>
      </w:r>
      <w:r>
        <w:rPr>
          <w:rFonts w:ascii="Times New Roman" w:hAnsi="Times New Roman" w:cs="Times New Roman"/>
          <w:spacing w:val="-1"/>
        </w:rPr>
        <w:t>závierku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za tú skupinu účtovných </w:t>
      </w:r>
      <w:r>
        <w:rPr>
          <w:rFonts w:ascii="Times New Roman" w:hAnsi="Times New Roman" w:cs="Times New Roman"/>
          <w:spacing w:val="-1"/>
        </w:rPr>
        <w:t>jednotiek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konsolidovaného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celku,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-1"/>
        </w:rPr>
        <w:t>ktorého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súčasťou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aj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účtovná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jednotka;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uvádza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aj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účtovnej</w:t>
      </w:r>
      <w:r>
        <w:rPr>
          <w:rFonts w:ascii="Times New Roman" w:hAnsi="Times New Roman" w:cs="Times New Roman"/>
          <w:spacing w:val="-1"/>
        </w:rPr>
        <w:t xml:space="preserve"> jednotky,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ktorá </w:t>
      </w:r>
      <w:r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  <w:spacing w:val="-1"/>
        </w:rPr>
        <w:t>bezprostredne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>konsolidujúcou</w:t>
      </w:r>
      <w:r>
        <w:rPr>
          <w:rFonts w:ascii="Times New Roman" w:hAnsi="Times New Roman" w:cs="Times New Roman"/>
        </w:rPr>
        <w:t xml:space="preserve"> účtovnou </w:t>
      </w:r>
      <w:r>
        <w:rPr>
          <w:rFonts w:ascii="Times New Roman" w:hAnsi="Times New Roman" w:cs="Times New Roman"/>
          <w:spacing w:val="-1"/>
        </w:rPr>
        <w:t>jednotkou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2679D9">
        <w:trPr>
          <w:trHeight w:val="368"/>
        </w:trPr>
        <w:tc>
          <w:tcPr>
            <w:tcW w:w="9212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2679D9" w:rsidRDefault="002679D9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2679D9" w:rsidRDefault="002679D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679D9" w:rsidRDefault="002679D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>
        <w:rPr>
          <w:rFonts w:ascii="Times New Roman" w:hAnsi="Times New Roman" w:cs="Times New Roman"/>
          <w:spacing w:val="-1"/>
          <w:sz w:val="10"/>
          <w:szCs w:val="10"/>
        </w:rPr>
        <w:t>,</w:t>
      </w:r>
      <w:r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2679D9" w:rsidRDefault="002679D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12 zákona obchodné meno a sídlo dcérskych účtovných jednotiek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2679D9">
        <w:trPr>
          <w:trHeight w:val="350"/>
        </w:trPr>
        <w:tc>
          <w:tcPr>
            <w:tcW w:w="9212" w:type="dxa"/>
            <w:vAlign w:val="center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2679D9" w:rsidRDefault="002679D9">
      <w:pPr>
        <w:ind w:left="1080"/>
        <w:jc w:val="both"/>
        <w:rPr>
          <w:rFonts w:ascii="Times New Roman" w:hAnsi="Times New Roman" w:cs="Times New Roman"/>
        </w:rPr>
      </w:pPr>
    </w:p>
    <w:p w:rsidR="002679D9" w:rsidRDefault="002679D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</w:t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  <w:bdr w:val="single" w:sz="4" w:space="0" w:color="auto"/>
        </w:rPr>
        <w:t xml:space="preserve">     </w:t>
      </w:r>
    </w:p>
    <w:p w:rsidR="002679D9" w:rsidRDefault="002679D9">
      <w:pPr>
        <w:rPr>
          <w:rFonts w:ascii="Times New Roman" w:hAnsi="Times New Roman" w:cs="Times New Roman"/>
        </w:rPr>
      </w:pPr>
    </w:p>
    <w:p w:rsidR="002679D9" w:rsidRDefault="002679D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</w:t>
      </w:r>
    </w:p>
    <w:p w:rsidR="002679D9" w:rsidRDefault="002679D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prijatých postupoch</w:t>
      </w:r>
    </w:p>
    <w:p w:rsidR="002679D9" w:rsidRDefault="002679D9">
      <w:pPr>
        <w:pStyle w:val="ListParagraph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áno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2679D9" w:rsidRDefault="002679D9">
      <w:pPr>
        <w:pStyle w:val="ListParagraph"/>
        <w:spacing w:after="60"/>
        <w:ind w:left="714"/>
        <w:jc w:val="both"/>
        <w:rPr>
          <w:rFonts w:ascii="Times New Roman" w:hAnsi="Times New Roman" w:cs="Times New Roman"/>
          <w:b/>
          <w:bCs/>
        </w:rPr>
      </w:pPr>
    </w:p>
    <w:p w:rsidR="002679D9" w:rsidRDefault="002679D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2679D9" w:rsidRDefault="002679D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dlhodobého nehmotného majetku, dlhodobého hmotného a dlhodobého finančného majetku: </w:t>
      </w:r>
      <w:r>
        <w:rPr>
          <w:rFonts w:ascii="Times New Roman" w:hAnsi="Times New Roman" w:cs="Times New Roman"/>
          <w:b/>
          <w:bCs/>
          <w:i/>
          <w:iCs/>
        </w:rPr>
        <w:t>obstarávacou cenou</w:t>
      </w:r>
    </w:p>
    <w:p w:rsidR="002679D9" w:rsidRDefault="002679D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zásob obstaraných kúpou, zásob vytvorených vlastnou činnosťou: </w:t>
      </w:r>
      <w:r>
        <w:rPr>
          <w:rFonts w:ascii="Times New Roman" w:hAnsi="Times New Roman" w:cs="Times New Roman"/>
          <w:b/>
          <w:bCs/>
          <w:i/>
          <w:iCs/>
        </w:rPr>
        <w:t>obstarávacou cenou</w:t>
      </w:r>
    </w:p>
    <w:p w:rsidR="002679D9" w:rsidRDefault="002679D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pohľadávok: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2679D9" w:rsidRDefault="002679D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krátkodobého finančného majetku: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2679D9" w:rsidRDefault="002679D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dlhopisov, pôžičiek a úverov: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2679D9" w:rsidRDefault="002679D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derivátových operácií: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2679D9" w:rsidRDefault="002679D9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2679D9" w:rsidRDefault="002679D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odpisové metódy pri určení odpisov:</w:t>
      </w:r>
    </w:p>
    <w:p w:rsidR="002679D9" w:rsidRDefault="002679D9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Odpisový plán účtovných odpisov hmotného majetku sa zostavil interným predpisom tak, že za základ sa vzali metódy používané pri vyčísľovaní daňových odpisov.</w:t>
      </w:r>
    </w:p>
    <w:p w:rsidR="002679D9" w:rsidRDefault="002679D9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Odpisové sadzby pre účtovné a daňové odpisy podnikateľa sa rovnajú. Ročný účtovný odpis sa odlišoval od daňového odpisu podľa počtu mesiacov od zaradenia majetku do konca roka. Od 1.1.2012 sa uplatňuje aj u daňových odpisov pomerná časť z ročného odpisu.</w:t>
      </w:r>
    </w:p>
    <w:p w:rsidR="002679D9" w:rsidRDefault="002679D9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2679D9" w:rsidRDefault="002679D9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32"/>
        <w:gridCol w:w="1843"/>
        <w:gridCol w:w="1649"/>
        <w:gridCol w:w="1895"/>
      </w:tblGrid>
      <w:tr w:rsidR="002679D9">
        <w:trPr>
          <w:trHeight w:val="340"/>
        </w:trPr>
        <w:tc>
          <w:tcPr>
            <w:tcW w:w="2932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Druh majetku</w:t>
            </w:r>
          </w:p>
        </w:tc>
        <w:tc>
          <w:tcPr>
            <w:tcW w:w="1843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Odpisová metóda</w:t>
            </w:r>
          </w:p>
        </w:tc>
      </w:tr>
      <w:tr w:rsidR="002679D9">
        <w:trPr>
          <w:trHeight w:val="340"/>
        </w:trPr>
        <w:tc>
          <w:tcPr>
            <w:tcW w:w="2932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</w:p>
        </w:tc>
        <w:tc>
          <w:tcPr>
            <w:tcW w:w="1649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679D9">
        <w:trPr>
          <w:trHeight w:val="340"/>
        </w:trPr>
        <w:tc>
          <w:tcPr>
            <w:tcW w:w="2932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679D9">
        <w:trPr>
          <w:trHeight w:val="340"/>
        </w:trPr>
        <w:tc>
          <w:tcPr>
            <w:tcW w:w="2932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679D9">
        <w:trPr>
          <w:trHeight w:val="340"/>
        </w:trPr>
        <w:tc>
          <w:tcPr>
            <w:tcW w:w="2932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2679D9" w:rsidRDefault="002679D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2679D9" w:rsidRDefault="002679D9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2679D9" w:rsidRDefault="002679D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 hospodárenia účtovnej jednotky:</w:t>
      </w:r>
    </w:p>
    <w:p w:rsidR="002679D9" w:rsidRDefault="002679D9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Účtovné metódy a účtovné zásady sú aplikované v zmysle platného zákona o účtovníctve a postupov účtovania pre podnikateľov účtujúcich v podvojnom účtovníctve.</w:t>
      </w:r>
    </w:p>
    <w:p w:rsidR="002679D9" w:rsidRDefault="002679D9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2679D9" w:rsidRDefault="002679D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dotáciách a ich oceňovanie v účtovníctve: 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2679D9" w:rsidRDefault="002679D9">
      <w:pPr>
        <w:pStyle w:val="ListParagraph"/>
        <w:jc w:val="both"/>
        <w:rPr>
          <w:rFonts w:ascii="Times New Roman" w:hAnsi="Times New Roman" w:cs="Times New Roman"/>
        </w:rPr>
      </w:pPr>
    </w:p>
    <w:p w:rsidR="002679D9" w:rsidRDefault="002679D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účtovaní významných opráv chýb minulých účtovných období v bežnom účtovnom období s uvedením vplyvu na nerozdelený zisku minulých rokov alebo neuhradenú stratu minulých rokov; súčasne sa môže uviesť aj účtovanie nevýznamných chýb minulých účtovných období s uvedením vplyvu na výsledok hospodárenia bežného účtovného obdobia: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2679D9" w:rsidRDefault="002679D9">
      <w:pPr>
        <w:jc w:val="both"/>
        <w:rPr>
          <w:rFonts w:ascii="Times New Roman" w:hAnsi="Times New Roman" w:cs="Times New Roman"/>
        </w:rPr>
      </w:pPr>
    </w:p>
    <w:p w:rsidR="002679D9" w:rsidRDefault="002679D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:rsidR="002679D9" w:rsidRDefault="002679D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Informácie, ktoré vysvetľujú a dopĺňajú súvahu a výkaz ziskov a strát</w:t>
      </w:r>
    </w:p>
    <w:p w:rsidR="002679D9" w:rsidRDefault="002679D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   </w:t>
      </w:r>
    </w:p>
    <w:p w:rsidR="002679D9" w:rsidRDefault="002679D9">
      <w:pPr>
        <w:pStyle w:val="ListParagraph"/>
        <w:ind w:firstLine="69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2679D9" w:rsidRDefault="002679D9">
      <w:pPr>
        <w:pStyle w:val="ListParagraph"/>
        <w:jc w:val="both"/>
        <w:rPr>
          <w:rFonts w:ascii="Times New Roman" w:hAnsi="Times New Roman" w:cs="Times New Roman"/>
        </w:rPr>
      </w:pPr>
    </w:p>
    <w:p w:rsidR="002679D9" w:rsidRDefault="002679D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2679D9" w:rsidRDefault="002679D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2679D9" w:rsidRDefault="002679D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2679D9" w:rsidRDefault="002679D9">
      <w:pPr>
        <w:pStyle w:val="ListParagraph"/>
        <w:ind w:left="1080" w:firstLine="33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2679D9" w:rsidRDefault="002679D9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2679D9" w:rsidRDefault="002679D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2679D9" w:rsidRDefault="002679D9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2679D9" w:rsidRDefault="002679D9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informáciách, ktorými sú</w:t>
      </w:r>
    </w:p>
    <w:p w:rsidR="002679D9" w:rsidRDefault="002679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679D9" w:rsidRDefault="002679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679D9" w:rsidRDefault="002679D9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:rsidR="002679D9" w:rsidRDefault="002679D9">
      <w:pPr>
        <w:pStyle w:val="ListParagraph"/>
        <w:ind w:left="1080" w:firstLine="3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2679D9" w:rsidRDefault="002679D9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2679D9" w:rsidRDefault="002679D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2679D9" w:rsidRDefault="002679D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výške jednotlivých druhov záruk alebo iných zabezpečení poskytnutých pre členov štatutárneho orgánu, dozorného orgánu a iného orgánu účtovnej jednotky, a to v členení za jednotlivé orgány,</w:t>
      </w:r>
    </w:p>
    <w:p w:rsidR="002679D9" w:rsidRDefault="002679D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štatutárneho orgánu, dozorného orgánu a iného orgánu účtovnej jednotky a to</w:t>
      </w:r>
    </w:p>
    <w:p w:rsidR="002679D9" w:rsidRDefault="002679D9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poskytnutých pôžičiek k poslednému dňu účtovného obdobia v členení za jednotlivé orgány</w:t>
      </w:r>
    </w:p>
    <w:p w:rsidR="002679D9" w:rsidRDefault="002679D9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:rsidR="002679D9" w:rsidRDefault="002679D9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:rsidR="002679D9" w:rsidRDefault="002679D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hlavných podmienkach, na základe ktorých im boli záruky alebo iné zabezpečenie a pôžičky poskytnuté; pri pôžičkách sa uvádzajú úrokové sadzby,</w:t>
      </w:r>
    </w:p>
    <w:p w:rsidR="002679D9" w:rsidRDefault="002679D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:rsidR="002679D9" w:rsidRDefault="002679D9">
      <w:pPr>
        <w:pStyle w:val="ListParagraph"/>
        <w:ind w:left="1080" w:firstLine="33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2679D9" w:rsidRDefault="002679D9">
      <w:pPr>
        <w:pStyle w:val="ListParagraph"/>
        <w:ind w:left="1080" w:firstLine="336"/>
        <w:jc w:val="both"/>
        <w:rPr>
          <w:rFonts w:ascii="Times New Roman" w:hAnsi="Times New Roman" w:cs="Times New Roman"/>
        </w:rPr>
      </w:pPr>
    </w:p>
    <w:p w:rsidR="002679D9" w:rsidRDefault="002679D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2679D9" w:rsidRDefault="002679D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2679D9" w:rsidRDefault="002679D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2679D9" w:rsidRDefault="002679D9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2679D9" w:rsidRDefault="002679D9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:rsidR="002679D9" w:rsidRDefault="002679D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2a. nie je pravdepodobné, že na splnenie tejto povinnosti bude potrebný úbytok ekonomických úžitkov, alebo</w:t>
      </w:r>
    </w:p>
    <w:p w:rsidR="002679D9" w:rsidRDefault="002679D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2679D9" w:rsidRDefault="002679D9">
      <w:pPr>
        <w:pStyle w:val="ListParagraph"/>
        <w:ind w:left="18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2679D9" w:rsidRDefault="002679D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významných finančných povinností a významných podmienených záväzkov:</w:t>
      </w:r>
      <w:r>
        <w:rPr>
          <w:rFonts w:ascii="Times New Roman" w:hAnsi="Times New Roman" w:cs="Times New Roman"/>
          <w:b/>
          <w:bCs/>
          <w:i/>
          <w:iCs/>
        </w:rPr>
        <w:t xml:space="preserve"> negatívne</w:t>
      </w:r>
    </w:p>
    <w:p w:rsidR="002679D9" w:rsidRDefault="002679D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finančných povinností a významných podmienených záväzkov voči dcérskej účtovnej jednotke a účtovnej jednotke s podstatným vplyvom: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2679D9" w:rsidRDefault="002679D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>
        <w:rPr>
          <w:rFonts w:ascii="Times New Roman" w:hAnsi="Times New Roman" w:cs="Times New Roman"/>
          <w:b/>
          <w:bCs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dôchodkových programov pre zamestnancov: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2679D9" w:rsidRDefault="002679D9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2679D9" w:rsidRDefault="002679D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2679D9" w:rsidRDefault="002679D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prijatej náhrady: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2679D9" w:rsidRDefault="002679D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 prideľovaní nákladov a výnosov: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2679D9" w:rsidRDefault="002679D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druhoch činností účtovnej jednotky: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2679D9" w:rsidRDefault="002679D9">
      <w:pPr>
        <w:jc w:val="both"/>
        <w:rPr>
          <w:rFonts w:ascii="Times New Roman" w:hAnsi="Times New Roman" w:cs="Times New Roman"/>
        </w:rPr>
      </w:pPr>
    </w:p>
    <w:p w:rsidR="002679D9" w:rsidRDefault="002679D9">
      <w:pPr>
        <w:rPr>
          <w:rFonts w:ascii="Times New Roman" w:hAnsi="Times New Roman" w:cs="Times New Roman"/>
        </w:rPr>
      </w:pPr>
      <w:r>
        <w:rPr>
          <w:rStyle w:val="FootnoteReference"/>
        </w:rPr>
        <w:footnoteReference w:id="1"/>
      </w:r>
    </w:p>
    <w:p w:rsidR="002679D9" w:rsidRDefault="002679D9">
      <w:pPr>
        <w:rPr>
          <w:rFonts w:ascii="Times New Roman" w:hAnsi="Times New Roman" w:cs="Times New Roman"/>
        </w:rPr>
      </w:pPr>
    </w:p>
    <w:p w:rsidR="002679D9" w:rsidRDefault="002679D9">
      <w:pPr>
        <w:rPr>
          <w:rFonts w:ascii="Times New Roman" w:hAnsi="Times New Roman" w:cs="Times New Roman"/>
        </w:rPr>
      </w:pPr>
    </w:p>
    <w:p w:rsidR="002679D9" w:rsidRDefault="002679D9">
      <w:pPr>
        <w:rPr>
          <w:rFonts w:ascii="Times New Roman" w:hAnsi="Times New Roman" w:cs="Times New Roman"/>
        </w:rPr>
      </w:pPr>
    </w:p>
    <w:p w:rsidR="002679D9" w:rsidRDefault="002679D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zabezpečených záväzkoch podľa § 4 ods. 4 pism. e)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36"/>
        <w:gridCol w:w="2092"/>
      </w:tblGrid>
      <w:tr w:rsidR="002679D9">
        <w:trPr>
          <w:trHeight w:val="284"/>
        </w:trPr>
        <w:tc>
          <w:tcPr>
            <w:tcW w:w="6836" w:type="dxa"/>
            <w:vAlign w:val="center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2679D9" w:rsidRDefault="002679D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 zabez. záväzku</w:t>
            </w:r>
          </w:p>
        </w:tc>
      </w:tr>
      <w:tr w:rsidR="002679D9">
        <w:trPr>
          <w:trHeight w:val="284"/>
        </w:trPr>
        <w:tc>
          <w:tcPr>
            <w:tcW w:w="6836" w:type="dxa"/>
            <w:vAlign w:val="center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2679D9" w:rsidRDefault="002679D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679D9">
        <w:trPr>
          <w:trHeight w:val="284"/>
        </w:trPr>
        <w:tc>
          <w:tcPr>
            <w:tcW w:w="6836" w:type="dxa"/>
            <w:vAlign w:val="center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2679D9" w:rsidRDefault="002679D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679D9">
        <w:trPr>
          <w:trHeight w:val="284"/>
        </w:trPr>
        <w:tc>
          <w:tcPr>
            <w:tcW w:w="6836" w:type="dxa"/>
            <w:vAlign w:val="center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2679D9" w:rsidRDefault="002679D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679D9">
        <w:trPr>
          <w:trHeight w:val="284"/>
        </w:trPr>
        <w:tc>
          <w:tcPr>
            <w:tcW w:w="6836" w:type="dxa"/>
            <w:vAlign w:val="center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2679D9" w:rsidRDefault="002679D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679D9">
        <w:trPr>
          <w:trHeight w:val="284"/>
        </w:trPr>
        <w:tc>
          <w:tcPr>
            <w:tcW w:w="6836" w:type="dxa"/>
            <w:vAlign w:val="center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2679D9" w:rsidRDefault="002679D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679D9">
        <w:trPr>
          <w:trHeight w:val="284"/>
        </w:trPr>
        <w:tc>
          <w:tcPr>
            <w:tcW w:w="6836" w:type="dxa"/>
            <w:vAlign w:val="center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2679D9" w:rsidRDefault="002679D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2679D9" w:rsidRDefault="002679D9">
      <w:pPr>
        <w:ind w:left="360"/>
        <w:rPr>
          <w:rFonts w:ascii="Times New Roman" w:hAnsi="Times New Roman" w:cs="Times New Roman"/>
        </w:rPr>
      </w:pPr>
    </w:p>
    <w:p w:rsidR="002679D9" w:rsidRDefault="002679D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64"/>
        <w:gridCol w:w="1506"/>
        <w:gridCol w:w="1484"/>
        <w:gridCol w:w="1504"/>
        <w:gridCol w:w="1485"/>
        <w:gridCol w:w="1485"/>
      </w:tblGrid>
      <w:tr w:rsidR="002679D9">
        <w:tc>
          <w:tcPr>
            <w:tcW w:w="1464" w:type="dxa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menovitá hodnota nadob. vlast. akcií počas účtovného obdobia</w:t>
            </w:r>
          </w:p>
        </w:tc>
        <w:tc>
          <w:tcPr>
            <w:tcW w:w="1506" w:type="dxa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hodnota nadobudnutí a vlastných akcií počas účtov. obdobia</w:t>
            </w:r>
          </w:p>
        </w:tc>
        <w:tc>
          <w:tcPr>
            <w:tcW w:w="1484" w:type="dxa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  <w:tc>
          <w:tcPr>
            <w:tcW w:w="1504" w:type="dxa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Menovitá hodnota prevedených vlast. akcií počas účtovného obdobia</w:t>
            </w:r>
          </w:p>
        </w:tc>
        <w:tc>
          <w:tcPr>
            <w:tcW w:w="1485" w:type="dxa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hodnota prevedenia vlast. akcií počas účtovného obdobia</w:t>
            </w:r>
          </w:p>
        </w:tc>
        <w:tc>
          <w:tcPr>
            <w:tcW w:w="1485" w:type="dxa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základnom imaní v %</w:t>
            </w:r>
          </w:p>
        </w:tc>
      </w:tr>
      <w:tr w:rsidR="002679D9">
        <w:trPr>
          <w:trHeight w:val="340"/>
        </w:trPr>
        <w:tc>
          <w:tcPr>
            <w:tcW w:w="1464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679D9">
        <w:trPr>
          <w:trHeight w:val="340"/>
        </w:trPr>
        <w:tc>
          <w:tcPr>
            <w:tcW w:w="1464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9D9">
        <w:trPr>
          <w:trHeight w:val="340"/>
        </w:trPr>
        <w:tc>
          <w:tcPr>
            <w:tcW w:w="1464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679D9" w:rsidRDefault="002679D9">
      <w:pPr>
        <w:ind w:left="360"/>
        <w:rPr>
          <w:rFonts w:ascii="Times New Roman" w:hAnsi="Times New Roman" w:cs="Times New Roman"/>
        </w:rPr>
      </w:pPr>
    </w:p>
    <w:p w:rsidR="002679D9" w:rsidRDefault="002679D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0"/>
        <w:gridCol w:w="2981"/>
        <w:gridCol w:w="2967"/>
      </w:tblGrid>
      <w:tr w:rsidR="002679D9">
        <w:tc>
          <w:tcPr>
            <w:tcW w:w="2980" w:type="dxa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hodnota nadobudnutia vlastných akcií držaných k poslednému dňu účtovného obdobia</w:t>
            </w:r>
          </w:p>
        </w:tc>
        <w:tc>
          <w:tcPr>
            <w:tcW w:w="2967" w:type="dxa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</w:tr>
      <w:tr w:rsidR="002679D9">
        <w:trPr>
          <w:trHeight w:val="340"/>
        </w:trPr>
        <w:tc>
          <w:tcPr>
            <w:tcW w:w="298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679D9">
        <w:trPr>
          <w:trHeight w:val="340"/>
        </w:trPr>
        <w:tc>
          <w:tcPr>
            <w:tcW w:w="298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9D9">
        <w:trPr>
          <w:trHeight w:val="340"/>
        </w:trPr>
        <w:tc>
          <w:tcPr>
            <w:tcW w:w="298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679D9" w:rsidRDefault="002679D9">
      <w:pPr>
        <w:ind w:left="360"/>
        <w:rPr>
          <w:rFonts w:ascii="Times New Roman" w:hAnsi="Times New Roman" w:cs="Times New Roman"/>
        </w:rPr>
      </w:pPr>
    </w:p>
    <w:p w:rsidR="002679D9" w:rsidRDefault="002679D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správnych orgánov a dozorných orgánov podľa ô 4 ods. 4 písm. g)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2679D9">
        <w:trPr>
          <w:cantSplit/>
        </w:trPr>
        <w:tc>
          <w:tcPr>
            <w:tcW w:w="4001" w:type="dxa"/>
            <w:vMerge w:val="restart"/>
            <w:vAlign w:val="center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2679D9">
        <w:trPr>
          <w:cantSplit/>
        </w:trPr>
        <w:tc>
          <w:tcPr>
            <w:tcW w:w="4001" w:type="dxa"/>
            <w:vMerge/>
            <w:vAlign w:val="center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2679D9">
        <w:trPr>
          <w:cantSplit/>
        </w:trPr>
        <w:tc>
          <w:tcPr>
            <w:tcW w:w="4001" w:type="dxa"/>
            <w:vMerge/>
            <w:vAlign w:val="center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2679D9">
        <w:trPr>
          <w:trHeight w:val="340"/>
        </w:trPr>
        <w:tc>
          <w:tcPr>
            <w:tcW w:w="4001" w:type="dxa"/>
            <w:vAlign w:val="center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9D9">
        <w:trPr>
          <w:trHeight w:val="340"/>
        </w:trPr>
        <w:tc>
          <w:tcPr>
            <w:tcW w:w="4001" w:type="dxa"/>
            <w:vAlign w:val="center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679D9">
        <w:trPr>
          <w:trHeight w:val="340"/>
        </w:trPr>
        <w:tc>
          <w:tcPr>
            <w:tcW w:w="4001" w:type="dxa"/>
            <w:vAlign w:val="center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pôžičiek k poslednému dňu účtovného obdobia</w:t>
            </w:r>
          </w:p>
        </w:tc>
        <w:tc>
          <w:tcPr>
            <w:tcW w:w="85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679D9">
        <w:trPr>
          <w:trHeight w:val="340"/>
        </w:trPr>
        <w:tc>
          <w:tcPr>
            <w:tcW w:w="4001" w:type="dxa"/>
            <w:vAlign w:val="center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Poskytnuné preddavky na budúce mzdy</w:t>
            </w:r>
          </w:p>
        </w:tc>
        <w:tc>
          <w:tcPr>
            <w:tcW w:w="85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9D9">
        <w:trPr>
          <w:trHeight w:val="340"/>
        </w:trPr>
        <w:tc>
          <w:tcPr>
            <w:tcW w:w="4001" w:type="dxa"/>
            <w:vAlign w:val="center"/>
          </w:tcPr>
          <w:p w:rsidR="002679D9" w:rsidRDefault="002679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679D9">
        <w:trPr>
          <w:trHeight w:val="340"/>
        </w:trPr>
        <w:tc>
          <w:tcPr>
            <w:tcW w:w="4001" w:type="dxa"/>
            <w:vAlign w:val="center"/>
          </w:tcPr>
          <w:p w:rsidR="002679D9" w:rsidRDefault="002679D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679D9">
        <w:trPr>
          <w:trHeight w:val="340"/>
        </w:trPr>
        <w:tc>
          <w:tcPr>
            <w:tcW w:w="4001" w:type="dxa"/>
            <w:vAlign w:val="center"/>
          </w:tcPr>
          <w:p w:rsidR="002679D9" w:rsidRDefault="002679D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2679D9" w:rsidRDefault="0026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2679D9" w:rsidRDefault="002679D9">
      <w:pPr>
        <w:rPr>
          <w:rFonts w:ascii="Times New Roman" w:hAnsi="Times New Roman" w:cs="Times New Roman"/>
        </w:rPr>
      </w:pPr>
    </w:p>
    <w:sectPr w:rsidR="002679D9" w:rsidSect="002679D9">
      <w:headerReference w:type="default" r:id="rId7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9D9" w:rsidRDefault="002679D9">
      <w:pPr>
        <w:spacing w:after="0" w:line="240" w:lineRule="auto"/>
      </w:pPr>
      <w:r>
        <w:separator/>
      </w:r>
    </w:p>
  </w:endnote>
  <w:endnote w:type="continuationSeparator" w:id="0">
    <w:p w:rsidR="002679D9" w:rsidRDefault="00267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9D9" w:rsidRDefault="002679D9">
      <w:pPr>
        <w:spacing w:after="0" w:line="240" w:lineRule="auto"/>
      </w:pPr>
      <w:r>
        <w:separator/>
      </w:r>
    </w:p>
  </w:footnote>
  <w:footnote w:type="continuationSeparator" w:id="0">
    <w:p w:rsidR="002679D9" w:rsidRDefault="002679D9">
      <w:pPr>
        <w:spacing w:after="0" w:line="240" w:lineRule="auto"/>
      </w:pPr>
      <w:r>
        <w:continuationSeparator/>
      </w:r>
    </w:p>
  </w:footnote>
  <w:footnote w:id="1">
    <w:p w:rsidR="002679D9" w:rsidRDefault="002679D9">
      <w:pPr>
        <w:pStyle w:val="FootnoteText"/>
        <w:jc w:val="both"/>
        <w:rPr>
          <w:sz w:val="16"/>
          <w:szCs w:val="16"/>
        </w:rPr>
      </w:pPr>
      <w:r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2679D9" w:rsidRDefault="002679D9">
      <w:pPr>
        <w:pStyle w:val="FootnoteText"/>
        <w:jc w:val="both"/>
      </w:pPr>
      <w:r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9D9" w:rsidRDefault="002679D9">
    <w:pPr>
      <w:pStyle w:val="Header"/>
      <w:rPr>
        <w:b/>
        <w:bCs/>
        <w:sz w:val="18"/>
        <w:szCs w:val="18"/>
      </w:rPr>
    </w:pPr>
    <w:r>
      <w:rPr>
        <w:b/>
        <w:bCs/>
        <w:sz w:val="18"/>
        <w:szCs w:val="18"/>
      </w:rPr>
      <w:t>Poznámky Úč MÚJ 3 – 01</w:t>
    </w:r>
    <w:r>
      <w:rPr>
        <w:b/>
        <w:bCs/>
        <w:sz w:val="18"/>
        <w:szCs w:val="18"/>
      </w:rPr>
      <w:tab/>
      <w:t>IČO: 45 314 616</w:t>
    </w:r>
    <w:r>
      <w:rPr>
        <w:rStyle w:val="ra"/>
        <w:rFonts w:ascii="Tahoma" w:hAnsi="Tahoma" w:cs="Tahoma"/>
        <w:b/>
        <w:bCs/>
      </w:rPr>
      <w:t xml:space="preserve"> </w:t>
    </w:r>
    <w:r>
      <w:rPr>
        <w:b/>
        <w:bCs/>
        <w:sz w:val="18"/>
        <w:szCs w:val="18"/>
      </w:rPr>
      <w:tab/>
      <w:t xml:space="preserve">DIČ: 2022928336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9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60" w:hanging="360"/>
      </w:pPr>
      <w:rPr>
        <w:rFonts w:ascii="Wingdings" w:hAnsi="Wingdings" w:cs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79D9"/>
    <w:rsid w:val="00267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ahoma" w:hAnsi="Tahoma" w:cs="Tahoma"/>
      <w:sz w:val="20"/>
      <w:szCs w:val="20"/>
      <w:lang w:val="sk-SK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ra">
    <w:name w:val="ra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6</Pages>
  <Words>1313</Words>
  <Characters>7486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Your User Name</dc:creator>
  <cp:keywords/>
  <dc:description/>
  <cp:lastModifiedBy> Virágova</cp:lastModifiedBy>
  <cp:revision>5</cp:revision>
  <dcterms:created xsi:type="dcterms:W3CDTF">2015-03-15T13:25:00Z</dcterms:created>
  <dcterms:modified xsi:type="dcterms:W3CDTF">2015-03-15T14:15:00Z</dcterms:modified>
</cp:coreProperties>
</file>