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DF" w:rsidRPr="0033674D" w:rsidRDefault="00DA3CDF" w:rsidP="00DA3CDF">
      <w:pPr>
        <w:rPr>
          <w:b/>
        </w:rPr>
      </w:pPr>
      <w:bookmarkStart w:id="0" w:name="_GoBack"/>
      <w:bookmarkEnd w:id="0"/>
    </w:p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0"/>
        <w:gridCol w:w="2308"/>
        <w:gridCol w:w="632"/>
      </w:tblGrid>
      <w:tr w:rsidR="00DA3CDF" w:rsidRPr="002B2E75" w:rsidTr="00EB7DCD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DA3CDF" w:rsidRPr="002B2E75" w:rsidRDefault="00DA3CDF" w:rsidP="00EB7DC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2B2E75" w:rsidRDefault="00DA3CDF" w:rsidP="00EB7DC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Úč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2B2E75" w:rsidRDefault="00DA3CDF" w:rsidP="00EB7DCD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DA3CDF" w:rsidRDefault="00DA3CDF" w:rsidP="00DA3CDF">
      <w:pPr>
        <w:pStyle w:val="BodyText"/>
        <w:ind w:left="0"/>
        <w:jc w:val="center"/>
        <w:rPr>
          <w:b/>
          <w:sz w:val="24"/>
        </w:rPr>
      </w:pPr>
    </w:p>
    <w:p w:rsidR="00DA3CDF" w:rsidRDefault="00DA3CDF" w:rsidP="00DA3CDF">
      <w:pPr>
        <w:pStyle w:val="Body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DA3CDF" w:rsidRDefault="00DA3CDF" w:rsidP="00DA3CDF">
      <w:pPr>
        <w:pStyle w:val="Body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individuálnej </w:t>
      </w:r>
      <w:r w:rsidRPr="00FA0C14">
        <w:rPr>
          <w:b/>
          <w:sz w:val="24"/>
        </w:rPr>
        <w:t>účtovnej závierk</w:t>
      </w:r>
      <w:r>
        <w:rPr>
          <w:b/>
          <w:sz w:val="24"/>
        </w:rPr>
        <w:t>y</w:t>
      </w:r>
      <w:r w:rsidRPr="00FA0C14">
        <w:rPr>
          <w:b/>
          <w:sz w:val="24"/>
        </w:rPr>
        <w:t xml:space="preserve"> </w:t>
      </w:r>
    </w:p>
    <w:p w:rsidR="00DA3CDF" w:rsidRDefault="00DA3CDF" w:rsidP="00DA3CDF">
      <w:pPr>
        <w:pStyle w:val="Body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Pr="00FA0C14">
        <w:rPr>
          <w:b/>
          <w:sz w:val="24"/>
        </w:rPr>
        <w:t xml:space="preserve">k 31. </w:t>
      </w:r>
      <w:r>
        <w:rPr>
          <w:b/>
          <w:sz w:val="24"/>
        </w:rPr>
        <w:t>decembru</w:t>
      </w:r>
      <w:r w:rsidRPr="00FA0C14">
        <w:rPr>
          <w:b/>
          <w:sz w:val="24"/>
        </w:rPr>
        <w:t xml:space="preserve"> </w:t>
      </w:r>
      <w:r>
        <w:rPr>
          <w:b/>
          <w:sz w:val="24"/>
        </w:rPr>
        <w:t>201</w:t>
      </w:r>
      <w:r w:rsidR="00ED198F">
        <w:rPr>
          <w:b/>
          <w:sz w:val="24"/>
        </w:rPr>
        <w:t>4</w:t>
      </w:r>
    </w:p>
    <w:p w:rsidR="00DA3CDF" w:rsidRDefault="00DA3CDF" w:rsidP="00DA3CDF">
      <w:pPr>
        <w:pStyle w:val="BodyText"/>
        <w:ind w:left="0"/>
        <w:rPr>
          <w:b/>
          <w:sz w:val="24"/>
        </w:rPr>
      </w:pPr>
    </w:p>
    <w:p w:rsidR="00DA3CDF" w:rsidRDefault="00DA3CDF" w:rsidP="00DA3CDF">
      <w:pPr>
        <w:pStyle w:val="BodyText"/>
        <w:ind w:left="0"/>
        <w:rPr>
          <w:b/>
          <w:sz w:val="24"/>
        </w:rPr>
      </w:pPr>
    </w:p>
    <w:p w:rsidR="00DA3CDF" w:rsidRPr="00FA0C14" w:rsidRDefault="00DA3CDF" w:rsidP="00DA3CDF">
      <w:pPr>
        <w:pStyle w:val="BodyText"/>
        <w:ind w:left="0"/>
        <w:rPr>
          <w:b/>
          <w:sz w:val="24"/>
        </w:rPr>
      </w:pPr>
    </w:p>
    <w:p w:rsidR="00DA3CDF" w:rsidRDefault="00DA3CDF" w:rsidP="00DA3CDF">
      <w:pPr>
        <w:pStyle w:val="BodyText"/>
        <w:ind w:left="0"/>
        <w:rPr>
          <w:sz w:val="24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"/>
        <w:gridCol w:w="287"/>
        <w:gridCol w:w="340"/>
        <w:gridCol w:w="240"/>
        <w:gridCol w:w="280"/>
        <w:gridCol w:w="246"/>
        <w:gridCol w:w="253"/>
        <w:gridCol w:w="248"/>
        <w:gridCol w:w="252"/>
        <w:gridCol w:w="282"/>
        <w:gridCol w:w="284"/>
        <w:gridCol w:w="252"/>
        <w:gridCol w:w="248"/>
        <w:gridCol w:w="265"/>
        <w:gridCol w:w="235"/>
        <w:gridCol w:w="297"/>
        <w:gridCol w:w="238"/>
        <w:gridCol w:w="210"/>
        <w:gridCol w:w="28"/>
        <w:gridCol w:w="240"/>
        <w:gridCol w:w="356"/>
        <w:gridCol w:w="217"/>
        <w:gridCol w:w="252"/>
        <w:gridCol w:w="30"/>
        <w:gridCol w:w="289"/>
        <w:gridCol w:w="223"/>
        <w:gridCol w:w="112"/>
        <w:gridCol w:w="129"/>
        <w:gridCol w:w="174"/>
        <w:gridCol w:w="66"/>
        <w:gridCol w:w="210"/>
        <w:gridCol w:w="47"/>
        <w:gridCol w:w="6"/>
        <w:gridCol w:w="267"/>
        <w:gridCol w:w="284"/>
        <w:gridCol w:w="265"/>
        <w:gridCol w:w="70"/>
        <w:gridCol w:w="183"/>
        <w:gridCol w:w="130"/>
        <w:gridCol w:w="178"/>
        <w:gridCol w:w="76"/>
        <w:gridCol w:w="183"/>
        <w:gridCol w:w="74"/>
        <w:gridCol w:w="172"/>
        <w:gridCol w:w="255"/>
        <w:gridCol w:w="174"/>
      </w:tblGrid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6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37" w:type="pct"/>
            <w:gridSpan w:val="11"/>
            <w:tcBorders>
              <w:left w:val="single" w:sz="6" w:space="0" w:color="auto"/>
            </w:tcBorders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6" w:type="pct"/>
            <w:gridSpan w:val="6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2" w:type="pct"/>
            <w:gridSpan w:val="5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6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6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DA3CDF" w:rsidRPr="00D72087" w:rsidRDefault="00DA3CDF" w:rsidP="00EB7DCD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2" w:type="pct"/>
            <w:gridSpan w:val="5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95" w:type="pct"/>
            <w:gridSpan w:val="7"/>
            <w:tcBorders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D198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D198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998" w:type="pct"/>
            <w:gridSpan w:val="14"/>
            <w:tcBorders>
              <w:top w:val="nil"/>
              <w:left w:val="nil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bottom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998" w:type="pct"/>
            <w:gridSpan w:val="14"/>
            <w:tcBorders>
              <w:left w:val="nil"/>
              <w:bottom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443FD8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D198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B7DCD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ED198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77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998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7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41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D72087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3" w:type="pct"/>
            <w:gridSpan w:val="8"/>
            <w:tcBorders>
              <w:lef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5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3" w:type="pct"/>
            <w:gridSpan w:val="8"/>
            <w:tcBorders>
              <w:lef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5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3" w:type="pct"/>
            <w:gridSpan w:val="8"/>
            <w:tcBorders>
              <w:lef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left w:val="nil"/>
            </w:tcBorders>
            <w:noWrap/>
          </w:tcPr>
          <w:p w:rsidR="00DA3CDF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5" w:type="pct"/>
            <w:gridSpan w:val="15"/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3" w:type="pct"/>
            <w:gridSpan w:val="8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31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09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2846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F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U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DA3CDF" w:rsidRPr="00D72087" w:rsidRDefault="00DA3CDF" w:rsidP="00EB7DCD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  <w:r w:rsidR="00DA3CDF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ó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  <w:r w:rsidR="00DA3CDF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0A1BBA" w:rsidRDefault="00BB3F26" w:rsidP="00EB7DCD">
            <w:pPr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5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240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BB3F26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Default="00DA3CDF" w:rsidP="00EB7DCD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g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@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g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A3CDF" w:rsidRPr="00D72087" w:rsidTr="00EB7DCD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A3CDF" w:rsidRPr="00D72087" w:rsidTr="00EB7DCD">
        <w:trPr>
          <w:trHeight w:val="850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A3CDF" w:rsidRDefault="002A4F14" w:rsidP="00ED198F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20</w:t>
            </w:r>
            <w:r w:rsidR="00DA3CDF">
              <w:rPr>
                <w:rFonts w:cs="Arial"/>
                <w:sz w:val="18"/>
                <w:szCs w:val="18"/>
                <w:lang w:val="en-US" w:eastAsia="sk-SK"/>
              </w:rPr>
              <w:t>.03.201</w:t>
            </w:r>
            <w:r w:rsidR="00ED198F">
              <w:rPr>
                <w:rFonts w:cs="Arial"/>
                <w:sz w:val="18"/>
                <w:szCs w:val="18"/>
                <w:lang w:val="en-US" w:eastAsia="sk-SK"/>
              </w:rPr>
              <w:t>5</w:t>
            </w:r>
          </w:p>
        </w:tc>
        <w:tc>
          <w:tcPr>
            <w:tcW w:w="122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2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DA3CDF" w:rsidRPr="00D72087" w:rsidTr="00EB7DCD">
        <w:trPr>
          <w:trHeight w:val="848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:rsidR="00DA3CDF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A3CDF" w:rsidRDefault="00DA3CDF" w:rsidP="00EB7DCD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2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2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3CDF" w:rsidRPr="00D72087" w:rsidRDefault="00DA3CDF" w:rsidP="00EB7DCD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bookmarkStart w:id="1" w:name="_Toc530739894"/>
      <w:r>
        <w:t>Informácie o účtovnej jednotke</w:t>
      </w:r>
      <w:bookmarkEnd w:id="1"/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</w:pPr>
      <w:r>
        <w:t>Založenie spoločnosti</w:t>
      </w:r>
    </w:p>
    <w:p w:rsidR="00DA3CDF" w:rsidRDefault="00DA3CDF" w:rsidP="00DA3CDF">
      <w:pPr>
        <w:pStyle w:val="BodyText"/>
      </w:pPr>
      <w:r>
        <w:t xml:space="preserve">Spoločnosť </w:t>
      </w:r>
      <w:r w:rsidR="00BB3F26">
        <w:t>FALBAU</w:t>
      </w:r>
      <w:r>
        <w:t xml:space="preserve"> s r. o. (ďalej len Spoločnosť), bola založená </w:t>
      </w:r>
      <w:r w:rsidR="00BB3F26">
        <w:t>19</w:t>
      </w:r>
      <w:r>
        <w:t xml:space="preserve">. </w:t>
      </w:r>
      <w:r w:rsidR="00BB3F26">
        <w:t>januára</w:t>
      </w:r>
      <w:r>
        <w:t xml:space="preserve"> 2011 a do obchodného registra bola zapísaná </w:t>
      </w:r>
      <w:r w:rsidR="00BB3F26">
        <w:t>22</w:t>
      </w:r>
      <w:r>
        <w:t>.</w:t>
      </w:r>
      <w:r w:rsidR="00BB3F26">
        <w:t>februára</w:t>
      </w:r>
      <w:r>
        <w:t xml:space="preserve"> 2011 pod obchodným menom </w:t>
      </w:r>
      <w:r w:rsidR="00BB3F26">
        <w:t>FALBAU</w:t>
      </w:r>
      <w:r>
        <w:t xml:space="preserve"> s.r.o.. (Obchodný register Okresného súdu Bratislava I v Bratislave, oddiel s.r.o., vložka 7</w:t>
      </w:r>
      <w:r w:rsidR="00BB3F26">
        <w:t>0902</w:t>
      </w:r>
      <w:r>
        <w:t xml:space="preserve">/B). </w:t>
      </w:r>
    </w:p>
    <w:p w:rsidR="00DA3CDF" w:rsidRDefault="00DA3CDF" w:rsidP="00DA3CDF">
      <w:pPr>
        <w:rPr>
          <w:sz w:val="16"/>
          <w:szCs w:val="16"/>
        </w:rPr>
      </w:pPr>
    </w:p>
    <w:p w:rsidR="00DA3CDF" w:rsidRPr="005C41CA" w:rsidRDefault="00DA3CDF" w:rsidP="00DA3CDF">
      <w:pPr>
        <w:rPr>
          <w:sz w:val="16"/>
          <w:szCs w:val="16"/>
        </w:rPr>
      </w:pPr>
    </w:p>
    <w:p w:rsidR="00DA3CDF" w:rsidRDefault="00DA3CDF" w:rsidP="00DA3CDF">
      <w:pPr>
        <w:pStyle w:val="Heading2"/>
      </w:pPr>
      <w:bookmarkStart w:id="2" w:name="_Toc530739896"/>
      <w:r>
        <w:t>Hlavnými činnosťami Spoločnosti sú:</w:t>
      </w:r>
      <w:bookmarkEnd w:id="2"/>
    </w:p>
    <w:p w:rsidR="00DA3CDF" w:rsidRDefault="00DA3CDF" w:rsidP="00DA3CDF">
      <w:pPr>
        <w:pStyle w:val="BodyText"/>
      </w:pPr>
      <w:r>
        <w:t xml:space="preserve">– </w:t>
      </w:r>
      <w:r w:rsidR="00BB3F26">
        <w:t>uskutočňovanie stavieb a ich zmien</w:t>
      </w:r>
    </w:p>
    <w:p w:rsidR="00DA3CDF" w:rsidRDefault="00DA3CDF" w:rsidP="00DA3CDF">
      <w:pPr>
        <w:pStyle w:val="BodyText"/>
      </w:pPr>
      <w:r>
        <w:t xml:space="preserve">– </w:t>
      </w:r>
      <w:r w:rsidR="00BB3F26">
        <w:t>prípravné práce k realizácii stavby</w:t>
      </w:r>
    </w:p>
    <w:p w:rsidR="00DA3CDF" w:rsidRDefault="00DA3CDF" w:rsidP="00DA3CDF">
      <w:pPr>
        <w:pStyle w:val="BodyText"/>
      </w:pPr>
      <w:r>
        <w:t xml:space="preserve">– </w:t>
      </w:r>
      <w:r w:rsidR="00BB3F26">
        <w:t>dokončovaci stavebné práce pri realizácii exteriérov a interiérov</w:t>
      </w:r>
    </w:p>
    <w:p w:rsidR="00DA3CDF" w:rsidRDefault="00DA3CDF" w:rsidP="00DA3CDF">
      <w:pPr>
        <w:pStyle w:val="BodyText"/>
      </w:pPr>
      <w:r>
        <w:t>– sprostredkovateľská činnosť v oblasti obchodu</w:t>
      </w:r>
    </w:p>
    <w:p w:rsidR="00DA3CDF" w:rsidRDefault="00DA3CDF" w:rsidP="00DA3CDF">
      <w:pPr>
        <w:pStyle w:val="BodyText"/>
      </w:pPr>
      <w:r>
        <w:t xml:space="preserve">– </w:t>
      </w:r>
      <w:r w:rsidR="00BB3F26">
        <w:t>sprostredkovanie predaja, prenájmu a kúpy nehnuteľnosti ( realitná činnosť )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  <w:rPr>
          <w:sz w:val="16"/>
          <w:szCs w:val="16"/>
        </w:rPr>
      </w:pPr>
    </w:p>
    <w:p w:rsidR="00DA3CDF" w:rsidRPr="005C41CA" w:rsidRDefault="00DA3CDF" w:rsidP="00DA3CDF">
      <w:pPr>
        <w:pStyle w:val="BodyText"/>
        <w:rPr>
          <w:sz w:val="16"/>
          <w:szCs w:val="16"/>
        </w:rPr>
      </w:pPr>
    </w:p>
    <w:p w:rsidR="00DA3CDF" w:rsidRDefault="00DA3CDF" w:rsidP="00DA3CDF">
      <w:pPr>
        <w:pStyle w:val="Heading2"/>
      </w:pPr>
      <w:r>
        <w:t xml:space="preserve">Počet zamestnancov </w:t>
      </w:r>
    </w:p>
    <w:p w:rsidR="00DA3CDF" w:rsidRPr="005C41CA" w:rsidRDefault="00DA3CDF" w:rsidP="00DA3CDF"/>
    <w:p w:rsidR="00DA3CDF" w:rsidRDefault="00DA3CDF" w:rsidP="00DA3CDF">
      <w:pPr>
        <w:pStyle w:val="BodyText"/>
      </w:pPr>
      <w:r>
        <w:t>Údaje o počte zamestnancov za bežné účtovné obdobie a bezprostredne predchádzajúce účtovné obdobie sú uvedené v nasledujúcom prehľade:</w:t>
      </w:r>
    </w:p>
    <w:p w:rsidR="00DA3CDF" w:rsidRPr="00ED130F" w:rsidRDefault="00DA3CDF" w:rsidP="00DA3CDF">
      <w:pPr>
        <w:pStyle w:val="BodyText"/>
        <w:rPr>
          <w:sz w:val="6"/>
          <w:szCs w:val="6"/>
        </w:rPr>
      </w:pPr>
    </w:p>
    <w:bookmarkStart w:id="3" w:name="_MON_1392529333"/>
    <w:bookmarkEnd w:id="3"/>
    <w:p w:rsidR="00DA3CDF" w:rsidRDefault="00EB7DCD" w:rsidP="00DA3CDF">
      <w:pPr>
        <w:pStyle w:val="BodyText"/>
      </w:pPr>
      <w:r>
        <w:object w:dxaOrig="9056" w:dyaOrig="11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pt;height:64.5pt" o:ole="" o:preferrelative="f">
            <v:imagedata r:id="rId8" o:title=""/>
            <o:lock v:ext="edit" aspectratio="f"/>
          </v:shape>
          <o:OLEObject Type="Embed" ProgID="Excel.Sheet.12" ShapeID="_x0000_i1025" DrawAspect="Content" ObjectID="_1488638185" r:id="rId9"/>
        </w:object>
      </w:r>
    </w:p>
    <w:p w:rsidR="00DA3CDF" w:rsidRDefault="00DA3CDF" w:rsidP="00DA3CDF">
      <w:pPr>
        <w:pStyle w:val="BodyText"/>
        <w:rPr>
          <w:sz w:val="6"/>
          <w:szCs w:val="6"/>
        </w:rPr>
      </w:pPr>
    </w:p>
    <w:p w:rsidR="00DA3CDF" w:rsidRDefault="00DA3CDF" w:rsidP="00DA3CDF">
      <w:pPr>
        <w:pStyle w:val="BodyText"/>
        <w:rPr>
          <w:sz w:val="6"/>
          <w:szCs w:val="6"/>
        </w:rPr>
      </w:pPr>
    </w:p>
    <w:p w:rsidR="00DA3CDF" w:rsidRDefault="00DA3CDF" w:rsidP="00DA3CDF">
      <w:pPr>
        <w:pStyle w:val="BodyText"/>
        <w:rPr>
          <w:sz w:val="6"/>
          <w:szCs w:val="6"/>
        </w:rPr>
      </w:pPr>
    </w:p>
    <w:p w:rsidR="00DA3CDF" w:rsidRPr="0068610B" w:rsidRDefault="00DA3CDF" w:rsidP="00DA3CDF">
      <w:pPr>
        <w:pStyle w:val="BodyText"/>
        <w:rPr>
          <w:sz w:val="6"/>
          <w:szCs w:val="6"/>
        </w:rPr>
      </w:pPr>
    </w:p>
    <w:p w:rsidR="00DA3CDF" w:rsidRDefault="00DA3CDF" w:rsidP="00DA3CDF">
      <w:pPr>
        <w:pStyle w:val="Heading2"/>
      </w:pPr>
      <w:r>
        <w:t>Údaje o neobmedzenom ručení</w:t>
      </w:r>
    </w:p>
    <w:p w:rsidR="00DA3CDF" w:rsidRDefault="00DA3CDF" w:rsidP="00DA3CDF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DA3CDF" w:rsidRDefault="00DA3CDF" w:rsidP="00DA3CDF">
      <w:pPr>
        <w:pStyle w:val="BodyText"/>
        <w:rPr>
          <w:sz w:val="16"/>
          <w:szCs w:val="16"/>
        </w:rPr>
      </w:pPr>
    </w:p>
    <w:p w:rsidR="00DA3CDF" w:rsidRPr="005C41CA" w:rsidRDefault="00DA3CDF" w:rsidP="00DA3CDF">
      <w:pPr>
        <w:pStyle w:val="BodyText"/>
        <w:rPr>
          <w:sz w:val="16"/>
          <w:szCs w:val="16"/>
        </w:rPr>
      </w:pPr>
    </w:p>
    <w:p w:rsidR="00DA3CDF" w:rsidRDefault="00DA3CDF" w:rsidP="00DA3CDF">
      <w:pPr>
        <w:pStyle w:val="Heading2"/>
      </w:pPr>
      <w:r>
        <w:t>Právny dôvod na zostavenie účtovnej závierky</w:t>
      </w:r>
    </w:p>
    <w:p w:rsidR="00DA3CDF" w:rsidRDefault="00DA3CDF" w:rsidP="00DA3CDF">
      <w:pPr>
        <w:pStyle w:val="BodyText"/>
        <w:ind w:hanging="426"/>
      </w:pPr>
      <w:r>
        <w:tab/>
        <w:t>Účtovná závierka Spoločnosti k 31. decembru 201</w:t>
      </w:r>
      <w:r w:rsidR="00ED198F">
        <w:t>4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</w:t>
      </w:r>
      <w:r w:rsidR="00EB7DCD">
        <w:t>január</w:t>
      </w:r>
      <w:r>
        <w:t>a 201</w:t>
      </w:r>
      <w:r w:rsidR="00ED198F">
        <w:t>4</w:t>
      </w:r>
      <w:r>
        <w:t xml:space="preserve"> do 31. decembra 201</w:t>
      </w:r>
      <w:r w:rsidR="00ED198F">
        <w:t>4</w:t>
      </w:r>
      <w:r>
        <w:t>.</w:t>
      </w:r>
    </w:p>
    <w:p w:rsidR="00DA3CDF" w:rsidRDefault="00DA3CDF" w:rsidP="00DA3CDF">
      <w:pPr>
        <w:pStyle w:val="BodyText"/>
        <w:ind w:hanging="426"/>
        <w:rPr>
          <w:sz w:val="16"/>
          <w:szCs w:val="16"/>
        </w:rPr>
      </w:pPr>
    </w:p>
    <w:p w:rsidR="00DA3CDF" w:rsidRPr="005C41CA" w:rsidRDefault="00DA3CDF" w:rsidP="00DA3CDF">
      <w:pPr>
        <w:pStyle w:val="BodyText"/>
        <w:ind w:hanging="426"/>
        <w:rPr>
          <w:sz w:val="16"/>
          <w:szCs w:val="16"/>
        </w:rPr>
      </w:pPr>
    </w:p>
    <w:p w:rsidR="00DA3CDF" w:rsidRDefault="00DA3CDF" w:rsidP="00DA3CDF">
      <w:pPr>
        <w:pStyle w:val="Heading2"/>
      </w:pPr>
      <w:r>
        <w:t>Dátum schválenia účtovnej závierky za predchádzajúce účtovné obdobie</w:t>
      </w:r>
    </w:p>
    <w:p w:rsidR="00DA3CDF" w:rsidRDefault="00DA3CDF" w:rsidP="00DA3CDF">
      <w:pPr>
        <w:pStyle w:val="BodyText"/>
        <w:ind w:hanging="426"/>
        <w:rPr>
          <w:sz w:val="16"/>
          <w:szCs w:val="16"/>
        </w:rPr>
      </w:pPr>
      <w:r>
        <w:tab/>
      </w:r>
    </w:p>
    <w:p w:rsidR="00DA3CDF" w:rsidRPr="005C41CA" w:rsidRDefault="00DA3CDF" w:rsidP="00DA3CDF">
      <w:pPr>
        <w:pStyle w:val="BodyText"/>
        <w:ind w:hanging="426"/>
        <w:rPr>
          <w:sz w:val="16"/>
          <w:szCs w:val="16"/>
        </w:rPr>
      </w:pPr>
    </w:p>
    <w:p w:rsidR="00DA3CDF" w:rsidRDefault="00DA3CDF" w:rsidP="00DA3CDF">
      <w:pPr>
        <w:pStyle w:val="Heading2"/>
      </w:pPr>
      <w:bookmarkStart w:id="4" w:name="OLE_LINK13"/>
      <w:bookmarkStart w:id="5" w:name="OLE_LINK14"/>
      <w:r>
        <w:t>Zverejnenie účtovnej závierky za predchádzajúce účtovné obdobie</w:t>
      </w:r>
    </w:p>
    <w:p w:rsidR="00DA3CDF" w:rsidRDefault="00DA3CDF" w:rsidP="00DA3CDF">
      <w:pPr>
        <w:pStyle w:val="BodyText"/>
        <w:rPr>
          <w:sz w:val="16"/>
          <w:szCs w:val="16"/>
        </w:rPr>
      </w:pPr>
    </w:p>
    <w:p w:rsidR="00DA3CDF" w:rsidRPr="005C41CA" w:rsidRDefault="00DA3CDF" w:rsidP="00DA3CDF">
      <w:pPr>
        <w:pStyle w:val="BodyText"/>
        <w:rPr>
          <w:sz w:val="16"/>
          <w:szCs w:val="16"/>
        </w:rPr>
      </w:pPr>
    </w:p>
    <w:p w:rsidR="00DA3CDF" w:rsidRDefault="00DA3CDF" w:rsidP="00DA3CDF">
      <w:pPr>
        <w:pStyle w:val="Heading2"/>
      </w:pPr>
      <w:r>
        <w:t>Schválenie audítora</w:t>
      </w:r>
    </w:p>
    <w:p w:rsidR="00DA3CDF" w:rsidRDefault="00DA3CDF" w:rsidP="00DA3CDF">
      <w:pPr>
        <w:pStyle w:val="BodyText"/>
      </w:pPr>
      <w:r>
        <w:t>Spoločnosť nemá povinnosť overenia účtovnej závierky za účtovné obdobie od 1. januára 201</w:t>
      </w:r>
      <w:r w:rsidR="00ED198F">
        <w:t>4</w:t>
      </w:r>
      <w:r>
        <w:t xml:space="preserve"> do 31. decembra 201</w:t>
      </w:r>
      <w:r w:rsidR="00ED198F">
        <w:t>4</w:t>
      </w:r>
      <w:r>
        <w:t xml:space="preserve"> audítorom.</w:t>
      </w:r>
    </w:p>
    <w:bookmarkEnd w:id="4"/>
    <w:bookmarkEnd w:id="5"/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Pr="005C41CA" w:rsidRDefault="00DA3CDF" w:rsidP="00DA3CDF">
      <w:pPr>
        <w:pStyle w:val="BodyText"/>
        <w:jc w:val="left"/>
        <w:rPr>
          <w:sz w:val="16"/>
          <w:szCs w:val="16"/>
        </w:rPr>
      </w:pP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bookmarkStart w:id="6" w:name="_Toc530739897"/>
      <w:r>
        <w:lastRenderedPageBreak/>
        <w:t>Informácie o orgánoch účtovnej jednotky</w:t>
      </w:r>
      <w:bookmarkEnd w:id="6"/>
    </w:p>
    <w:p w:rsidR="00DA3CDF" w:rsidRDefault="00DA3CDF" w:rsidP="00DA3CDF">
      <w:r>
        <w:t xml:space="preserve">        </w:t>
      </w:r>
      <w:bookmarkStart w:id="7" w:name="_MON_1390817546"/>
      <w:bookmarkStart w:id="8" w:name="_MON_1392530066"/>
      <w:bookmarkStart w:id="9" w:name="_MON_1392530168"/>
      <w:bookmarkEnd w:id="7"/>
      <w:bookmarkEnd w:id="8"/>
      <w:bookmarkEnd w:id="9"/>
      <w:r w:rsidR="00BB3F26">
        <w:object w:dxaOrig="9123" w:dyaOrig="1485">
          <v:shape id="_x0000_i1026" type="#_x0000_t75" style="width:456pt;height:74.25pt" o:ole="">
            <v:imagedata r:id="rId10" o:title=""/>
          </v:shape>
          <o:OLEObject Type="Embed" ProgID="Excel.Sheet.12" ShapeID="_x0000_i1026" DrawAspect="Content" ObjectID="_1488638186" r:id="rId11"/>
        </w:object>
      </w:r>
    </w:p>
    <w:p w:rsidR="00DA3CDF" w:rsidRDefault="00DA3CDF" w:rsidP="00DA3CDF"/>
    <w:p w:rsidR="00DA3CDF" w:rsidRDefault="00DA3CDF" w:rsidP="00DA3CDF">
      <w:pPr>
        <w:ind w:left="426"/>
        <w:rPr>
          <w:sz w:val="18"/>
        </w:rPr>
      </w:pPr>
    </w:p>
    <w:p w:rsidR="00DA3CDF" w:rsidRPr="007F2D85" w:rsidRDefault="00DA3CDF" w:rsidP="00DA3CDF">
      <w:pPr>
        <w:spacing w:after="200" w:line="276" w:lineRule="auto"/>
        <w:ind w:firstLine="360"/>
        <w:rPr>
          <w:b/>
          <w:caps/>
          <w:color w:val="FF0000"/>
          <w:sz w:val="18"/>
        </w:rPr>
      </w:pPr>
      <w:bookmarkStart w:id="10" w:name="_Toc530739898"/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r>
        <w:t>informácie o spoločníkoch účtovnej jednotky</w:t>
      </w:r>
      <w:bookmarkEnd w:id="10"/>
    </w:p>
    <w:p w:rsidR="00DA3CDF" w:rsidRDefault="00DA3CDF" w:rsidP="00DA3CDF"/>
    <w:p w:rsidR="00DA3CDF" w:rsidRDefault="00DA3CDF" w:rsidP="00DA3CDF">
      <w:pPr>
        <w:pStyle w:val="BodyText"/>
      </w:pPr>
      <w:r>
        <w:t>Štruktúra spoločníkov Spoločnosti k 31. decembru 201</w:t>
      </w:r>
      <w:r w:rsidR="00ED198F">
        <w:t>4</w:t>
      </w:r>
      <w:r>
        <w:t>je takáto:</w:t>
      </w:r>
      <w:r w:rsidRPr="00A9048F">
        <w:t xml:space="preserve"> </w:t>
      </w:r>
    </w:p>
    <w:p w:rsidR="00DA3CDF" w:rsidRPr="00423AFA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bookmarkStart w:id="11" w:name="_MON_1392530289"/>
    <w:bookmarkEnd w:id="11"/>
    <w:p w:rsidR="00DA3CDF" w:rsidRDefault="00BB3F26" w:rsidP="00DA3CDF">
      <w:pPr>
        <w:pStyle w:val="BodyText"/>
        <w:ind w:left="0"/>
      </w:pPr>
      <w:r>
        <w:object w:dxaOrig="9010" w:dyaOrig="3151">
          <v:shape id="_x0000_i1027" type="#_x0000_t75" style="width:450pt;height:158.25pt" o:ole="">
            <v:imagedata r:id="rId12" o:title=""/>
          </v:shape>
          <o:OLEObject Type="Embed" ProgID="Excel.Sheet.12" ShapeID="_x0000_i1027" DrawAspect="Content" ObjectID="_1488638187" r:id="rId13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  <w:ind w:left="0"/>
      </w:pP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  <w:ind w:hanging="426"/>
      </w:pPr>
      <w:r>
        <w:rPr>
          <w:b/>
        </w:rPr>
        <w:tab/>
      </w:r>
      <w:r>
        <w:t>Spoločnosť nie súčasťou konsolidovaného celku.</w:t>
      </w: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bookmarkStart w:id="12" w:name="_Toc530739899"/>
      <w:r>
        <w:t xml:space="preserve">Informácie o účtovných zásadách a účtovných metódach  </w:t>
      </w:r>
      <w:bookmarkEnd w:id="12"/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DA3CDF" w:rsidRDefault="00DA3CDF" w:rsidP="00DA3CDF">
      <w:pPr>
        <w:pStyle w:val="BodyText"/>
        <w:ind w:left="450"/>
      </w:pPr>
      <w:r>
        <w:t>Účtovná závierka bola zostavená za predpokladu nepretržitého trvania Spoločnosti (going concern).</w:t>
      </w:r>
    </w:p>
    <w:p w:rsidR="00DA3CDF" w:rsidRDefault="00DA3CDF" w:rsidP="00DA3CDF">
      <w:pPr>
        <w:pStyle w:val="BodyText"/>
        <w:ind w:left="450"/>
      </w:pPr>
    </w:p>
    <w:p w:rsidR="00DA3CDF" w:rsidRDefault="00DA3CDF" w:rsidP="00DA3CDF">
      <w:pPr>
        <w:pStyle w:val="BodyText"/>
        <w:ind w:left="450"/>
      </w:pPr>
      <w:r w:rsidRPr="00194BFD">
        <w:t>Účtovné metódy a všeobecné účtovné zásady boli účtovnou jednotkou konzistentne aplikované</w:t>
      </w:r>
      <w:r>
        <w:t>.</w:t>
      </w:r>
    </w:p>
    <w:p w:rsidR="00DA3CDF" w:rsidRDefault="00DA3CDF" w:rsidP="00DA3CDF">
      <w:pPr>
        <w:pStyle w:val="BodyText"/>
        <w:ind w:left="450"/>
      </w:pPr>
    </w:p>
    <w:p w:rsidR="00DA3CDF" w:rsidRDefault="00DA3CDF" w:rsidP="00DA3CDF">
      <w:pPr>
        <w:pStyle w:val="BodyText"/>
      </w:pPr>
      <w:r w:rsidRPr="00C12F2A">
        <w:t>V súvislosti so zmenou účtovania zákazkovej výroby</w:t>
      </w:r>
      <w:r w:rsidRPr="006D3D0B">
        <w:t>,</w:t>
      </w:r>
      <w:r w:rsidRPr="00C12F2A">
        <w:t xml:space="preserve"> zákazkovej výstavby nehnuteľnost</w:t>
      </w:r>
      <w:r w:rsidRPr="006D3D0B">
        <w:t xml:space="preserve">i a obstarania nehnuteľnosti </w:t>
      </w:r>
      <w:r>
        <w:t>n</w:t>
      </w:r>
      <w:r w:rsidRPr="006D3D0B">
        <w:t>a účel ďalšieho predaja</w:t>
      </w:r>
      <w:r w:rsidRPr="00C12F2A">
        <w:t xml:space="preserve"> </w:t>
      </w:r>
      <w:r w:rsidRPr="006D3D0B">
        <w:t>boli</w:t>
      </w:r>
      <w:r w:rsidRPr="00C12F2A">
        <w:t xml:space="preserve"> </w:t>
      </w:r>
      <w:r w:rsidRPr="006D3D0B">
        <w:t xml:space="preserve">do súvahy a výkazu ziskov a strát doplnené nové </w:t>
      </w:r>
      <w:r>
        <w:t xml:space="preserve">účty. </w:t>
      </w:r>
    </w:p>
    <w:p w:rsidR="00DA3CDF" w:rsidRDefault="00DA3CDF" w:rsidP="00DA3CDF">
      <w:pPr>
        <w:pStyle w:val="BodyText"/>
        <w:ind w:left="0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DA3CDF" w:rsidRDefault="00DA3CDF" w:rsidP="00DA3CDF">
      <w:pPr>
        <w:pStyle w:val="Body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Súčasťou obstarávacej ceny dlhodobého nehmotného majetku nie sú od 1. júla 2010 úroky z cudzích zdrojov, ktoré vznikli do momentu zaradenia dlhodobého nehmotného majetku do používania.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 xml:space="preserve">Náklady na výskum sa neaktivujú, účtujú sa do nákladov účtovného obdobia, v ktorom vznikli. Náklady na vývoj sa účtujú do obdobia, v ktorom vznikli, ale tie náklady na vývoj, ktoré sa vzťahujú na jasne definovaný výrobok alebo </w:t>
      </w:r>
      <w:r>
        <w:lastRenderedPageBreak/>
        <w:t>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DA3CDF" w:rsidRDefault="00DA3CDF" w:rsidP="00DA3CDF">
      <w:pPr>
        <w:pStyle w:val="BodyText"/>
      </w:pPr>
      <w:r>
        <w:t xml:space="preserve"> </w:t>
      </w:r>
    </w:p>
    <w:p w:rsidR="00DA3CDF" w:rsidRDefault="00DA3CDF" w:rsidP="00DA3CDF">
      <w:pPr>
        <w:pStyle w:val="Body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DA3CDF" w:rsidRPr="005C41CA" w:rsidRDefault="00DA3CDF" w:rsidP="00DA3CDF">
      <w:pPr>
        <w:pStyle w:val="BodyText"/>
        <w:rPr>
          <w:sz w:val="12"/>
          <w:szCs w:val="12"/>
        </w:rPr>
      </w:pPr>
    </w:p>
    <w:p w:rsidR="00DA3CDF" w:rsidRDefault="00DA3CDF" w:rsidP="00DA3CDF">
      <w:pPr>
        <w:pStyle w:val="BodyText"/>
      </w:pPr>
      <w:r>
        <w:object w:dxaOrig="8870" w:dyaOrig="1710">
          <v:shape id="_x0000_i1028" type="#_x0000_t75" style="width:443.25pt;height:85.5pt" o:ole="">
            <v:imagedata r:id="rId14" o:title=""/>
          </v:shape>
          <o:OLEObject Type="Embed" ProgID="Excel.Sheet.12" ShapeID="_x0000_i1028" DrawAspect="Content" ObjectID="_1488638188" r:id="rId15"/>
        </w:object>
      </w:r>
    </w:p>
    <w:p w:rsidR="00DA3CDF" w:rsidRDefault="00DA3CDF" w:rsidP="00DA3CDF">
      <w:pPr>
        <w:pStyle w:val="Body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DA3CDF" w:rsidRPr="005C41CA" w:rsidRDefault="00DA3CDF" w:rsidP="00DA3CDF">
      <w:pPr>
        <w:pStyle w:val="BodyText"/>
        <w:rPr>
          <w:sz w:val="12"/>
          <w:szCs w:val="12"/>
        </w:rPr>
      </w:pPr>
    </w:p>
    <w:p w:rsidR="00DA3CDF" w:rsidRDefault="00DA3CDF" w:rsidP="00DA3CDF">
      <w:pPr>
        <w:pStyle w:val="BodyText"/>
      </w:pPr>
      <w:r>
        <w:object w:dxaOrig="8824" w:dyaOrig="1900">
          <v:shape id="_x0000_i1029" type="#_x0000_t75" style="width:441pt;height:95.25pt" o:ole="">
            <v:imagedata r:id="rId16" o:title=""/>
          </v:shape>
          <o:OLEObject Type="Embed" ProgID="Excel.Sheet.12" ShapeID="_x0000_i1029" DrawAspect="Content" ObjectID="_1488638189" r:id="rId17"/>
        </w:object>
      </w:r>
    </w:p>
    <w:p w:rsidR="00DA3CDF" w:rsidRDefault="00DA3CDF" w:rsidP="00DA3CDF">
      <w:pPr>
        <w:pStyle w:val="Pismenka"/>
        <w:numPr>
          <w:ilvl w:val="0"/>
          <w:numId w:val="0"/>
        </w:numPr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Cenné papiere a podiely</w:t>
      </w:r>
    </w:p>
    <w:p w:rsidR="00DA3CDF" w:rsidRDefault="00DA3CDF" w:rsidP="00DA3CDF">
      <w:pPr>
        <w:pStyle w:val="BodyText"/>
      </w:pPr>
      <w:r>
        <w:t xml:space="preserve">Cenné papiere a podiely sa oceňujú obstarávacími cenami vrátane nákladov súvisiacich s obstaraním. Od obstarávacej ceny je odpočítané zníženie hodnoty cenných papierov a podielov.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DA3CDF" w:rsidRDefault="00DA3CDF" w:rsidP="00DA3CDF">
      <w:pPr>
        <w:pStyle w:val="Body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DA3CDF" w:rsidRDefault="00DA3CDF" w:rsidP="00DA3CDF">
      <w:pPr>
        <w:pStyle w:val="Body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DA3CDF" w:rsidRDefault="00DA3CDF" w:rsidP="00DA3CDF">
      <w:pPr>
        <w:pStyle w:val="BodyText"/>
      </w:pPr>
    </w:p>
    <w:p w:rsidR="00DA3CDF" w:rsidRDefault="00DA3CDF" w:rsidP="00EB7DCD">
      <w:pPr>
        <w:pStyle w:val="BodyText"/>
      </w:pPr>
      <w:r>
        <w:t>Zníženie hodnoty zásob sa upravuje vytvorením opravnej položky.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Zákazková výroba</w:t>
      </w:r>
    </w:p>
    <w:p w:rsidR="00DA3CDF" w:rsidRDefault="00DA3CDF" w:rsidP="00DA3CDF">
      <w:pPr>
        <w:pStyle w:val="BodyText"/>
      </w:pPr>
      <w:r>
        <w:t>Zákazková výroba sa vykazuje použitím metódy stupňa dokončenia zákazky (angl. percentage-of-completion-method).</w:t>
      </w:r>
    </w:p>
    <w:p w:rsidR="00DA3CDF" w:rsidRDefault="00DA3CDF" w:rsidP="00DA3CDF">
      <w:pPr>
        <w:pStyle w:val="Pismenka"/>
        <w:numPr>
          <w:ilvl w:val="0"/>
          <w:numId w:val="0"/>
        </w:numPr>
        <w:rPr>
          <w:b w:val="0"/>
        </w:rPr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Zákazková výstavba nehnuteľnosti</w:t>
      </w:r>
    </w:p>
    <w:p w:rsidR="00DA3CDF" w:rsidRDefault="00DA3CDF" w:rsidP="00DA3CDF">
      <w:pPr>
        <w:pStyle w:val="BodyText"/>
      </w:pPr>
    </w:p>
    <w:p w:rsidR="00DA3CDF" w:rsidRPr="00FE2CC6" w:rsidRDefault="00DA3CDF" w:rsidP="00DA3CDF">
      <w:pPr>
        <w:pStyle w:val="BodyText"/>
        <w:rPr>
          <w:b/>
          <w:i/>
        </w:rPr>
      </w:pPr>
      <w:r w:rsidRPr="00A9048F">
        <w:rPr>
          <w:b/>
          <w:i/>
        </w:rPr>
        <w:t>Zákazková výstavba nehnuteľnosti – priebežný transfer</w:t>
      </w:r>
    </w:p>
    <w:p w:rsidR="00DA3CDF" w:rsidRDefault="00DA3CDF" w:rsidP="00DA3CDF">
      <w:pPr>
        <w:pStyle w:val="BodyText"/>
      </w:pPr>
      <w:r>
        <w:t xml:space="preserve">Zákazková výstavba nehnuteľnosti určenej na predaj sa vykazuje podľa metódy stupňa dokončenia. </w:t>
      </w:r>
    </w:p>
    <w:p w:rsidR="00DA3CDF" w:rsidRDefault="00DA3CDF" w:rsidP="00DA3CDF">
      <w:pPr>
        <w:pStyle w:val="BodyText"/>
      </w:pPr>
    </w:p>
    <w:p w:rsidR="00DA3CDF" w:rsidRPr="00423AFA" w:rsidRDefault="00DA3CDF" w:rsidP="00DA3CDF">
      <w:pPr>
        <w:pStyle w:val="BodyText"/>
        <w:rPr>
          <w:b/>
          <w:i/>
        </w:rPr>
      </w:pPr>
      <w:r w:rsidRPr="00A9048F">
        <w:rPr>
          <w:b/>
          <w:i/>
        </w:rPr>
        <w:t>Zákazková výstavba nehnuteľnosti – ostatn</w:t>
      </w:r>
      <w:r>
        <w:rPr>
          <w:b/>
          <w:i/>
        </w:rPr>
        <w:t>á</w:t>
      </w:r>
      <w:r w:rsidRPr="00A9048F">
        <w:rPr>
          <w:b/>
          <w:i/>
        </w:rPr>
        <w:t xml:space="preserve"> (nie priebežný transfer)</w:t>
      </w:r>
    </w:p>
    <w:p w:rsidR="00DA3CDF" w:rsidRPr="00777324" w:rsidRDefault="00DA3CDF" w:rsidP="00DA3CDF">
      <w:pPr>
        <w:pStyle w:val="BodyText"/>
      </w:pPr>
      <w:r w:rsidRPr="00777324">
        <w:t>Zá</w:t>
      </w:r>
      <w:r>
        <w:t>kazková výstavba nehnuteľnosti určenej na predaj – ostatná (nie priebežný transfer</w:t>
      </w:r>
      <w:r w:rsidRPr="006D3D0B">
        <w:t>) sa vykazuje metódou tzv. nulového zisku, t.</w:t>
      </w:r>
      <w:r>
        <w:t xml:space="preserve"> </w:t>
      </w:r>
      <w:r w:rsidRPr="006D3D0B">
        <w:t>j. zisk sa vykáže pri predaji nehnuteľnosti.</w:t>
      </w:r>
    </w:p>
    <w:p w:rsidR="00DA3CDF" w:rsidRPr="00423AFA" w:rsidRDefault="00DA3CDF" w:rsidP="00DA3CDF">
      <w:pPr>
        <w:pStyle w:val="Pismenka"/>
        <w:numPr>
          <w:ilvl w:val="0"/>
          <w:numId w:val="0"/>
        </w:numPr>
        <w:rPr>
          <w:b w:val="0"/>
        </w:rPr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Pohľadávky</w:t>
      </w:r>
    </w:p>
    <w:p w:rsidR="00DA3CDF" w:rsidRDefault="00DA3CDF" w:rsidP="00DA3CDF">
      <w:pPr>
        <w:pStyle w:val="Body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DA3CDF" w:rsidRDefault="00DA3CDF" w:rsidP="00DA3CDF">
      <w:pPr>
        <w:pStyle w:val="BodyText"/>
      </w:pPr>
      <w:r>
        <w:t>Peňažné prostriedky a ceniny sa oceňujú ich menovitou hodnotou. Zníženie ich hodnoty sa vyjadruje opravnou položkou.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DA3CDF" w:rsidRDefault="00DA3CDF" w:rsidP="00DA3CDF">
      <w:pPr>
        <w:pStyle w:val="BodyText"/>
      </w:pPr>
      <w:r>
        <w:t>Náklady budúcich období a príjmy budúcich období sa vykazujú vo výške, ktorá je potrebná na dodržanie zásady vecnej a časovej súvislosti s účtovným obdobím.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Rezervy</w:t>
      </w:r>
    </w:p>
    <w:p w:rsidR="00DA3CDF" w:rsidRDefault="00DA3CDF" w:rsidP="00DA3CDF">
      <w:pPr>
        <w:pStyle w:val="Body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DA3CDF" w:rsidRDefault="00DA3CDF" w:rsidP="00DA3CDF">
      <w:pPr>
        <w:pStyle w:val="Pismenka"/>
        <w:numPr>
          <w:ilvl w:val="0"/>
          <w:numId w:val="0"/>
        </w:numPr>
        <w:ind w:left="360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Záväzky</w:t>
      </w:r>
    </w:p>
    <w:p w:rsidR="00DA3CDF" w:rsidRDefault="00DA3CDF" w:rsidP="00DA3CDF">
      <w:pPr>
        <w:pStyle w:val="Body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DA3CDF" w:rsidRDefault="00DA3CDF" w:rsidP="00DA3CDF">
      <w:pPr>
        <w:pStyle w:val="Pismenka"/>
        <w:numPr>
          <w:ilvl w:val="0"/>
          <w:numId w:val="0"/>
        </w:numPr>
        <w:ind w:left="360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Odložené dane</w:t>
      </w:r>
    </w:p>
    <w:p w:rsidR="00DA3CDF" w:rsidRDefault="00DA3CDF" w:rsidP="00DA3CDF">
      <w:pPr>
        <w:pStyle w:val="BodyText"/>
      </w:pPr>
      <w:r>
        <w:t xml:space="preserve">Odložené dane (odložená daňová pohľadávka a odložený daňový záväzok) sa vzťahujú na: </w:t>
      </w:r>
    </w:p>
    <w:p w:rsidR="00DA3CDF" w:rsidRDefault="00DA3CDF" w:rsidP="00DA3CDF">
      <w:pPr>
        <w:pStyle w:val="BodyText"/>
        <w:numPr>
          <w:ilvl w:val="0"/>
          <w:numId w:val="7"/>
        </w:numPr>
      </w:pPr>
      <w:r>
        <w:t>dočasné rozdiely medzi účtovnou hodnotou majetku a účtovnou hodnotou záväzkov vykázanou v súvahe a ich daňovou základňou,</w:t>
      </w:r>
    </w:p>
    <w:p w:rsidR="00DA3CDF" w:rsidRDefault="00DA3CDF" w:rsidP="00DA3CDF">
      <w:pPr>
        <w:pStyle w:val="BodyText"/>
        <w:numPr>
          <w:ilvl w:val="0"/>
          <w:numId w:val="7"/>
        </w:numPr>
      </w:pPr>
      <w:r>
        <w:t>možnosť umorovať daňovú stratu v budúcnosti, ktorou sa rozumie možnosť odpočítať daňovú stratu od základu dane v budúcnosti,</w:t>
      </w:r>
    </w:p>
    <w:p w:rsidR="00DA3CDF" w:rsidRDefault="00DA3CDF" w:rsidP="00DA3CDF">
      <w:pPr>
        <w:pStyle w:val="BodyText"/>
        <w:numPr>
          <w:ilvl w:val="0"/>
          <w:numId w:val="7"/>
        </w:numPr>
      </w:pPr>
      <w:r>
        <w:t>možnosť previesť nevyužité daňové odpočty a iné daňové nároky do budúcich období.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DA3CDF" w:rsidRDefault="00DA3CDF" w:rsidP="00DA3CDF">
      <w:pPr>
        <w:pStyle w:val="BodyText"/>
      </w:pPr>
      <w:r>
        <w:t>Výdavky budúcich období a výnosy budúcich období sa vykazujú vo výške, ktorá je potrebná na dodržanie zásady vecnej a časovej súvislosti s účtovným obdobím.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Emisné kvóty</w:t>
      </w:r>
    </w:p>
    <w:p w:rsidR="00DA3CDF" w:rsidRPr="00C24311" w:rsidRDefault="00DA3CDF" w:rsidP="00DA3CDF">
      <w:pPr>
        <w:pStyle w:val="BodyText"/>
      </w:pPr>
      <w:r w:rsidRPr="00C24311">
        <w:t xml:space="preserve">Bezodplatne pripísaný proporčný podiel emisných kvót v ocenení reprodukčnou obstarávacou cenou sa účtuje v prospech výnosov budúcich období. </w:t>
      </w:r>
    </w:p>
    <w:p w:rsidR="00DA3CDF" w:rsidRPr="00C24311" w:rsidRDefault="00DA3CDF" w:rsidP="00DA3CDF">
      <w:pPr>
        <w:pStyle w:val="BodyText"/>
      </w:pPr>
    </w:p>
    <w:p w:rsidR="00DA3CDF" w:rsidRDefault="00DA3CDF" w:rsidP="00DA3CDF">
      <w:pPr>
        <w:pStyle w:val="BodyText"/>
      </w:pPr>
      <w:r w:rsidRPr="00C24311"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DA3CDF" w:rsidRDefault="00DA3CDF" w:rsidP="00DA3CDF">
      <w:pPr>
        <w:pStyle w:val="BodyText"/>
        <w:rPr>
          <w:sz w:val="16"/>
          <w:szCs w:val="16"/>
        </w:rPr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Dotácie zo štátneho rozpočtu</w:t>
      </w:r>
    </w:p>
    <w:p w:rsidR="00DA3CDF" w:rsidRPr="00E92175" w:rsidRDefault="00DA3CDF" w:rsidP="00DA3CDF">
      <w:pPr>
        <w:ind w:left="450"/>
        <w:jc w:val="both"/>
        <w:rPr>
          <w:sz w:val="18"/>
        </w:rPr>
      </w:pPr>
      <w:r>
        <w:rPr>
          <w:sz w:val="18"/>
        </w:rPr>
        <w:t>O nároku na d</w:t>
      </w:r>
      <w:r w:rsidRPr="00E92175">
        <w:rPr>
          <w:sz w:val="18"/>
        </w:rPr>
        <w:t>otáci</w:t>
      </w:r>
      <w:r>
        <w:rPr>
          <w:sz w:val="18"/>
        </w:rPr>
        <w:t>e</w:t>
      </w:r>
      <w:r w:rsidRPr="00E92175">
        <w:rPr>
          <w:sz w:val="18"/>
        </w:rPr>
        <w:t xml:space="preserve"> zo štátneho rozpočtu sa </w:t>
      </w:r>
      <w:r>
        <w:rPr>
          <w:sz w:val="18"/>
        </w:rPr>
        <w:t>účtuje</w:t>
      </w:r>
      <w:r w:rsidRPr="00E92175">
        <w:rPr>
          <w:sz w:val="18"/>
        </w:rPr>
        <w:t xml:space="preserve">, ak je takmer isté, že na základe splnených podmienok na poskytnutie dotácie sa </w:t>
      </w:r>
      <w:r>
        <w:rPr>
          <w:sz w:val="18"/>
        </w:rPr>
        <w:t>Spoločnosti</w:t>
      </w:r>
      <w:r w:rsidRPr="00E92175">
        <w:rPr>
          <w:sz w:val="18"/>
        </w:rPr>
        <w:t xml:space="preserve"> daná dotácia poskytne.</w:t>
      </w:r>
    </w:p>
    <w:p w:rsidR="00DA3CDF" w:rsidRPr="00E92175" w:rsidRDefault="00DA3CDF" w:rsidP="00DA3CDF">
      <w:pPr>
        <w:ind w:left="450"/>
        <w:jc w:val="both"/>
        <w:rPr>
          <w:sz w:val="18"/>
        </w:rPr>
      </w:pPr>
    </w:p>
    <w:p w:rsidR="00DA3CDF" w:rsidRPr="00E92175" w:rsidRDefault="00DA3CDF" w:rsidP="00DA3CDF">
      <w:pPr>
        <w:ind w:left="450"/>
        <w:jc w:val="both"/>
        <w:rPr>
          <w:sz w:val="18"/>
        </w:rPr>
      </w:pPr>
      <w:r w:rsidRPr="00E92175">
        <w:rPr>
          <w:sz w:val="18"/>
        </w:rPr>
        <w:t>Dotácie na hospodársku činnosť Spoločnosti sa</w:t>
      </w:r>
      <w:r>
        <w:rPr>
          <w:sz w:val="18"/>
        </w:rPr>
        <w:t xml:space="preserve"> najskôr</w:t>
      </w:r>
      <w:r w:rsidRPr="00E92175">
        <w:rPr>
          <w:sz w:val="18"/>
        </w:rPr>
        <w:t xml:space="preserve"> vykazujú ako výnosy budúcich období a do výkazu ziskov a strát sa rozpúšťajú ako výnosy z hospodárskej činnosti v časovej a vecnej súvislosti s vynaložením nákladov na príslušný účel.</w:t>
      </w:r>
    </w:p>
    <w:p w:rsidR="00DA3CDF" w:rsidRPr="00E92175" w:rsidRDefault="00DA3CDF" w:rsidP="00DA3CDF">
      <w:pPr>
        <w:ind w:left="450"/>
        <w:jc w:val="both"/>
        <w:rPr>
          <w:sz w:val="18"/>
        </w:rPr>
      </w:pPr>
    </w:p>
    <w:p w:rsidR="00DA3CDF" w:rsidRPr="00E92175" w:rsidRDefault="00DA3CDF" w:rsidP="00DA3CDF">
      <w:pPr>
        <w:ind w:left="450"/>
        <w:jc w:val="both"/>
        <w:rPr>
          <w:sz w:val="18"/>
        </w:rPr>
      </w:pPr>
      <w:r w:rsidRPr="00E92175">
        <w:rPr>
          <w:sz w:val="18"/>
        </w:rPr>
        <w:t xml:space="preserve">Dotácie na obstaranie </w:t>
      </w:r>
      <w:r>
        <w:rPr>
          <w:sz w:val="18"/>
        </w:rPr>
        <w:t>dlhodobého hmotného majetku a dlhodobého nehmotného majetku</w:t>
      </w:r>
      <w:r w:rsidRPr="00E92175">
        <w:rPr>
          <w:sz w:val="18"/>
        </w:rPr>
        <w:t xml:space="preserve"> </w:t>
      </w:r>
      <w:r>
        <w:rPr>
          <w:sz w:val="18"/>
        </w:rPr>
        <w:t>sa najskôr</w:t>
      </w:r>
      <w:r w:rsidRPr="00E92175">
        <w:rPr>
          <w:sz w:val="18"/>
        </w:rPr>
        <w:t xml:space="preserve"> vyk</w:t>
      </w:r>
      <w:r>
        <w:rPr>
          <w:sz w:val="18"/>
        </w:rPr>
        <w:t>a</w:t>
      </w:r>
      <w:r w:rsidRPr="00E92175">
        <w:rPr>
          <w:sz w:val="18"/>
        </w:rPr>
        <w:t>z</w:t>
      </w:r>
      <w:r>
        <w:rPr>
          <w:sz w:val="18"/>
        </w:rPr>
        <w:t>ujú</w:t>
      </w:r>
      <w:r w:rsidRPr="00E92175">
        <w:rPr>
          <w:sz w:val="18"/>
        </w:rPr>
        <w:t xml:space="preserve"> ako výnosy budúcich období a do výkaz</w:t>
      </w:r>
      <w:r>
        <w:rPr>
          <w:sz w:val="18"/>
        </w:rPr>
        <w:t>u</w:t>
      </w:r>
      <w:r w:rsidRPr="00E92175">
        <w:rPr>
          <w:sz w:val="18"/>
        </w:rPr>
        <w:t xml:space="preserve"> ziskov a strát sa rozpúšťajú v časovej a vecnej súvislosti so zaúčtovaním odpisov </w:t>
      </w:r>
      <w:r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:rsidR="00DA3CDF" w:rsidRDefault="00DA3CDF" w:rsidP="00DA3CDF">
      <w:pPr>
        <w:pStyle w:val="BodyText"/>
        <w:ind w:left="0"/>
        <w:rPr>
          <w:sz w:val="16"/>
          <w:szCs w:val="16"/>
        </w:rPr>
      </w:pPr>
    </w:p>
    <w:p w:rsidR="00DA3CDF" w:rsidRDefault="00DA3CDF" w:rsidP="00EB7DCD">
      <w:pPr>
        <w:pStyle w:val="BodyText"/>
        <w:ind w:left="0"/>
        <w:rPr>
          <w:sz w:val="16"/>
          <w:szCs w:val="16"/>
        </w:rPr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Prenájom (leasing)</w:t>
      </w:r>
    </w:p>
    <w:p w:rsidR="00DA3CDF" w:rsidRDefault="00DA3CDF" w:rsidP="00DA3CDF">
      <w:pPr>
        <w:pStyle w:val="BodyText"/>
      </w:pPr>
      <w:r>
        <w:t>Operatívny prenájom. Majetok prenajatý na základe operatívneho prenájmu vykazuje ako svoj majetok jeho vlastník, nie nájomca.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DA3CDF" w:rsidRDefault="00DA3CDF" w:rsidP="00DA3CDF">
      <w:pPr>
        <w:pStyle w:val="BodyText"/>
        <w:rPr>
          <w:sz w:val="16"/>
          <w:szCs w:val="16"/>
        </w:rPr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Deriváty</w:t>
      </w:r>
    </w:p>
    <w:p w:rsidR="00DA3CDF" w:rsidRDefault="00DA3CDF" w:rsidP="00DA3CDF">
      <w:pPr>
        <w:pStyle w:val="BodyText"/>
      </w:pPr>
      <w:r>
        <w:t>Deriváty sa oceňujú reálnou hodnotou.</w:t>
      </w:r>
    </w:p>
    <w:p w:rsidR="00DA3CDF" w:rsidRPr="006201DD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Zmeny reálnych hodnôt zabezpečovacích derivátov sa účtujú bez vplyvu na výsledok hospodárenia, priamo do vlastného imania.</w:t>
      </w:r>
    </w:p>
    <w:p w:rsidR="00DA3CDF" w:rsidRPr="006201DD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Zmeny reálnych hodnôt derivátov určených na obchodovanie na tuzemskej burze, zahraničnej burze alebo na inom verejnom trhu sa účtujú s vplyvom na výsledok hospodárenia.</w:t>
      </w:r>
    </w:p>
    <w:p w:rsidR="00DA3CDF" w:rsidRPr="006201DD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Zmeny reálnych hodnôt derivátov určených na obchodovanie na neverejnom trhu sa účtujú bez vplyvu na výsledok hospodárenia, priamo do vlastného imania.</w:t>
      </w:r>
    </w:p>
    <w:p w:rsidR="00DA3CDF" w:rsidRPr="006201DD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Majetok a záväzky zabezpečené derivátmi</w:t>
      </w:r>
    </w:p>
    <w:p w:rsidR="00DA3CDF" w:rsidRDefault="00DA3CDF" w:rsidP="00DA3CDF">
      <w:pPr>
        <w:pStyle w:val="Body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DA3CDF" w:rsidRPr="00B1412B" w:rsidRDefault="00DA3CDF" w:rsidP="00DA3CDF">
      <w:pPr>
        <w:pStyle w:val="BodyText"/>
        <w:rPr>
          <w:sz w:val="16"/>
          <w:szCs w:val="16"/>
        </w:rPr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Cudzia mena</w:t>
      </w:r>
    </w:p>
    <w:p w:rsidR="00DA3CDF" w:rsidRDefault="00DA3CDF" w:rsidP="00DA3CDF">
      <w:pPr>
        <w:pStyle w:val="Body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 xml:space="preserve">Prijaté a poskytnuté preddavky sa ku dňu, ku ktorému sa zostavuje účtovná závierka, na menu euro už neprepočítavajú.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Pismenka"/>
        <w:tabs>
          <w:tab w:val="clear" w:pos="426"/>
        </w:tabs>
        <w:ind w:left="426"/>
      </w:pPr>
      <w:r>
        <w:t>Výnosy</w:t>
      </w:r>
    </w:p>
    <w:p w:rsidR="00DA3CDF" w:rsidRDefault="00DA3CDF" w:rsidP="00DA3CDF">
      <w:pPr>
        <w:pStyle w:val="Body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DA3CDF" w:rsidRDefault="00DA3CDF" w:rsidP="00DA3CDF">
      <w:pPr>
        <w:pStyle w:val="Heading1"/>
        <w:numPr>
          <w:ilvl w:val="0"/>
          <w:numId w:val="0"/>
        </w:numPr>
        <w:spacing w:before="120" w:after="60"/>
        <w:ind w:left="90"/>
      </w:pPr>
      <w:bookmarkStart w:id="13" w:name="_Toc530739900"/>
      <w:r>
        <w:br w:type="page"/>
      </w:r>
      <w:r>
        <w:lastRenderedPageBreak/>
        <w:t>informácie o údajoch na strane aktív súvahy</w:t>
      </w:r>
      <w:bookmarkEnd w:id="13"/>
    </w:p>
    <w:p w:rsidR="00DA3CDF" w:rsidRPr="00B1412B" w:rsidRDefault="00DA3CDF" w:rsidP="00DA3CDF">
      <w:pPr>
        <w:pStyle w:val="Header"/>
        <w:numPr>
          <w:ilvl w:val="12"/>
          <w:numId w:val="0"/>
        </w:numPr>
        <w:jc w:val="both"/>
        <w:rPr>
          <w:sz w:val="16"/>
          <w:szCs w:val="16"/>
        </w:rPr>
      </w:pPr>
    </w:p>
    <w:p w:rsidR="00DA3CDF" w:rsidRDefault="00DA3CDF" w:rsidP="00DA3CDF">
      <w:pPr>
        <w:pStyle w:val="Heading2"/>
        <w:numPr>
          <w:ilvl w:val="0"/>
          <w:numId w:val="20"/>
        </w:numPr>
        <w:tabs>
          <w:tab w:val="clear" w:pos="360"/>
          <w:tab w:val="num" w:pos="426"/>
        </w:tabs>
      </w:pPr>
      <w:bookmarkStart w:id="14" w:name="_Toc530739901"/>
      <w:r>
        <w:t>Dlhodobý nehmotný majetok a dlhodobý hmotný majetok</w:t>
      </w:r>
      <w:bookmarkEnd w:id="14"/>
    </w:p>
    <w:p w:rsidR="00DA3CDF" w:rsidRPr="00B1412B" w:rsidRDefault="00DA3CDF" w:rsidP="00DA3CDF">
      <w:pPr>
        <w:pStyle w:val="BodyText"/>
        <w:rPr>
          <w:sz w:val="16"/>
          <w:szCs w:val="16"/>
        </w:rPr>
      </w:pPr>
    </w:p>
    <w:p w:rsidR="00ED198F" w:rsidRDefault="00DA3CDF" w:rsidP="00DA3CDF">
      <w:pPr>
        <w:pStyle w:val="BodyText"/>
      </w:pPr>
      <w:r>
        <w:t>Prehľad o pohybe dlhodobého hmotného majetku od 1. januára 201</w:t>
      </w:r>
      <w:r w:rsidR="00ED198F">
        <w:t>4</w:t>
      </w:r>
      <w:r>
        <w:t xml:space="preserve"> do </w:t>
      </w:r>
      <w:r>
        <w:br/>
        <w:t xml:space="preserve">31. </w:t>
      </w:r>
      <w:r w:rsidRPr="00C24B6B">
        <w:t>decembra 201</w:t>
      </w:r>
      <w:r w:rsidR="00ED198F">
        <w:t>4</w:t>
      </w:r>
      <w:r w:rsidRPr="00C24B6B">
        <w:t xml:space="preserve"> a za porovnateľné obdobie od 1. januára 201</w:t>
      </w:r>
      <w:r w:rsidR="00ED198F">
        <w:t>3</w:t>
      </w:r>
      <w:r w:rsidRPr="00C24B6B">
        <w:t xml:space="preserve"> d</w:t>
      </w:r>
      <w:r>
        <w:t>o 31. decembra 201</w:t>
      </w:r>
      <w:r w:rsidR="00ED198F">
        <w:t>3</w:t>
      </w:r>
      <w:r>
        <w:t xml:space="preserve"> je uvedený. Spoločnosť neúčtuje o</w:t>
      </w:r>
      <w:r w:rsidR="00ED198F">
        <w:t> </w:t>
      </w:r>
      <w:r>
        <w:t>dl</w:t>
      </w:r>
      <w:r w:rsidR="00ED198F">
        <w:t>hodobom nehmotnom majetku.</w:t>
      </w:r>
    </w:p>
    <w:p w:rsidR="00ED198F" w:rsidRDefault="00ED198F" w:rsidP="00DA3CDF">
      <w:pPr>
        <w:pStyle w:val="BodyText"/>
      </w:pPr>
    </w:p>
    <w:p w:rsidR="00ED198F" w:rsidRDefault="00ED198F" w:rsidP="00DA3CDF">
      <w:pPr>
        <w:pStyle w:val="BodyText"/>
      </w:pPr>
    </w:p>
    <w:p w:rsidR="00DA3CDF" w:rsidRDefault="002A4F14" w:rsidP="00DA3CDF">
      <w:pPr>
        <w:pStyle w:val="BodyText"/>
      </w:pPr>
      <w:r w:rsidRPr="00ED198F">
        <w:object w:dxaOrig="9552" w:dyaOrig="10079">
          <v:shape id="_x0000_i1030" type="#_x0000_t75" style="width:478.5pt;height:7in" o:ole="">
            <v:imagedata r:id="rId18" o:title=""/>
          </v:shape>
          <o:OLEObject Type="Embed" ProgID="Excel.Sheet.12" ShapeID="_x0000_i1030" DrawAspect="Content" ObjectID="_1488638190" r:id="rId19"/>
        </w:object>
      </w:r>
    </w:p>
    <w:bookmarkStart w:id="15" w:name="_MON_1392531642"/>
    <w:bookmarkStart w:id="16" w:name="_MON_1392532019"/>
    <w:bookmarkStart w:id="17" w:name="_MON_1392532077"/>
    <w:bookmarkEnd w:id="15"/>
    <w:bookmarkEnd w:id="16"/>
    <w:bookmarkEnd w:id="17"/>
    <w:p w:rsidR="00ED198F" w:rsidRDefault="002A4F14" w:rsidP="00DA3CDF">
      <w:pPr>
        <w:spacing w:after="200" w:line="276" w:lineRule="auto"/>
        <w:ind w:left="426"/>
      </w:pPr>
      <w:r w:rsidRPr="00CE589D">
        <w:object w:dxaOrig="9552" w:dyaOrig="10079">
          <v:shape id="_x0000_i1031" type="#_x0000_t75" style="width:478.5pt;height:7in" o:ole="">
            <v:imagedata r:id="rId20" o:title=""/>
          </v:shape>
          <o:OLEObject Type="Embed" ProgID="Excel.Sheet.12" ShapeID="_x0000_i1031" DrawAspect="Content" ObjectID="_1488638191" r:id="rId21"/>
        </w:object>
      </w:r>
    </w:p>
    <w:p w:rsidR="00DA3CDF" w:rsidRDefault="00DA3CDF" w:rsidP="00DA3CDF">
      <w:pPr>
        <w:pStyle w:val="Heading2"/>
      </w:pPr>
      <w:r>
        <w:t>Dlhodobý finančný majetok</w:t>
      </w:r>
    </w:p>
    <w:p w:rsidR="00DA3CDF" w:rsidRDefault="00DA3CDF" w:rsidP="00DA3CDF">
      <w:pPr>
        <w:pStyle w:val="BodyText"/>
      </w:pPr>
    </w:p>
    <w:p w:rsidR="00DA3CDF" w:rsidRPr="003E179C" w:rsidRDefault="00DA3CDF" w:rsidP="00DA3CDF">
      <w:pPr>
        <w:pStyle w:val="BodyText"/>
        <w:jc w:val="left"/>
        <w:sectPr w:rsidR="00DA3CDF" w:rsidRPr="003E179C" w:rsidSect="00EB7DCD">
          <w:headerReference w:type="default" r:id="rId22"/>
          <w:footerReference w:type="default" r:id="rId23"/>
          <w:footerReference w:type="first" r:id="rId24"/>
          <w:pgSz w:w="11907" w:h="16840" w:code="9"/>
          <w:pgMar w:top="1418" w:right="1021" w:bottom="1134" w:left="1673" w:header="675" w:footer="408" w:gutter="0"/>
          <w:pgNumType w:start="0"/>
          <w:cols w:space="708"/>
          <w:titlePg/>
          <w:docGrid w:linePitch="272"/>
        </w:sectPr>
      </w:pPr>
      <w:r>
        <w:t>Spoločnosť v roku 201</w:t>
      </w:r>
      <w:r w:rsidR="00EE7588">
        <w:t>4</w:t>
      </w:r>
      <w:r>
        <w:t xml:space="preserve"> neúčtovala o dlhodobom finančnom majetku</w:t>
      </w:r>
      <w:bookmarkStart w:id="18" w:name="_Toc530739903"/>
      <w:r>
        <w:t>.</w:t>
      </w:r>
    </w:p>
    <w:p w:rsidR="00DA3CDF" w:rsidRDefault="00DA3CDF" w:rsidP="00DA3CDF"/>
    <w:p w:rsidR="00DA3CDF" w:rsidRDefault="00DA3CDF" w:rsidP="00DA3CDF"/>
    <w:p w:rsidR="00DA3CDF" w:rsidRDefault="00DA3CDF" w:rsidP="00DA3CDF">
      <w:pPr>
        <w:pStyle w:val="Heading2"/>
      </w:pPr>
      <w:r w:rsidRPr="00E3042F">
        <w:t>Zásoby</w:t>
      </w:r>
      <w:bookmarkEnd w:id="18"/>
    </w:p>
    <w:p w:rsidR="00DA3CDF" w:rsidRPr="003E179C" w:rsidRDefault="00DA3CDF" w:rsidP="00DA3CDF"/>
    <w:p w:rsidR="00DA3CDF" w:rsidRDefault="00DA3CDF" w:rsidP="00DA3CDF">
      <w:pPr>
        <w:pStyle w:val="BodyText"/>
      </w:pPr>
      <w:r>
        <w:t>Spoločnosť v roku 201</w:t>
      </w:r>
      <w:r w:rsidR="00CE589D">
        <w:t>4</w:t>
      </w:r>
      <w:r>
        <w:t xml:space="preserve"> neúčtovala o zásobách.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  <w:numPr>
          <w:ilvl w:val="0"/>
          <w:numId w:val="26"/>
        </w:numPr>
      </w:pPr>
      <w:r w:rsidRPr="007D5600">
        <w:t>Údaje o zákazkovej výrobe</w:t>
      </w:r>
    </w:p>
    <w:p w:rsidR="00DA3CDF" w:rsidRPr="00140B7D" w:rsidRDefault="00DA3CDF" w:rsidP="00DA3CDF"/>
    <w:p w:rsidR="00DA3CDF" w:rsidRDefault="00DA3CDF" w:rsidP="00DA3CDF">
      <w:pPr>
        <w:pStyle w:val="BodyText"/>
      </w:pPr>
      <w:r>
        <w:t>Spoločnosť v roku 201</w:t>
      </w:r>
      <w:r w:rsidR="00CE589D">
        <w:t>4</w:t>
      </w:r>
      <w:r>
        <w:t xml:space="preserve"> neúčtovala o zákazkovej výrobe.</w:t>
      </w:r>
    </w:p>
    <w:p w:rsidR="00DA3CDF" w:rsidRDefault="00DA3CDF" w:rsidP="00DA3CDF">
      <w:pPr>
        <w:ind w:left="426"/>
      </w:pPr>
    </w:p>
    <w:p w:rsidR="00DA3CDF" w:rsidRDefault="00DA3CDF" w:rsidP="00DA3CDF">
      <w:pPr>
        <w:ind w:left="426"/>
      </w:pPr>
    </w:p>
    <w:p w:rsidR="00DA3CDF" w:rsidRDefault="00DA3CDF" w:rsidP="00DA3CDF">
      <w:pPr>
        <w:pStyle w:val="Heading2"/>
      </w:pPr>
      <w:bookmarkStart w:id="19" w:name="_Toc530739904"/>
      <w:r>
        <w:t>Pohľadávky</w:t>
      </w:r>
      <w:bookmarkEnd w:id="19"/>
    </w:p>
    <w:p w:rsidR="00DA3CDF" w:rsidRPr="00140B7D" w:rsidRDefault="00DA3CDF" w:rsidP="00DA3CDF"/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Vývoj opravnej položky v priebehu účtovného obdobia je zobrazený v nasledujúcom prehľade:</w:t>
      </w:r>
    </w:p>
    <w:p w:rsidR="00DA3CDF" w:rsidRDefault="00DA3CDF" w:rsidP="00DA3CDF">
      <w:pPr>
        <w:pStyle w:val="BodyText"/>
      </w:pPr>
    </w:p>
    <w:p w:rsidR="00DA3CDF" w:rsidRPr="00AC1A9E" w:rsidRDefault="00DA3CDF" w:rsidP="00DA3CDF">
      <w:pPr>
        <w:pStyle w:val="BodyText"/>
        <w:rPr>
          <w:sz w:val="12"/>
          <w:szCs w:val="12"/>
        </w:rPr>
      </w:pPr>
    </w:p>
    <w:bookmarkStart w:id="20" w:name="_MON_1392532697"/>
    <w:bookmarkEnd w:id="20"/>
    <w:p w:rsidR="00DA3CDF" w:rsidRDefault="00EB7DCD" w:rsidP="00DA3CDF">
      <w:pPr>
        <w:pStyle w:val="BodyText"/>
      </w:pPr>
      <w:r>
        <w:object w:dxaOrig="9025" w:dyaOrig="4714">
          <v:shape id="_x0000_i1032" type="#_x0000_t75" style="width:451.5pt;height:235.5pt" o:ole="">
            <v:imagedata r:id="rId25" o:title=""/>
          </v:shape>
          <o:OLEObject Type="Embed" ProgID="Excel.Sheet.12" ShapeID="_x0000_i1032" DrawAspect="Content" ObjectID="_1488638192" r:id="rId26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lastRenderedPageBreak/>
        <w:t>Veková štruktúra pohľadávok za bežné účtovné obdobie je uvedená v nasledujúcom prehľade:</w:t>
      </w:r>
    </w:p>
    <w:p w:rsidR="00DA3CDF" w:rsidRDefault="00DA3CDF" w:rsidP="00DA3CDF">
      <w:pPr>
        <w:pStyle w:val="BodyText"/>
      </w:pPr>
    </w:p>
    <w:bookmarkStart w:id="21" w:name="_MON_1392532935"/>
    <w:bookmarkEnd w:id="21"/>
    <w:p w:rsidR="00DA3CDF" w:rsidRDefault="00CE589D" w:rsidP="00DA3CDF">
      <w:pPr>
        <w:pStyle w:val="BodyText"/>
      </w:pPr>
      <w:r>
        <w:object w:dxaOrig="8986" w:dyaOrig="6558">
          <v:shape id="_x0000_i1033" type="#_x0000_t75" style="width:448.5pt;height:327pt" o:ole="">
            <v:imagedata r:id="rId27" o:title=""/>
          </v:shape>
          <o:OLEObject Type="Embed" ProgID="Excel.Sheet.12" ShapeID="_x0000_i1033" DrawAspect="Content" ObjectID="_1488638193" r:id="rId28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lastRenderedPageBreak/>
        <w:t>Veková štruktúra pohľadávok za predchádzajúce účtovné obdobie je uvedená v nasledujúcom prehľade:</w:t>
      </w:r>
    </w:p>
    <w:p w:rsidR="00DA3CDF" w:rsidRPr="00AC1A9E" w:rsidRDefault="00DA3CDF" w:rsidP="00DA3CDF">
      <w:pPr>
        <w:pStyle w:val="BodyText"/>
        <w:rPr>
          <w:sz w:val="12"/>
          <w:szCs w:val="12"/>
        </w:rPr>
      </w:pPr>
    </w:p>
    <w:bookmarkStart w:id="22" w:name="_MON_1392532990"/>
    <w:bookmarkEnd w:id="22"/>
    <w:p w:rsidR="00DA3CDF" w:rsidRDefault="00CE589D" w:rsidP="00DA3CDF">
      <w:pPr>
        <w:pStyle w:val="BodyText"/>
      </w:pPr>
      <w:r>
        <w:object w:dxaOrig="8986" w:dyaOrig="6558">
          <v:shape id="_x0000_i1034" type="#_x0000_t75" style="width:448.5pt;height:327pt" o:ole="">
            <v:imagedata r:id="rId29" o:title=""/>
          </v:shape>
          <o:OLEObject Type="Embed" ProgID="Excel.Sheet.12" ShapeID="_x0000_i1034" DrawAspect="Content" ObjectID="_1488638194" r:id="rId30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Pohľadávky podľa zostatkovej doby splatnosti sú uvedené v nasledujúcom prehľade:</w:t>
      </w:r>
    </w:p>
    <w:p w:rsidR="00DA3CDF" w:rsidRPr="00AC1A9E" w:rsidRDefault="00DA3CDF" w:rsidP="00DA3CDF">
      <w:pPr>
        <w:pStyle w:val="BodyText"/>
        <w:rPr>
          <w:sz w:val="12"/>
          <w:szCs w:val="12"/>
        </w:rPr>
      </w:pPr>
    </w:p>
    <w:bookmarkStart w:id="23" w:name="_MON_1392533016"/>
    <w:bookmarkEnd w:id="23"/>
    <w:p w:rsidR="00DA3CDF" w:rsidRDefault="00CE589D" w:rsidP="00DA3CDF">
      <w:pPr>
        <w:pStyle w:val="BodyText"/>
      </w:pPr>
      <w:r>
        <w:object w:dxaOrig="9032" w:dyaOrig="3193">
          <v:shape id="_x0000_i1035" type="#_x0000_t75" style="width:451.5pt;height:159pt" o:ole="">
            <v:imagedata r:id="rId31" o:title=""/>
          </v:shape>
          <o:OLEObject Type="Embed" ProgID="Excel.Sheet.12" ShapeID="_x0000_i1035" DrawAspect="Content" ObjectID="_1488638195" r:id="rId32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Spoločnosť nemá pohľadávky zabezpečené záložným právom ani inou formou zabezpečenia.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EB7DCD" w:rsidRDefault="00EB7DCD" w:rsidP="00DA3CDF">
      <w:pPr>
        <w:pStyle w:val="BodyText"/>
      </w:pPr>
    </w:p>
    <w:p w:rsidR="00DA3CDF" w:rsidRPr="00423AFA" w:rsidRDefault="00DA3CDF" w:rsidP="00DA3CDF">
      <w:pPr>
        <w:pStyle w:val="BodyText"/>
        <w:ind w:left="0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</w:pPr>
      <w:bookmarkStart w:id="24" w:name="_Toc530739905"/>
      <w:r>
        <w:lastRenderedPageBreak/>
        <w:t>Finančné účty</w:t>
      </w:r>
      <w:bookmarkEnd w:id="24"/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 xml:space="preserve">Ako finančné účty sú vykázané peniaze v pokladnici, účty v bankách. Účtami v bankách môže Spoločnosť voľne disponovať, termínované vklady nemá. 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Prehľad jednotlivých položiek finančných účtov:</w:t>
      </w:r>
    </w:p>
    <w:p w:rsidR="00DA3CDF" w:rsidRPr="00CD0011" w:rsidRDefault="00DA3CDF" w:rsidP="00DA3CDF">
      <w:pPr>
        <w:pStyle w:val="BodyText"/>
        <w:rPr>
          <w:sz w:val="6"/>
          <w:szCs w:val="6"/>
        </w:rPr>
      </w:pPr>
    </w:p>
    <w:bookmarkStart w:id="25" w:name="_MON_1392533559"/>
    <w:bookmarkEnd w:id="25"/>
    <w:p w:rsidR="00DA3CDF" w:rsidRDefault="00CE589D" w:rsidP="00DA3CDF">
      <w:pPr>
        <w:pStyle w:val="BodyText"/>
      </w:pPr>
      <w:r>
        <w:object w:dxaOrig="8837" w:dyaOrig="2211">
          <v:shape id="_x0000_i1036" type="#_x0000_t75" style="width:441.75pt;height:110.25pt" o:ole="">
            <v:imagedata r:id="rId33" o:title=""/>
          </v:shape>
          <o:OLEObject Type="Embed" ProgID="Excel.Sheet.12" ShapeID="_x0000_i1036" DrawAspect="Content" ObjectID="_1488638196" r:id="rId34"/>
        </w:object>
      </w:r>
    </w:p>
    <w:p w:rsidR="00DA3CDF" w:rsidRDefault="00DA3CDF" w:rsidP="00DA3CDF">
      <w:pPr>
        <w:pStyle w:val="BodyText"/>
        <w:rPr>
          <w:b/>
        </w:rPr>
      </w:pPr>
    </w:p>
    <w:p w:rsidR="00DA3CDF" w:rsidRDefault="00DA3CDF" w:rsidP="00DA3CDF">
      <w:pPr>
        <w:pStyle w:val="Heading2"/>
      </w:pPr>
      <w:r>
        <w:t>Krátkodobý finančný majetok</w:t>
      </w:r>
    </w:p>
    <w:p w:rsidR="00DA3CDF" w:rsidRPr="00E11F38" w:rsidRDefault="00DA3CDF" w:rsidP="00DA3CDF"/>
    <w:p w:rsidR="00DA3CDF" w:rsidRDefault="00DA3CDF" w:rsidP="00DA3CDF">
      <w:pPr>
        <w:pStyle w:val="BodyText"/>
      </w:pPr>
      <w:r>
        <w:t>Spoločnosť v roku 201</w:t>
      </w:r>
      <w:r w:rsidR="00CE589D">
        <w:t>4</w:t>
      </w:r>
      <w:r>
        <w:t xml:space="preserve"> neúčtovala o</w:t>
      </w:r>
      <w:r w:rsidR="00EB7DCD">
        <w:t xml:space="preserve"> krátkodobom </w:t>
      </w:r>
      <w:r>
        <w:t>finančnom majetku.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</w:pPr>
      <w:bookmarkStart w:id="26" w:name="_Toc530739906"/>
      <w:r w:rsidRPr="00794C3E">
        <w:rPr>
          <w:szCs w:val="18"/>
        </w:rPr>
        <w:t>Č</w:t>
      </w:r>
      <w:r>
        <w:t>asové rozlíšenie</w:t>
      </w:r>
      <w:bookmarkEnd w:id="26"/>
      <w:r>
        <w:t xml:space="preserve"> na strane aktív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Prehľad významných položiek časového rozlíšenia na strane aktív</w:t>
      </w:r>
      <w:r w:rsidRPr="00AC097C">
        <w:t>:</w:t>
      </w:r>
    </w:p>
    <w:p w:rsidR="00DA3CDF" w:rsidRPr="00794C3E" w:rsidRDefault="00DA3CDF" w:rsidP="00DA3CDF">
      <w:pPr>
        <w:pStyle w:val="BodyText"/>
        <w:rPr>
          <w:sz w:val="6"/>
          <w:szCs w:val="6"/>
        </w:rPr>
      </w:pPr>
    </w:p>
    <w:bookmarkStart w:id="27" w:name="_MON_1392533751"/>
    <w:bookmarkEnd w:id="27"/>
    <w:p w:rsidR="00DA3CDF" w:rsidRDefault="00CE589D" w:rsidP="00DA3CDF">
      <w:pPr>
        <w:pStyle w:val="BodyText"/>
      </w:pPr>
      <w:r>
        <w:object w:dxaOrig="8727" w:dyaOrig="4520">
          <v:shape id="_x0000_i1037" type="#_x0000_t75" style="width:436.5pt;height:225.75pt" o:ole="">
            <v:imagedata r:id="rId35" o:title=""/>
          </v:shape>
          <o:OLEObject Type="Embed" ProgID="Excel.Sheet.12" ShapeID="_x0000_i1037" DrawAspect="Content" ObjectID="_1488638197" r:id="rId36"/>
        </w:object>
      </w:r>
    </w:p>
    <w:p w:rsidR="00DA3CDF" w:rsidRDefault="00DA3CDF" w:rsidP="00DA3CDF">
      <w:pPr>
        <w:pStyle w:val="BodyText"/>
        <w:rPr>
          <w:lang w:val="de-DE"/>
        </w:rPr>
      </w:pPr>
    </w:p>
    <w:p w:rsidR="00DA3CDF" w:rsidRPr="004E1874" w:rsidRDefault="00DA3CDF" w:rsidP="00DA3CDF">
      <w:pPr>
        <w:pStyle w:val="BodyText"/>
        <w:rPr>
          <w:lang w:val="de-DE"/>
        </w:rPr>
      </w:pPr>
    </w:p>
    <w:p w:rsidR="00DA3CDF" w:rsidRDefault="00DA3CDF" w:rsidP="00DA3CDF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údajoch na strane pasív súvahy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  <w:numPr>
          <w:ilvl w:val="0"/>
          <w:numId w:val="15"/>
        </w:numPr>
      </w:pPr>
      <w:bookmarkStart w:id="28" w:name="_Toc530739908"/>
      <w:r>
        <w:t>Vlastné imanie</w:t>
      </w:r>
    </w:p>
    <w:p w:rsidR="00DA3CDF" w:rsidRDefault="00DA3CDF" w:rsidP="00DA3CDF"/>
    <w:p w:rsidR="00DA3CDF" w:rsidRDefault="00DA3CDF" w:rsidP="00DA3CDF">
      <w:pPr>
        <w:pStyle w:val="BodyText"/>
      </w:pPr>
      <w:r>
        <w:t>Informácie o vlastnom imaní sú uvedené v časti C a P.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  <w:numPr>
          <w:ilvl w:val="0"/>
          <w:numId w:val="15"/>
        </w:numPr>
      </w:pPr>
      <w:r>
        <w:t>Rezervy</w:t>
      </w:r>
    </w:p>
    <w:bookmarkEnd w:id="28"/>
    <w:p w:rsidR="00DA3CDF" w:rsidRDefault="00DA3CDF" w:rsidP="00DA3CDF">
      <w:pPr>
        <w:pStyle w:val="BodyText"/>
      </w:pPr>
    </w:p>
    <w:p w:rsidR="00DA3CDF" w:rsidRPr="00EC0203" w:rsidRDefault="00DA3CDF" w:rsidP="00DA3CDF">
      <w:pPr>
        <w:pStyle w:val="BodyText"/>
      </w:pPr>
      <w:r>
        <w:t>Prehľad o rezervách za bežné účtovné obdobie je uvedený v nasledujúcom prehľade:</w:t>
      </w:r>
    </w:p>
    <w:p w:rsidR="00DA3CDF" w:rsidRDefault="00DA3CDF" w:rsidP="00DA3CDF">
      <w:pPr>
        <w:pStyle w:val="BodyText"/>
        <w:jc w:val="left"/>
      </w:pPr>
    </w:p>
    <w:bookmarkStart w:id="29" w:name="_MON_1392534033"/>
    <w:bookmarkStart w:id="30" w:name="_MON_1392534238"/>
    <w:bookmarkEnd w:id="29"/>
    <w:bookmarkEnd w:id="30"/>
    <w:p w:rsidR="00DA3CDF" w:rsidRDefault="00DA3CDF" w:rsidP="00DA3CDF">
      <w:pPr>
        <w:ind w:left="426"/>
        <w:rPr>
          <w:i/>
        </w:rPr>
      </w:pPr>
      <w:r w:rsidRPr="00E11F38">
        <w:rPr>
          <w:i/>
        </w:rPr>
        <w:object w:dxaOrig="8752" w:dyaOrig="4074">
          <v:shape id="_x0000_i1038" type="#_x0000_t75" style="width:438.75pt;height:228pt" o:ole="" o:preferrelative="f">
            <v:imagedata r:id="rId37" o:title=""/>
            <o:lock v:ext="edit" aspectratio="f"/>
          </v:shape>
          <o:OLEObject Type="Embed" ProgID="Excel.Sheet.12" ShapeID="_x0000_i1038" DrawAspect="Content" ObjectID="_1488638198" r:id="rId38"/>
        </w:object>
      </w:r>
      <w:bookmarkStart w:id="31" w:name="OLE_LINK17"/>
      <w:bookmarkStart w:id="32" w:name="OLE_LINK18"/>
    </w:p>
    <w:p w:rsidR="00DA3CDF" w:rsidRDefault="00DA3CDF" w:rsidP="00DA3CDF">
      <w:pPr>
        <w:ind w:left="426"/>
        <w:rPr>
          <w:i/>
        </w:rPr>
      </w:pPr>
    </w:p>
    <w:p w:rsidR="00DA3CDF" w:rsidRPr="00E91BE6" w:rsidRDefault="00DA3CDF" w:rsidP="00DA3CDF">
      <w:pPr>
        <w:ind w:left="426"/>
        <w:rPr>
          <w:i/>
        </w:rPr>
      </w:pPr>
    </w:p>
    <w:p w:rsidR="00DA3CDF" w:rsidRDefault="00DA3CDF" w:rsidP="00DA3CDF">
      <w:pPr>
        <w:pStyle w:val="BodyText"/>
      </w:pPr>
      <w:r>
        <w:t>Prehľad o rezervách za predchádzajúce účtovné obdobie je uvedený v nasledujúcom prehľade:</w:t>
      </w:r>
    </w:p>
    <w:p w:rsidR="00DA3CDF" w:rsidRDefault="00DA3CDF" w:rsidP="00DA3CDF">
      <w:pPr>
        <w:pStyle w:val="BodyText"/>
        <w:jc w:val="left"/>
      </w:pPr>
    </w:p>
    <w:bookmarkStart w:id="33" w:name="_MON_1392534389"/>
    <w:bookmarkEnd w:id="33"/>
    <w:p w:rsidR="00DA3CDF" w:rsidRDefault="00DA3CDF" w:rsidP="00DA3CDF">
      <w:pPr>
        <w:pStyle w:val="BodyText"/>
        <w:jc w:val="left"/>
      </w:pPr>
      <w:r>
        <w:object w:dxaOrig="8752" w:dyaOrig="4163">
          <v:shape id="_x0000_i1039" type="#_x0000_t75" style="width:437.25pt;height:207.75pt" o:ole="">
            <v:imagedata r:id="rId39" o:title=""/>
          </v:shape>
          <o:OLEObject Type="Embed" ProgID="Excel.Sheet.12" ShapeID="_x0000_i1039" DrawAspect="Content" ObjectID="_1488638199" r:id="rId40"/>
        </w:object>
      </w:r>
    </w:p>
    <w:bookmarkEnd w:id="31"/>
    <w:bookmarkEnd w:id="32"/>
    <w:p w:rsidR="00DA3CDF" w:rsidRDefault="00DA3CDF" w:rsidP="00DA3CDF">
      <w:pPr>
        <w:pStyle w:val="BodyText"/>
        <w:jc w:val="lef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</w:pPr>
      <w:bookmarkStart w:id="34" w:name="_Toc530739909"/>
      <w:r>
        <w:br w:type="page"/>
      </w:r>
      <w:r>
        <w:lastRenderedPageBreak/>
        <w:t>Záväzky</w:t>
      </w:r>
      <w:bookmarkEnd w:id="34"/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Štruktúra záväzkov (okrem bankových úverov) podľa zostatkovej doby splatnosti je uvedená v nasledujúcom prehľade:</w:t>
      </w:r>
    </w:p>
    <w:p w:rsidR="00DA3CDF" w:rsidRDefault="00DA3CDF" w:rsidP="00DA3CDF">
      <w:pPr>
        <w:pStyle w:val="BodyText"/>
      </w:pPr>
    </w:p>
    <w:bookmarkStart w:id="35" w:name="_MON_1392535014"/>
    <w:bookmarkEnd w:id="35"/>
    <w:p w:rsidR="00DA3CDF" w:rsidRDefault="002A4F14" w:rsidP="00DA3CDF">
      <w:pPr>
        <w:pStyle w:val="BodyText"/>
      </w:pPr>
      <w:r>
        <w:object w:dxaOrig="9164" w:dyaOrig="3106">
          <v:shape id="_x0000_i1040" type="#_x0000_t75" style="width:458.25pt;height:155.25pt" o:ole="">
            <v:imagedata r:id="rId41" o:title=""/>
          </v:shape>
          <o:OLEObject Type="Embed" ProgID="Excel.Sheet.12" ShapeID="_x0000_i1040" DrawAspect="Content" ObjectID="_1488638200" r:id="rId42"/>
        </w:object>
      </w:r>
    </w:p>
    <w:p w:rsidR="00DA3CDF" w:rsidRDefault="00DA3CDF" w:rsidP="00DA3CDF">
      <w:pPr>
        <w:pStyle w:val="BodyText"/>
        <w:ind w:left="0"/>
      </w:pPr>
      <w:r>
        <w:tab/>
        <w:t>Žiadne záväzky nie sú kryté záložným právom.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Prehľad ďalších záväzkov z titulu vydaných dlhopisov je v nasledujúcej tabuľke :</w:t>
      </w:r>
    </w:p>
    <w:p w:rsidR="00DA3CDF" w:rsidRDefault="00DA3CDF" w:rsidP="00DA3CDF">
      <w:pPr>
        <w:pStyle w:val="BodyText"/>
      </w:pPr>
    </w:p>
    <w:bookmarkStart w:id="36" w:name="_MON_1390765549"/>
    <w:bookmarkStart w:id="37" w:name="_MON_1390765370"/>
    <w:bookmarkEnd w:id="36"/>
    <w:bookmarkEnd w:id="37"/>
    <w:p w:rsidR="00DA3CDF" w:rsidRDefault="00DA3CDF" w:rsidP="00DA3CDF">
      <w:pPr>
        <w:pStyle w:val="BodyText"/>
      </w:pPr>
      <w:r>
        <w:object w:dxaOrig="9113" w:dyaOrig="1674">
          <v:shape id="_x0000_i1041" type="#_x0000_t75" style="width:456pt;height:84pt" o:ole="">
            <v:imagedata r:id="rId43" o:title=""/>
          </v:shape>
          <o:OLEObject Type="Embed" ProgID="Excel.Sheet.12" ShapeID="_x0000_i1041" DrawAspect="Content" ObjectID="_1488638201" r:id="rId44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</w:pPr>
      <w:bookmarkStart w:id="38" w:name="_Toc530739910"/>
      <w:r>
        <w:t>Odložený daňový záväzok</w:t>
      </w:r>
      <w:bookmarkEnd w:id="38"/>
      <w:r>
        <w:t xml:space="preserve"> /pohľadávka</w:t>
      </w:r>
    </w:p>
    <w:p w:rsidR="00DA3CDF" w:rsidRDefault="00DA3CDF" w:rsidP="00DA3CDF"/>
    <w:p w:rsidR="00DA3CDF" w:rsidRDefault="00DA3CDF" w:rsidP="00DA3CDF">
      <w:pPr>
        <w:pStyle w:val="BodyText"/>
      </w:pPr>
      <w:r>
        <w:t>Spoločnosť v roku 201</w:t>
      </w:r>
      <w:r w:rsidR="00CE589D">
        <w:t>4</w:t>
      </w:r>
      <w:r>
        <w:t xml:space="preserve"> neúčtovala o odloženom daňovom záväzku/pohľadávke.</w:t>
      </w:r>
    </w:p>
    <w:p w:rsidR="00DA3CDF" w:rsidRPr="003D140B" w:rsidRDefault="00DA3CDF" w:rsidP="00DA3CDF">
      <w:pPr>
        <w:pStyle w:val="BodyText"/>
      </w:pPr>
    </w:p>
    <w:p w:rsidR="00DA3CDF" w:rsidRPr="003D140B" w:rsidRDefault="00DA3CDF" w:rsidP="00DA3CDF">
      <w:pPr>
        <w:pStyle w:val="BodyText"/>
      </w:pPr>
    </w:p>
    <w:p w:rsidR="00DA3CDF" w:rsidRDefault="00DA3CDF" w:rsidP="00DA3CDF">
      <w:pPr>
        <w:pStyle w:val="Heading2"/>
      </w:pPr>
      <w:bookmarkStart w:id="39" w:name="_Toc530739911"/>
      <w:r>
        <w:t>Sociálny fond</w:t>
      </w:r>
      <w:bookmarkEnd w:id="39"/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Tvorba a čerpanie sociálneho fondu v priebehu účtovného obdobia sú znázornené v nasledujúcom prehľade:</w:t>
      </w:r>
    </w:p>
    <w:p w:rsidR="00DA3CDF" w:rsidRDefault="00DA3CDF" w:rsidP="00DA3CDF">
      <w:pPr>
        <w:pStyle w:val="BodyText"/>
      </w:pPr>
    </w:p>
    <w:bookmarkStart w:id="40" w:name="_MON_1392545953"/>
    <w:bookmarkEnd w:id="40"/>
    <w:p w:rsidR="00DA3CDF" w:rsidRDefault="00CE589D" w:rsidP="00DA3CDF">
      <w:pPr>
        <w:pStyle w:val="BodyText"/>
      </w:pPr>
      <w:r>
        <w:object w:dxaOrig="8582" w:dyaOrig="2602">
          <v:shape id="_x0000_i1042" type="#_x0000_t75" style="width:429pt;height:129.75pt" o:ole="">
            <v:imagedata r:id="rId45" o:title=""/>
          </v:shape>
          <o:OLEObject Type="Embed" ProgID="Excel.Sheet.12" ShapeID="_x0000_i1042" DrawAspect="Content" ObjectID="_1488638202" r:id="rId46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</w:pPr>
      <w:bookmarkStart w:id="41" w:name="_Toc530739912"/>
      <w:r>
        <w:br w:type="page"/>
      </w:r>
      <w:r>
        <w:lastRenderedPageBreak/>
        <w:t>Bankové úvery</w:t>
      </w:r>
      <w:bookmarkEnd w:id="41"/>
      <w:r>
        <w:t>, pôžičky a krátkodobé finančné výpomoci</w:t>
      </w:r>
    </w:p>
    <w:p w:rsidR="00DA3CDF" w:rsidRDefault="00DA3CDF" w:rsidP="00DA3CDF">
      <w:pPr>
        <w:ind w:left="360"/>
      </w:pPr>
    </w:p>
    <w:p w:rsidR="00DA3CDF" w:rsidRPr="008F6EBE" w:rsidRDefault="00DA3CDF" w:rsidP="00DA3CDF">
      <w:pPr>
        <w:ind w:left="360"/>
      </w:pPr>
      <w:r>
        <w:t>Spoločnosť v roku 201</w:t>
      </w:r>
      <w:r w:rsidR="00CE589D">
        <w:t>4</w:t>
      </w:r>
      <w:r>
        <w:t xml:space="preserve"> neúčtovala  o bankových úveroch, pôžičkách a krátkodobých finančných výpomociach.</w:t>
      </w:r>
    </w:p>
    <w:p w:rsidR="00DA3CDF" w:rsidRDefault="00DA3CDF" w:rsidP="00DA3CDF">
      <w:pPr>
        <w:pStyle w:val="BodyText"/>
      </w:pPr>
    </w:p>
    <w:p w:rsidR="00DA3CDF" w:rsidRDefault="00D272D7" w:rsidP="00DA3CDF">
      <w:pPr>
        <w:pStyle w:val="Heading2"/>
      </w:pPr>
      <w:bookmarkStart w:id="42" w:name="_Toc530739913"/>
      <w:r>
        <w:t>Č</w:t>
      </w:r>
      <w:r w:rsidR="00DA3CDF">
        <w:t>asové rozlíšenie</w:t>
      </w:r>
      <w:bookmarkEnd w:id="42"/>
      <w:r w:rsidR="00DA3CDF" w:rsidRPr="00E55BFD">
        <w:t xml:space="preserve"> </w:t>
      </w:r>
      <w:r w:rsidR="00DA3CDF">
        <w:t>na strane pasív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Významné položky časového rozlíšenia na strane pasív sú uvedené v v nasledujúcom prehľade:</w:t>
      </w:r>
    </w:p>
    <w:p w:rsidR="00DA3CDF" w:rsidRPr="00E55BFD" w:rsidRDefault="00DA3CDF" w:rsidP="00DA3CDF">
      <w:pPr>
        <w:pStyle w:val="BodyText"/>
        <w:rPr>
          <w:sz w:val="12"/>
          <w:szCs w:val="12"/>
        </w:rPr>
      </w:pPr>
    </w:p>
    <w:bookmarkStart w:id="43" w:name="_MON_1390768106"/>
    <w:bookmarkStart w:id="44" w:name="_MON_1390768167"/>
    <w:bookmarkStart w:id="45" w:name="_MON_1390767541"/>
    <w:bookmarkStart w:id="46" w:name="_MON_1390767656"/>
    <w:bookmarkStart w:id="47" w:name="_MON_1390768078"/>
    <w:bookmarkStart w:id="48" w:name="_MON_1392535842"/>
    <w:bookmarkStart w:id="49" w:name="_MON_1392535933"/>
    <w:bookmarkEnd w:id="43"/>
    <w:bookmarkEnd w:id="44"/>
    <w:bookmarkEnd w:id="45"/>
    <w:bookmarkEnd w:id="46"/>
    <w:bookmarkEnd w:id="47"/>
    <w:bookmarkEnd w:id="48"/>
    <w:bookmarkEnd w:id="49"/>
    <w:p w:rsidR="00DA3CDF" w:rsidRDefault="00DA3CDF" w:rsidP="00DA3CDF">
      <w:pPr>
        <w:pStyle w:val="BodyText"/>
      </w:pPr>
      <w:r>
        <w:object w:dxaOrig="8810" w:dyaOrig="4361">
          <v:shape id="_x0000_i1043" type="#_x0000_t75" style="width:440.25pt;height:218.25pt" o:ole="">
            <v:imagedata r:id="rId47" o:title=""/>
          </v:shape>
          <o:OLEObject Type="Embed" ProgID="Excel.Sheet.12" ShapeID="_x0000_i1043" DrawAspect="Content" ObjectID="_1488638203" r:id="rId48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:rsidR="00DA3CDF" w:rsidRDefault="00DA3CDF" w:rsidP="00DA3CDF">
      <w:pPr>
        <w:pStyle w:val="Heading2"/>
        <w:numPr>
          <w:ilvl w:val="0"/>
          <w:numId w:val="0"/>
        </w:numPr>
      </w:pPr>
      <w:bookmarkStart w:id="50" w:name="_Toc530739914"/>
    </w:p>
    <w:p w:rsidR="00DA3CDF" w:rsidRDefault="00DA3CDF" w:rsidP="00DA3CDF">
      <w:pPr>
        <w:pStyle w:val="Heading2"/>
        <w:numPr>
          <w:ilvl w:val="0"/>
          <w:numId w:val="22"/>
        </w:numPr>
      </w:pPr>
      <w:r>
        <w:t>Tržby za vlastné výkony a tovar</w:t>
      </w:r>
      <w:bookmarkEnd w:id="50"/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DA3CDF" w:rsidRDefault="00DA3CDF" w:rsidP="00DA3CDF">
      <w:pPr>
        <w:pStyle w:val="BodyText"/>
      </w:pPr>
    </w:p>
    <w:bookmarkStart w:id="51" w:name="_MON_1390769921"/>
    <w:bookmarkStart w:id="52" w:name="_MON_1392536058"/>
    <w:bookmarkStart w:id="53" w:name="_MON_1392536220"/>
    <w:bookmarkStart w:id="54" w:name="_MON_1392536238"/>
    <w:bookmarkEnd w:id="51"/>
    <w:bookmarkEnd w:id="52"/>
    <w:bookmarkEnd w:id="53"/>
    <w:bookmarkEnd w:id="54"/>
    <w:p w:rsidR="00DA3CDF" w:rsidRDefault="00187DBB" w:rsidP="00DA3CDF">
      <w:pPr>
        <w:pStyle w:val="BodyText"/>
      </w:pPr>
      <w:r>
        <w:object w:dxaOrig="8503" w:dyaOrig="1979">
          <v:shape id="_x0000_i1044" type="#_x0000_t75" style="width:425.25pt;height:99pt" o:ole="">
            <v:imagedata r:id="rId49" o:title=""/>
          </v:shape>
          <o:OLEObject Type="Embed" ProgID="Excel.Sheet.12" ShapeID="_x0000_i1044" DrawAspect="Content" ObjectID="_1488638204" r:id="rId50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EB7DCD" w:rsidRDefault="00EB7DCD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  <w:ind w:left="0"/>
      </w:pP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 nákladoch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Heading2"/>
        <w:numPr>
          <w:ilvl w:val="0"/>
          <w:numId w:val="21"/>
        </w:numPr>
      </w:pPr>
      <w:r>
        <w:t xml:space="preserve">Náklady na poskytnuté služby, ostatné náklady na hospodársku činnosť, finančné a mimoriadne náklady </w:t>
      </w:r>
    </w:p>
    <w:p w:rsidR="00DA3CDF" w:rsidRDefault="00DA3CDF" w:rsidP="00DA3CDF"/>
    <w:p w:rsidR="00DA3CDF" w:rsidRDefault="00DA3CDF" w:rsidP="00DA3CDF">
      <w:pPr>
        <w:pStyle w:val="BodyText"/>
      </w:pPr>
      <w:r w:rsidRPr="00BF5606">
        <w:t>Prehľad o nákladoch na poskytnuté služby</w:t>
      </w:r>
      <w:r>
        <w:t>, ostatných nákladoch na hospodársku činnosť, finančných a mimoriadnych nákladoch</w:t>
      </w:r>
      <w:r w:rsidRPr="00BF5606">
        <w:t>:</w:t>
      </w:r>
    </w:p>
    <w:bookmarkStart w:id="55" w:name="_MON_1390772832"/>
    <w:bookmarkStart w:id="56" w:name="_MON_1390772950"/>
    <w:bookmarkStart w:id="57" w:name="_MON_1390773183"/>
    <w:bookmarkStart w:id="58" w:name="_MON_1392536962"/>
    <w:bookmarkStart w:id="59" w:name="_MON_1392537611"/>
    <w:bookmarkEnd w:id="55"/>
    <w:bookmarkEnd w:id="56"/>
    <w:bookmarkEnd w:id="57"/>
    <w:bookmarkEnd w:id="58"/>
    <w:bookmarkEnd w:id="59"/>
    <w:p w:rsidR="00DA3CDF" w:rsidRDefault="00187DBB" w:rsidP="00DA3CDF">
      <w:pPr>
        <w:pStyle w:val="BodyText"/>
      </w:pPr>
      <w:r>
        <w:object w:dxaOrig="8484" w:dyaOrig="6865">
          <v:shape id="_x0000_i1045" type="#_x0000_t75" style="width:424.5pt;height:384pt" o:ole="" o:preferrelative="f">
            <v:imagedata r:id="rId51" o:title=""/>
            <o:lock v:ext="edit" aspectratio="f"/>
          </v:shape>
          <o:OLEObject Type="Embed" ProgID="Excel.Sheet.12" ShapeID="_x0000_i1045" DrawAspect="Content" ObjectID="_1488638205" r:id="rId52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Pr="009A0A45" w:rsidRDefault="00DA3CDF" w:rsidP="00DA3CDF">
      <w:pPr>
        <w:pStyle w:val="BodyText"/>
        <w:rPr>
          <w:lang w:val="de-DE"/>
        </w:rPr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br w:type="page"/>
      </w: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daniach z príjmov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Prevod od teoretickej dane z príjmov k vykázanej dani z príjmov je uvedený v nasledujúcom prehľade:</w:t>
      </w:r>
    </w:p>
    <w:p w:rsidR="00DA3CDF" w:rsidRDefault="00DA3CDF" w:rsidP="00DA3CDF">
      <w:pPr>
        <w:pStyle w:val="BodyText"/>
      </w:pPr>
    </w:p>
    <w:bookmarkStart w:id="60" w:name="_MON_1390773672"/>
    <w:bookmarkStart w:id="61" w:name="_MON_1390773729"/>
    <w:bookmarkStart w:id="62" w:name="_MON_1390773250"/>
    <w:bookmarkStart w:id="63" w:name="_MON_1390773607"/>
    <w:bookmarkStart w:id="64" w:name="_MON_1390773647"/>
    <w:bookmarkStart w:id="65" w:name="_MON_1392537944"/>
    <w:bookmarkStart w:id="66" w:name="_MON_1392538011"/>
    <w:bookmarkStart w:id="67" w:name="_MON_1392538032"/>
    <w:bookmarkEnd w:id="60"/>
    <w:bookmarkEnd w:id="61"/>
    <w:bookmarkEnd w:id="62"/>
    <w:bookmarkEnd w:id="63"/>
    <w:bookmarkEnd w:id="64"/>
    <w:bookmarkEnd w:id="65"/>
    <w:bookmarkEnd w:id="66"/>
    <w:bookmarkEnd w:id="67"/>
    <w:p w:rsidR="00DA3CDF" w:rsidRDefault="00D272D7" w:rsidP="00DA3CDF">
      <w:pPr>
        <w:pStyle w:val="BodyText"/>
      </w:pPr>
      <w:r w:rsidRPr="00003C63">
        <w:object w:dxaOrig="10124" w:dyaOrig="3814">
          <v:shape id="_x0000_i1046" type="#_x0000_t75" style="width:489.75pt;height:204.75pt" o:ole="" o:preferrelative="f">
            <v:imagedata r:id="rId53" o:title=""/>
            <o:lock v:ext="edit" aspectratio="f"/>
          </v:shape>
          <o:OLEObject Type="Embed" ProgID="Excel.Sheet.12" ShapeID="_x0000_i1046" DrawAspect="Content" ObjectID="_1488638206" r:id="rId54"/>
        </w:object>
      </w:r>
    </w:p>
    <w:p w:rsidR="00DA3CDF" w:rsidRDefault="00DA3CDF" w:rsidP="00DA3CDF">
      <w:pPr>
        <w:pStyle w:val="BodyText"/>
        <w:ind w:left="0"/>
        <w:rPr>
          <w:lang w:val="de-DE"/>
        </w:rPr>
      </w:pP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r>
        <w:t>Informácie o údajoch na podsúvahových  účtoch</w:t>
      </w:r>
    </w:p>
    <w:p w:rsidR="00DA3CDF" w:rsidRDefault="00DA3CDF" w:rsidP="00DA3CDF">
      <w:pPr>
        <w:pStyle w:val="BodyText"/>
        <w:ind w:left="0"/>
      </w:pPr>
    </w:p>
    <w:p w:rsidR="00DA3CDF" w:rsidRDefault="00DA3CDF" w:rsidP="00DA3CDF">
      <w:pPr>
        <w:pStyle w:val="BodyText"/>
      </w:pPr>
      <w:bookmarkStart w:id="68" w:name="OLE_LINK1"/>
      <w:bookmarkStart w:id="69" w:name="OLE_LINK2"/>
      <w:r>
        <w:t xml:space="preserve">Spoločnosť </w:t>
      </w:r>
      <w:bookmarkEnd w:id="68"/>
      <w:bookmarkEnd w:id="69"/>
      <w:r>
        <w:t>neeviduje majetok na podsúvahových účtoch.</w: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  <w:ind w:left="0"/>
      </w:pPr>
    </w:p>
    <w:p w:rsidR="00DA3CDF" w:rsidRDefault="00DA3CDF" w:rsidP="00DA3CDF">
      <w:pPr>
        <w:pStyle w:val="BodyText"/>
        <w:ind w:left="0"/>
      </w:pP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bookmarkStart w:id="70" w:name="_Toc530739924"/>
      <w:r>
        <w:t>Informácie o ekonomických vzťahoch účtovnej jednotky a spriaznených osôb</w:t>
      </w:r>
      <w:bookmarkEnd w:id="70"/>
    </w:p>
    <w:p w:rsidR="00DA3CDF" w:rsidRDefault="00DA3CDF" w:rsidP="00DA3CDF">
      <w:pPr>
        <w:pStyle w:val="BodyText"/>
      </w:pPr>
    </w:p>
    <w:p w:rsidR="00DA3CDF" w:rsidRPr="002F770F" w:rsidRDefault="00DA3CDF" w:rsidP="00DA3CDF">
      <w:pPr>
        <w:pStyle w:val="BodyText"/>
      </w:pP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bookmarkStart w:id="71" w:name="_Toc530739925"/>
      <w:r>
        <w:t>Informácie o skutočnostiach, ktoré nastali po dni, ku ktorému sa zostavuje účtovná závierka, do dňa zostavenia účtovnej závierky</w:t>
      </w:r>
      <w:bookmarkEnd w:id="71"/>
    </w:p>
    <w:p w:rsidR="00DA3CDF" w:rsidRDefault="00DA3CDF" w:rsidP="00DA3CDF">
      <w:pPr>
        <w:pStyle w:val="BodyText"/>
      </w:pPr>
    </w:p>
    <w:p w:rsidR="00DA3CDF" w:rsidRDefault="00DA3CDF" w:rsidP="00DA3CDF">
      <w:pPr>
        <w:spacing w:after="200" w:line="276" w:lineRule="auto"/>
        <w:rPr>
          <w:b/>
          <w:caps/>
          <w:sz w:val="18"/>
        </w:rPr>
      </w:pPr>
      <w:bookmarkStart w:id="72" w:name="_Toc530739907"/>
      <w:r>
        <w:br w:type="page"/>
      </w:r>
    </w:p>
    <w:p w:rsidR="00DA3CDF" w:rsidRDefault="00DA3CDF" w:rsidP="00DA3CDF">
      <w:pPr>
        <w:pStyle w:val="Heading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 Vlastnom imaní</w:t>
      </w:r>
      <w:bookmarkEnd w:id="72"/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Prehľad o pohybe vlastného imania v priebehu účtovného obdobia je uvedený v nasledujúcej tabuľke:</w:t>
      </w:r>
    </w:p>
    <w:p w:rsidR="00DA3CDF" w:rsidRDefault="00DA3CDF" w:rsidP="00DA3CDF">
      <w:pPr>
        <w:pStyle w:val="BodyText"/>
        <w:ind w:left="0"/>
      </w:pPr>
    </w:p>
    <w:bookmarkStart w:id="73" w:name="_MON_1392545590"/>
    <w:bookmarkEnd w:id="73"/>
    <w:p w:rsidR="00DA3CDF" w:rsidRDefault="002A4F14" w:rsidP="00DA3CDF">
      <w:pPr>
        <w:pStyle w:val="BodyText"/>
      </w:pPr>
      <w:r>
        <w:object w:dxaOrig="9431" w:dyaOrig="7444">
          <v:shape id="_x0000_i1047" type="#_x0000_t75" style="width:447.75pt;height:395.25pt" o:ole="" o:preferrelative="f">
            <v:imagedata r:id="rId55" o:title=""/>
            <o:lock v:ext="edit" aspectratio="f"/>
          </v:shape>
          <o:OLEObject Type="Embed" ProgID="Excel.Sheet.12" ShapeID="_x0000_i1047" DrawAspect="Content" ObjectID="_1488638207" r:id="rId56"/>
        </w:object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  <w:r>
        <w:t>Dátum:</w:t>
      </w:r>
      <w:r>
        <w:tab/>
      </w:r>
      <w:r w:rsidR="00C9661D">
        <w:t>20</w:t>
      </w:r>
      <w:r w:rsidR="0069644B">
        <w:t>.</w:t>
      </w:r>
      <w:r w:rsidR="00EE04B4">
        <w:t>0</w:t>
      </w:r>
      <w:r w:rsidR="0069644B">
        <w:t>3.201</w:t>
      </w:r>
      <w:r w:rsidR="003C3E7C">
        <w:t>5</w:t>
      </w:r>
      <w:r>
        <w:tab/>
      </w:r>
      <w:r>
        <w:tab/>
      </w:r>
      <w:r>
        <w:tab/>
      </w: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A3CDF" w:rsidRDefault="00DA3CDF" w:rsidP="00DA3CDF">
      <w:pPr>
        <w:pStyle w:val="BodyText"/>
      </w:pPr>
    </w:p>
    <w:p w:rsidR="00D53957" w:rsidRDefault="00D53957"/>
    <w:sectPr w:rsidR="00D53957" w:rsidSect="00D5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60F" w:rsidRDefault="00CE560F" w:rsidP="00EB7DCD">
      <w:r>
        <w:separator/>
      </w:r>
    </w:p>
  </w:endnote>
  <w:endnote w:type="continuationSeparator" w:id="0">
    <w:p w:rsidR="00CE560F" w:rsidRDefault="00CE560F" w:rsidP="00EB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73649"/>
      <w:docPartObj>
        <w:docPartGallery w:val="Page Numbers (Bottom of Page)"/>
        <w:docPartUnique/>
      </w:docPartObj>
    </w:sdtPr>
    <w:sdtEndPr/>
    <w:sdtContent>
      <w:p w:rsidR="002A4F14" w:rsidRDefault="002A4F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40DA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2A4F14" w:rsidRDefault="002A4F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F14" w:rsidRDefault="002A4F14" w:rsidP="00EB7DCD">
    <w:pPr>
      <w:pStyle w:val="Footer"/>
      <w:tabs>
        <w:tab w:val="clear" w:pos="4536"/>
      </w:tabs>
      <w:jc w:val="right"/>
    </w:pPr>
    <w:r>
      <w:rPr>
        <w:sz w:val="16"/>
        <w:szCs w:val="16"/>
      </w:rPr>
      <w:tab/>
    </w:r>
  </w:p>
  <w:p w:rsidR="002A4F14" w:rsidRDefault="002A4F14" w:rsidP="00EB7DCD">
    <w:pPr>
      <w:jc w:val="both"/>
      <w:rPr>
        <w:sz w:val="16"/>
        <w:szCs w:val="16"/>
      </w:rPr>
    </w:pPr>
  </w:p>
  <w:p w:rsidR="002A4F14" w:rsidRPr="0058479C" w:rsidRDefault="002A4F14" w:rsidP="00EB7DCD">
    <w:pPr>
      <w:jc w:val="both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60F" w:rsidRDefault="00CE560F" w:rsidP="00EB7DCD">
      <w:r>
        <w:separator/>
      </w:r>
    </w:p>
  </w:footnote>
  <w:footnote w:type="continuationSeparator" w:id="0">
    <w:p w:rsidR="00CE560F" w:rsidRDefault="00CE560F" w:rsidP="00EB7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F14" w:rsidRPr="00E95128" w:rsidRDefault="002A4F14" w:rsidP="00EB7DCD">
    <w:pPr>
      <w:pStyle w:val="Header"/>
      <w:tabs>
        <w:tab w:val="center" w:pos="4820"/>
        <w:tab w:val="right" w:pos="9214"/>
      </w:tabs>
      <w:jc w:val="right"/>
      <w:rPr>
        <w:sz w:val="18"/>
      </w:rPr>
    </w:pP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2A4F14" w:rsidRPr="00E95128" w:rsidRDefault="002A4F14" w:rsidP="00EB7DCD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  <w:r>
      <w:rPr>
        <w:b/>
        <w:bCs/>
        <w:sz w:val="18"/>
        <w:szCs w:val="18"/>
      </w:rPr>
      <w:tab/>
      <w:t xml:space="preserve">FALBAU </w:t>
    </w:r>
    <w:r w:rsidRPr="00E95128">
      <w:rPr>
        <w:b/>
        <w:bCs/>
        <w:sz w:val="18"/>
        <w:szCs w:val="18"/>
      </w:rPr>
      <w:t xml:space="preserve"> s</w:t>
    </w:r>
    <w:r>
      <w:rPr>
        <w:b/>
        <w:bCs/>
        <w:sz w:val="18"/>
        <w:szCs w:val="18"/>
      </w:rPr>
      <w:t>.</w:t>
    </w:r>
    <w:r w:rsidRPr="00E95128">
      <w:rPr>
        <w:b/>
        <w:bCs/>
        <w:sz w:val="18"/>
        <w:szCs w:val="18"/>
      </w:rPr>
      <w:t>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2014</w:t>
    </w:r>
  </w:p>
  <w:p w:rsidR="002A4F14" w:rsidRPr="00E95128" w:rsidRDefault="002A4F14" w:rsidP="00EB7DCD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  <w:p w:rsidR="002A4F14" w:rsidRPr="003A103A" w:rsidRDefault="002A4F14" w:rsidP="00EB7D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05D60CE"/>
    <w:multiLevelType w:val="hybridMultilevel"/>
    <w:tmpl w:val="C5B8BFBA"/>
    <w:lvl w:ilvl="0" w:tplc="2796EEC6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5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0">
    <w:nsid w:val="34485DDD"/>
    <w:multiLevelType w:val="hybridMultilevel"/>
    <w:tmpl w:val="90407E3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BE61C3"/>
    <w:multiLevelType w:val="singleLevel"/>
    <w:tmpl w:val="E6BC554C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3">
    <w:nsid w:val="73473C13"/>
    <w:multiLevelType w:val="singleLevel"/>
    <w:tmpl w:val="2A50B936"/>
    <w:lvl w:ilvl="0">
      <w:start w:val="1"/>
      <w:numFmt w:val="upperLetter"/>
      <w:pStyle w:val="Heading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4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14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5"/>
  </w:num>
  <w:num w:numId="7">
    <w:abstractNumId w:val="2"/>
  </w:num>
  <w:num w:numId="8">
    <w:abstractNumId w:val="4"/>
  </w:num>
  <w:num w:numId="9">
    <w:abstractNumId w:val="5"/>
  </w:num>
  <w:num w:numId="10">
    <w:abstractNumId w:val="11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1"/>
    <w:lvlOverride w:ilvl="0">
      <w:startOverride w:val="1"/>
    </w:lvlOverride>
  </w:num>
  <w:num w:numId="14">
    <w:abstractNumId w:val="1"/>
  </w:num>
  <w:num w:numId="15">
    <w:abstractNumId w:val="11"/>
    <w:lvlOverride w:ilvl="0">
      <w:startOverride w:val="1"/>
    </w:lvlOverride>
  </w:num>
  <w:num w:numId="16">
    <w:abstractNumId w:val="12"/>
  </w:num>
  <w:num w:numId="17">
    <w:abstractNumId w:val="7"/>
  </w:num>
  <w:num w:numId="18">
    <w:abstractNumId w:val="6"/>
  </w:num>
  <w:num w:numId="19">
    <w:abstractNumId w:val="16"/>
  </w:num>
  <w:num w:numId="20">
    <w:abstractNumId w:val="11"/>
    <w:lvlOverride w:ilvl="0">
      <w:startOverride w:val="1"/>
    </w:lvlOverride>
  </w:num>
  <w:num w:numId="21">
    <w:abstractNumId w:val="11"/>
    <w:lvlOverride w:ilvl="0">
      <w:startOverride w:val="1"/>
    </w:lvlOverride>
  </w:num>
  <w:num w:numId="22">
    <w:abstractNumId w:val="11"/>
    <w:lvlOverride w:ilvl="0">
      <w:startOverride w:val="1"/>
    </w:lvlOverride>
  </w:num>
  <w:num w:numId="23">
    <w:abstractNumId w:val="11"/>
    <w:lvlOverride w:ilvl="0">
      <w:startOverride w:val="1"/>
    </w:lvlOverride>
  </w:num>
  <w:num w:numId="24">
    <w:abstractNumId w:val="11"/>
    <w:lvlOverride w:ilvl="0">
      <w:startOverride w:val="1"/>
    </w:lvlOverride>
  </w:num>
  <w:num w:numId="25">
    <w:abstractNumId w:val="9"/>
    <w:lvlOverride w:ilvl="0">
      <w:startOverride w:val="1"/>
    </w:lvlOverride>
  </w:num>
  <w:num w:numId="26">
    <w:abstractNumId w:val="11"/>
    <w:lvlOverride w:ilvl="0">
      <w:startOverride w:val="4"/>
    </w:lvlOverride>
  </w:num>
  <w:num w:numId="27">
    <w:abstractNumId w:val="1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CDF"/>
    <w:rsid w:val="0012461F"/>
    <w:rsid w:val="0015301E"/>
    <w:rsid w:val="00187DBB"/>
    <w:rsid w:val="00292888"/>
    <w:rsid w:val="002A4F14"/>
    <w:rsid w:val="0033674D"/>
    <w:rsid w:val="00363A2A"/>
    <w:rsid w:val="003C3E7C"/>
    <w:rsid w:val="00443FD8"/>
    <w:rsid w:val="0056077D"/>
    <w:rsid w:val="00625289"/>
    <w:rsid w:val="006340DA"/>
    <w:rsid w:val="00690F57"/>
    <w:rsid w:val="0069644B"/>
    <w:rsid w:val="00757E57"/>
    <w:rsid w:val="007B65C4"/>
    <w:rsid w:val="0084484A"/>
    <w:rsid w:val="00895141"/>
    <w:rsid w:val="00B054AD"/>
    <w:rsid w:val="00B13FE8"/>
    <w:rsid w:val="00B66BCD"/>
    <w:rsid w:val="00BB3F26"/>
    <w:rsid w:val="00C9661D"/>
    <w:rsid w:val="00CE560F"/>
    <w:rsid w:val="00CE589D"/>
    <w:rsid w:val="00D1021C"/>
    <w:rsid w:val="00D272D7"/>
    <w:rsid w:val="00D53957"/>
    <w:rsid w:val="00D90C8C"/>
    <w:rsid w:val="00D94212"/>
    <w:rsid w:val="00DA3CDF"/>
    <w:rsid w:val="00E8013C"/>
    <w:rsid w:val="00EB7DCD"/>
    <w:rsid w:val="00ED198F"/>
    <w:rsid w:val="00EE04B4"/>
    <w:rsid w:val="00EE7588"/>
    <w:rsid w:val="00F11F90"/>
    <w:rsid w:val="00F12F24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CDF"/>
    <w:pPr>
      <w:spacing w:before="0"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A3CDF"/>
    <w:pPr>
      <w:keepNext/>
      <w:numPr>
        <w:numId w:val="1"/>
      </w:numPr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qFormat/>
    <w:rsid w:val="00DA3CDF"/>
    <w:pPr>
      <w:keepNext/>
      <w:numPr>
        <w:numId w:val="2"/>
      </w:numPr>
      <w:outlineLvl w:val="1"/>
    </w:pPr>
    <w:rPr>
      <w:b/>
      <w:sz w:val="18"/>
    </w:rPr>
  </w:style>
  <w:style w:type="paragraph" w:styleId="Heading6">
    <w:name w:val="heading 6"/>
    <w:basedOn w:val="Normal"/>
    <w:next w:val="Normal"/>
    <w:link w:val="Heading6Char"/>
    <w:qFormat/>
    <w:rsid w:val="00DA3CDF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CD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3CDF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DA3CDF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DA3CDF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C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nhideWhenUsed/>
    <w:rsid w:val="00DA3C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A3CD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A3CD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CD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A3CDF"/>
    <w:rPr>
      <w:rFonts w:cs="Times New Roman"/>
    </w:rPr>
  </w:style>
  <w:style w:type="paragraph" w:styleId="BodyText">
    <w:name w:val="Body Text"/>
    <w:basedOn w:val="Normal"/>
    <w:link w:val="BodyTextChar"/>
    <w:rsid w:val="00DA3CDF"/>
    <w:pPr>
      <w:ind w:left="426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rsid w:val="00DA3CDF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al"/>
    <w:rsid w:val="00DA3CDF"/>
    <w:pPr>
      <w:ind w:left="284" w:hanging="284"/>
      <w:jc w:val="both"/>
    </w:pPr>
    <w:rPr>
      <w:sz w:val="22"/>
    </w:rPr>
  </w:style>
  <w:style w:type="paragraph" w:customStyle="1" w:styleId="lita">
    <w:name w:val="lit_a"/>
    <w:basedOn w:val="Normal"/>
    <w:rsid w:val="00DA3CDF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rsid w:val="00DA3CDF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locked/>
    <w:rsid w:val="00DA3CDF"/>
    <w:rPr>
      <w:rFonts w:ascii="Times" w:eastAsia="Times New Roman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qFormat/>
    <w:rsid w:val="00DA3CDF"/>
    <w:pPr>
      <w:ind w:left="708"/>
    </w:pPr>
  </w:style>
  <w:style w:type="paragraph" w:customStyle="1" w:styleId="Tabulka">
    <w:name w:val="Tabulka"/>
    <w:basedOn w:val="Normal"/>
    <w:rsid w:val="00DA3CDF"/>
    <w:rPr>
      <w:color w:val="000000"/>
      <w:sz w:val="18"/>
    </w:rPr>
  </w:style>
  <w:style w:type="paragraph" w:customStyle="1" w:styleId="Pismenka">
    <w:name w:val="Pismenka"/>
    <w:basedOn w:val="BodyText"/>
    <w:rsid w:val="00DA3CDF"/>
    <w:pPr>
      <w:numPr>
        <w:numId w:val="6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CDF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CDF"/>
    <w:rPr>
      <w:rFonts w:ascii="Tahoma" w:hAnsi="Tahoma" w:cs="Tahoma"/>
      <w:sz w:val="16"/>
      <w:szCs w:val="16"/>
    </w:rPr>
  </w:style>
  <w:style w:type="paragraph" w:customStyle="1" w:styleId="TopHeader">
    <w:name w:val="Top Header"/>
    <w:basedOn w:val="Normal"/>
    <w:uiPriority w:val="99"/>
    <w:rsid w:val="00DA3CDF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customStyle="1" w:styleId="Value">
    <w:name w:val="Value"/>
    <w:basedOn w:val="Normal"/>
    <w:link w:val="ValueChar"/>
    <w:uiPriority w:val="99"/>
    <w:rsid w:val="00DA3CDF"/>
    <w:pPr>
      <w:jc w:val="right"/>
    </w:pPr>
    <w:rPr>
      <w:rFonts w:ascii="Arial Narrow" w:hAnsi="Arial Narrow" w:cs="Arial Narrow"/>
      <w:sz w:val="22"/>
      <w:szCs w:val="22"/>
    </w:rPr>
  </w:style>
  <w:style w:type="character" w:customStyle="1" w:styleId="ValueChar">
    <w:name w:val="Value Char"/>
    <w:basedOn w:val="DefaultParagraphFont"/>
    <w:link w:val="Value"/>
    <w:uiPriority w:val="99"/>
    <w:locked/>
    <w:rsid w:val="00DA3CDF"/>
    <w:rPr>
      <w:rFonts w:ascii="Arial Narrow" w:eastAsia="Times New Roman" w:hAnsi="Arial Narrow" w:cs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CDF"/>
    <w:pPr>
      <w:spacing w:before="0"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A3CDF"/>
    <w:pPr>
      <w:keepNext/>
      <w:numPr>
        <w:numId w:val="1"/>
      </w:numPr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qFormat/>
    <w:rsid w:val="00DA3CDF"/>
    <w:pPr>
      <w:keepNext/>
      <w:numPr>
        <w:numId w:val="2"/>
      </w:numPr>
      <w:outlineLvl w:val="1"/>
    </w:pPr>
    <w:rPr>
      <w:b/>
      <w:sz w:val="18"/>
    </w:rPr>
  </w:style>
  <w:style w:type="paragraph" w:styleId="Heading6">
    <w:name w:val="heading 6"/>
    <w:basedOn w:val="Normal"/>
    <w:next w:val="Normal"/>
    <w:link w:val="Heading6Char"/>
    <w:qFormat/>
    <w:rsid w:val="00DA3CDF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CD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3CDF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DA3CDF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DA3CDF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C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nhideWhenUsed/>
    <w:rsid w:val="00DA3C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A3CD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A3CD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CD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A3CDF"/>
    <w:rPr>
      <w:rFonts w:cs="Times New Roman"/>
    </w:rPr>
  </w:style>
  <w:style w:type="paragraph" w:styleId="BodyText">
    <w:name w:val="Body Text"/>
    <w:basedOn w:val="Normal"/>
    <w:link w:val="BodyTextChar"/>
    <w:rsid w:val="00DA3CDF"/>
    <w:pPr>
      <w:ind w:left="426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rsid w:val="00DA3CDF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al"/>
    <w:rsid w:val="00DA3CDF"/>
    <w:pPr>
      <w:ind w:left="284" w:hanging="284"/>
      <w:jc w:val="both"/>
    </w:pPr>
    <w:rPr>
      <w:sz w:val="22"/>
    </w:rPr>
  </w:style>
  <w:style w:type="paragraph" w:customStyle="1" w:styleId="lita">
    <w:name w:val="lit_a"/>
    <w:basedOn w:val="Normal"/>
    <w:rsid w:val="00DA3CDF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rsid w:val="00DA3CDF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locked/>
    <w:rsid w:val="00DA3CDF"/>
    <w:rPr>
      <w:rFonts w:ascii="Times" w:eastAsia="Times New Roman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qFormat/>
    <w:rsid w:val="00DA3CDF"/>
    <w:pPr>
      <w:ind w:left="708"/>
    </w:pPr>
  </w:style>
  <w:style w:type="paragraph" w:customStyle="1" w:styleId="Tabulka">
    <w:name w:val="Tabulka"/>
    <w:basedOn w:val="Normal"/>
    <w:rsid w:val="00DA3CDF"/>
    <w:rPr>
      <w:color w:val="000000"/>
      <w:sz w:val="18"/>
    </w:rPr>
  </w:style>
  <w:style w:type="paragraph" w:customStyle="1" w:styleId="Pismenka">
    <w:name w:val="Pismenka"/>
    <w:basedOn w:val="BodyText"/>
    <w:rsid w:val="00DA3CDF"/>
    <w:pPr>
      <w:numPr>
        <w:numId w:val="6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CDF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CDF"/>
    <w:rPr>
      <w:rFonts w:ascii="Tahoma" w:hAnsi="Tahoma" w:cs="Tahoma"/>
      <w:sz w:val="16"/>
      <w:szCs w:val="16"/>
    </w:rPr>
  </w:style>
  <w:style w:type="paragraph" w:customStyle="1" w:styleId="TopHeader">
    <w:name w:val="Top Header"/>
    <w:basedOn w:val="Normal"/>
    <w:uiPriority w:val="99"/>
    <w:rsid w:val="00DA3CDF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customStyle="1" w:styleId="Value">
    <w:name w:val="Value"/>
    <w:basedOn w:val="Normal"/>
    <w:link w:val="ValueChar"/>
    <w:uiPriority w:val="99"/>
    <w:rsid w:val="00DA3CDF"/>
    <w:pPr>
      <w:jc w:val="right"/>
    </w:pPr>
    <w:rPr>
      <w:rFonts w:ascii="Arial Narrow" w:hAnsi="Arial Narrow" w:cs="Arial Narrow"/>
      <w:sz w:val="22"/>
      <w:szCs w:val="22"/>
    </w:rPr>
  </w:style>
  <w:style w:type="character" w:customStyle="1" w:styleId="ValueChar">
    <w:name w:val="Value Char"/>
    <w:basedOn w:val="DefaultParagraphFont"/>
    <w:link w:val="Value"/>
    <w:uiPriority w:val="99"/>
    <w:locked/>
    <w:rsid w:val="00DA3CDF"/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3.xlsx"/><Relationship Id="rId18" Type="http://schemas.openxmlformats.org/officeDocument/2006/relationships/image" Target="media/image6.emf"/><Relationship Id="rId26" Type="http://schemas.openxmlformats.org/officeDocument/2006/relationships/package" Target="embeddings/Microsoft_Excel_Worksheet8.xlsx"/><Relationship Id="rId39" Type="http://schemas.openxmlformats.org/officeDocument/2006/relationships/image" Target="media/image15.emf"/><Relationship Id="rId21" Type="http://schemas.openxmlformats.org/officeDocument/2006/relationships/package" Target="embeddings/Microsoft_Excel_Worksheet7.xlsx"/><Relationship Id="rId34" Type="http://schemas.openxmlformats.org/officeDocument/2006/relationships/package" Target="embeddings/Microsoft_Excel_Worksheet12.xlsx"/><Relationship Id="rId42" Type="http://schemas.openxmlformats.org/officeDocument/2006/relationships/package" Target="embeddings/Microsoft_Excel_Worksheet16.xlsx"/><Relationship Id="rId47" Type="http://schemas.openxmlformats.org/officeDocument/2006/relationships/image" Target="media/image19.emf"/><Relationship Id="rId50" Type="http://schemas.openxmlformats.org/officeDocument/2006/relationships/package" Target="embeddings/Microsoft_Excel_Worksheet20.xlsx"/><Relationship Id="rId55" Type="http://schemas.openxmlformats.org/officeDocument/2006/relationships/image" Target="media/image23.emf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5.xlsx"/><Relationship Id="rId25" Type="http://schemas.openxmlformats.org/officeDocument/2006/relationships/image" Target="media/image8.emf"/><Relationship Id="rId33" Type="http://schemas.openxmlformats.org/officeDocument/2006/relationships/image" Target="media/image12.emf"/><Relationship Id="rId38" Type="http://schemas.openxmlformats.org/officeDocument/2006/relationships/package" Target="embeddings/Microsoft_Excel_Worksheet14.xlsx"/><Relationship Id="rId46" Type="http://schemas.openxmlformats.org/officeDocument/2006/relationships/package" Target="embeddings/Microsoft_Excel_Worksheet18.xlsx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image" Target="media/image10.emf"/><Relationship Id="rId41" Type="http://schemas.openxmlformats.org/officeDocument/2006/relationships/image" Target="media/image16.emf"/><Relationship Id="rId54" Type="http://schemas.openxmlformats.org/officeDocument/2006/relationships/package" Target="embeddings/Microsoft_Excel_Worksheet22.xlsx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24" Type="http://schemas.openxmlformats.org/officeDocument/2006/relationships/footer" Target="footer2.xml"/><Relationship Id="rId32" Type="http://schemas.openxmlformats.org/officeDocument/2006/relationships/package" Target="embeddings/Microsoft_Excel_Worksheet11.xlsx"/><Relationship Id="rId37" Type="http://schemas.openxmlformats.org/officeDocument/2006/relationships/image" Target="media/image14.emf"/><Relationship Id="rId40" Type="http://schemas.openxmlformats.org/officeDocument/2006/relationships/package" Target="embeddings/Microsoft_Excel_Worksheet15.xlsx"/><Relationship Id="rId45" Type="http://schemas.openxmlformats.org/officeDocument/2006/relationships/image" Target="media/image18.emf"/><Relationship Id="rId53" Type="http://schemas.openxmlformats.org/officeDocument/2006/relationships/image" Target="media/image22.e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4.xlsx"/><Relationship Id="rId23" Type="http://schemas.openxmlformats.org/officeDocument/2006/relationships/footer" Target="footer1.xml"/><Relationship Id="rId28" Type="http://schemas.openxmlformats.org/officeDocument/2006/relationships/package" Target="embeddings/Microsoft_Excel_Worksheet9.xlsx"/><Relationship Id="rId36" Type="http://schemas.openxmlformats.org/officeDocument/2006/relationships/package" Target="embeddings/Microsoft_Excel_Worksheet13.xlsx"/><Relationship Id="rId49" Type="http://schemas.openxmlformats.org/officeDocument/2006/relationships/image" Target="media/image20.emf"/><Relationship Id="rId57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package" Target="embeddings/Microsoft_Excel_Worksheet6.xlsx"/><Relationship Id="rId31" Type="http://schemas.openxmlformats.org/officeDocument/2006/relationships/image" Target="media/image11.emf"/><Relationship Id="rId44" Type="http://schemas.openxmlformats.org/officeDocument/2006/relationships/package" Target="embeddings/Microsoft_Excel_Worksheet17.xlsx"/><Relationship Id="rId52" Type="http://schemas.openxmlformats.org/officeDocument/2006/relationships/package" Target="embeddings/Microsoft_Excel_Worksheet21.xlsx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image" Target="media/image4.emf"/><Relationship Id="rId22" Type="http://schemas.openxmlformats.org/officeDocument/2006/relationships/header" Target="header1.xml"/><Relationship Id="rId27" Type="http://schemas.openxmlformats.org/officeDocument/2006/relationships/image" Target="media/image9.emf"/><Relationship Id="rId30" Type="http://schemas.openxmlformats.org/officeDocument/2006/relationships/package" Target="embeddings/Microsoft_Excel_Worksheet10.xlsx"/><Relationship Id="rId35" Type="http://schemas.openxmlformats.org/officeDocument/2006/relationships/image" Target="media/image13.emf"/><Relationship Id="rId43" Type="http://schemas.openxmlformats.org/officeDocument/2006/relationships/image" Target="media/image17.emf"/><Relationship Id="rId48" Type="http://schemas.openxmlformats.org/officeDocument/2006/relationships/package" Target="embeddings/Microsoft_Excel_Worksheet19.xlsx"/><Relationship Id="rId56" Type="http://schemas.openxmlformats.org/officeDocument/2006/relationships/package" Target="embeddings/Microsoft_Excel_Worksheet23.xlsx"/><Relationship Id="rId8" Type="http://schemas.openxmlformats.org/officeDocument/2006/relationships/image" Target="media/image1.emf"/><Relationship Id="rId51" Type="http://schemas.openxmlformats.org/officeDocument/2006/relationships/image" Target="media/image21.emf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2780</Words>
  <Characters>15850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Vojto</dc:creator>
  <cp:lastModifiedBy>Užívateľ</cp:lastModifiedBy>
  <cp:revision>2</cp:revision>
  <cp:lastPrinted>2013-03-04T11:43:00Z</cp:lastPrinted>
  <dcterms:created xsi:type="dcterms:W3CDTF">2015-03-23T16:50:00Z</dcterms:created>
  <dcterms:modified xsi:type="dcterms:W3CDTF">2015-03-23T16:50:00Z</dcterms:modified>
</cp:coreProperties>
</file>