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5CF" w:rsidRDefault="00492956" w:rsidP="004929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2956">
        <w:rPr>
          <w:rFonts w:ascii="Times New Roman" w:hAnsi="Times New Roman" w:cs="Times New Roman"/>
          <w:b/>
          <w:sz w:val="24"/>
          <w:szCs w:val="24"/>
        </w:rPr>
        <w:t>Poznámky k účtovnej závierke k 31.12.2014</w:t>
      </w:r>
    </w:p>
    <w:p w:rsidR="00492956" w:rsidRPr="00492956" w:rsidRDefault="00492956" w:rsidP="004929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Informácie o účtovnej jednotke</w:t>
      </w:r>
    </w:p>
    <w:p w:rsidR="00492956" w:rsidRDefault="00492956" w:rsidP="00492956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Obchodné meno a sídlo spoločnosti:</w:t>
      </w:r>
    </w:p>
    <w:p w:rsidR="00316DC3" w:rsidRDefault="00316DC3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DEV-CU</w:t>
      </w:r>
      <w:r w:rsidR="00A43C71">
        <w:rPr>
          <w:rFonts w:ascii="Times New Roman" w:hAnsi="Times New Roman" w:cs="Times New Roman"/>
          <w:sz w:val="24"/>
        </w:rPr>
        <w:t>, s.r.o.</w:t>
      </w:r>
    </w:p>
    <w:p w:rsidR="00A43C71" w:rsidRDefault="00A43C71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8.mája 634/2</w:t>
      </w:r>
    </w:p>
    <w:p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098 01 Svidník</w:t>
      </w:r>
    </w:p>
    <w:p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492956" w:rsidRPr="00492956" w:rsidRDefault="00492956" w:rsidP="00492956">
      <w:pPr>
        <w:spacing w:after="0"/>
        <w:ind w:left="0" w:firstLine="0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Spoločnosť </w:t>
      </w:r>
      <w:r w:rsidR="00A43C71">
        <w:rPr>
          <w:rFonts w:ascii="Times New Roman" w:hAnsi="Times New Roman" w:cs="Times New Roman"/>
          <w:sz w:val="24"/>
        </w:rPr>
        <w:t>DEV-CU</w:t>
      </w:r>
      <w:r>
        <w:rPr>
          <w:rFonts w:ascii="Times New Roman" w:hAnsi="Times New Roman" w:cs="Times New Roman"/>
          <w:sz w:val="24"/>
        </w:rPr>
        <w:t xml:space="preserve">, s.r.o. </w:t>
      </w:r>
      <w:r w:rsidRPr="00492956">
        <w:rPr>
          <w:rFonts w:ascii="Times New Roman" w:eastAsia="Calibri" w:hAnsi="Times New Roman" w:cs="Times New Roman"/>
          <w:sz w:val="24"/>
        </w:rPr>
        <w:t>do ob</w:t>
      </w:r>
      <w:r>
        <w:rPr>
          <w:rFonts w:ascii="Times New Roman" w:hAnsi="Times New Roman" w:cs="Times New Roman"/>
          <w:sz w:val="24"/>
        </w:rPr>
        <w:t xml:space="preserve">chodného registra bola zapísaná </w:t>
      </w:r>
      <w:r w:rsidR="00A43C71">
        <w:rPr>
          <w:rFonts w:ascii="Times New Roman" w:hAnsi="Times New Roman" w:cs="Times New Roman"/>
          <w:sz w:val="24"/>
        </w:rPr>
        <w:t>20.01.2007</w:t>
      </w:r>
      <w:r w:rsidRPr="00492956">
        <w:rPr>
          <w:rFonts w:ascii="Times New Roman" w:eastAsia="Calibri" w:hAnsi="Times New Roman" w:cs="Times New Roman"/>
          <w:sz w:val="24"/>
        </w:rPr>
        <w:t xml:space="preserve"> (Obchodný register Okresného súdu v Prešove, oddiel Sro, vložka </w:t>
      </w:r>
      <w:r w:rsidR="00A43C71">
        <w:rPr>
          <w:rFonts w:ascii="Times New Roman" w:hAnsi="Times New Roman" w:cs="Times New Roman"/>
          <w:sz w:val="24"/>
        </w:rPr>
        <w:t>18194</w:t>
      </w:r>
      <w:r>
        <w:rPr>
          <w:rFonts w:ascii="Times New Roman" w:hAnsi="Times New Roman" w:cs="Times New Roman"/>
          <w:sz w:val="24"/>
        </w:rPr>
        <w:t>/</w:t>
      </w:r>
      <w:r w:rsidRPr="00492956">
        <w:rPr>
          <w:rFonts w:ascii="Times New Roman" w:eastAsia="Calibri" w:hAnsi="Times New Roman" w:cs="Times New Roman"/>
          <w:sz w:val="24"/>
        </w:rPr>
        <w:t>P).</w:t>
      </w:r>
    </w:p>
    <w:p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Hlavnými činnosťami spoločnosti sú:</w:t>
      </w: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92956">
        <w:rPr>
          <w:rFonts w:ascii="Times New Roman" w:hAnsi="Times New Roman" w:cs="Times New Roman"/>
          <w:sz w:val="24"/>
        </w:rPr>
        <w:t>- uskutočňovanie stavieb a ich zmien</w:t>
      </w:r>
      <w:r>
        <w:rPr>
          <w:rFonts w:ascii="Times New Roman" w:hAnsi="Times New Roman" w:cs="Times New Roman"/>
          <w:sz w:val="24"/>
        </w:rPr>
        <w:t>,</w:t>
      </w: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="00A04ABB">
        <w:rPr>
          <w:rFonts w:ascii="Times New Roman" w:hAnsi="Times New Roman" w:cs="Times New Roman"/>
          <w:sz w:val="24"/>
        </w:rPr>
        <w:t xml:space="preserve"> prípravné práce pre stavbu</w:t>
      </w:r>
      <w:r>
        <w:rPr>
          <w:rFonts w:ascii="Times New Roman" w:hAnsi="Times New Roman" w:cs="Times New Roman"/>
          <w:sz w:val="24"/>
        </w:rPr>
        <w:t>.</w:t>
      </w: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Priemerný počet zamestnancov</w:t>
      </w:r>
      <w:r>
        <w:rPr>
          <w:rFonts w:ascii="Times New Roman" w:hAnsi="Times New Roman" w:cs="Times New Roman"/>
          <w:b/>
          <w:sz w:val="24"/>
        </w:rPr>
        <w:t>:</w:t>
      </w: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Spoločnosť v roku 2014 zamestnávala </w:t>
      </w:r>
      <w:r w:rsidR="00A04ABB">
        <w:rPr>
          <w:rFonts w:ascii="Times New Roman" w:hAnsi="Times New Roman" w:cs="Times New Roman"/>
          <w:sz w:val="24"/>
        </w:rPr>
        <w:t>štyroch</w:t>
      </w:r>
      <w:r>
        <w:rPr>
          <w:rFonts w:ascii="Times New Roman" w:hAnsi="Times New Roman" w:cs="Times New Roman"/>
          <w:sz w:val="24"/>
        </w:rPr>
        <w:t xml:space="preserve"> zamestnancov na TPP a </w:t>
      </w:r>
      <w:r w:rsidR="00A04ABB">
        <w:rPr>
          <w:rFonts w:ascii="Times New Roman" w:hAnsi="Times New Roman" w:cs="Times New Roman"/>
          <w:sz w:val="24"/>
        </w:rPr>
        <w:t>osem</w:t>
      </w:r>
      <w:r>
        <w:rPr>
          <w:rFonts w:ascii="Times New Roman" w:hAnsi="Times New Roman" w:cs="Times New Roman"/>
          <w:sz w:val="24"/>
        </w:rPr>
        <w:t xml:space="preserve"> na DoVP.</w:t>
      </w: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Právny dôvod zostavenia účtovnej závierky:</w:t>
      </w:r>
    </w:p>
    <w:p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Účtovná závierka spoločnosti k 31.12.2014 je zostavená ako riadna účtovná závierka podľa </w:t>
      </w:r>
    </w:p>
    <w:p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§ 17 ods. 6 zákona NR SR č. 431/2002 Z.z. o účtovníctve, za účtovné obdobie od 01.01.2014 do 31.12.2014.</w:t>
      </w:r>
    </w:p>
    <w:p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</w:p>
    <w:p w:rsidR="00492956" w:rsidRPr="005A0E03" w:rsidRDefault="00492956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Dátum schválenia účtovnej závierky za predchádzajúce účtovné obdobie</w:t>
      </w:r>
    </w:p>
    <w:p w:rsidR="00492956" w:rsidRDefault="00A04ABB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19.03</w:t>
      </w:r>
      <w:r w:rsidR="005A0E03">
        <w:rPr>
          <w:rFonts w:ascii="Times New Roman" w:hAnsi="Times New Roman" w:cs="Times New Roman"/>
          <w:sz w:val="24"/>
          <w:szCs w:val="24"/>
        </w:rPr>
        <w:t>.2014</w:t>
      </w:r>
    </w:p>
    <w:p w:rsidR="005A0E03" w:rsidRPr="005A0E03" w:rsidRDefault="005A0E03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účtovných zásadách a účtovných metódach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Východiská pre zostavenie účtovnej závierky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Účtovná závierka bola zostavená za predpokladu nepretržitého trvania spoloč</w:t>
      </w:r>
      <w:r>
        <w:rPr>
          <w:rFonts w:ascii="Times New Roman" w:hAnsi="Times New Roman" w:cs="Times New Roman"/>
          <w:sz w:val="24"/>
          <w:szCs w:val="24"/>
        </w:rPr>
        <w:t>nosti</w:t>
      </w:r>
      <w:r w:rsidRPr="005A0E03">
        <w:rPr>
          <w:rFonts w:ascii="Times New Roman" w:hAnsi="Times New Roman" w:cs="Times New Roman"/>
          <w:sz w:val="24"/>
          <w:szCs w:val="24"/>
        </w:rPr>
        <w:t>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Účtovné metódy a všeobecné účtovné zásady boli účtovnou jednotkou konzistentne</w:t>
      </w:r>
    </w:p>
    <w:p w:rsidR="00492956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aplikované v rámci platného zákona o účtovníctve.</w:t>
      </w:r>
    </w:p>
    <w:p w:rsidR="005A0E03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Poh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ľ</w:t>
      </w:r>
      <w:r>
        <w:rPr>
          <w:rFonts w:ascii="Times New Roman" w:hAnsi="Times New Roman" w:cs="Times New Roman"/>
          <w:b/>
          <w:bCs/>
          <w:sz w:val="24"/>
          <w:szCs w:val="24"/>
        </w:rPr>
        <w:t>adávky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 xml:space="preserve">adávky sa pri ich vzniku </w:t>
      </w:r>
      <w:r w:rsidRPr="005A0E03">
        <w:rPr>
          <w:rFonts w:ascii="Times New Roman" w:hAnsi="Times New Roman" w:cs="Times New Roman"/>
          <w:sz w:val="24"/>
          <w:szCs w:val="24"/>
        </w:rPr>
        <w:t>oce</w:t>
      </w:r>
      <w:r>
        <w:rPr>
          <w:rFonts w:ascii="Times New Roman" w:hAnsi="Times New Roman" w:cs="Times New Roman"/>
          <w:sz w:val="24"/>
          <w:szCs w:val="24"/>
        </w:rPr>
        <w:t>ň</w:t>
      </w:r>
      <w:r w:rsidRPr="005A0E03">
        <w:rPr>
          <w:rFonts w:ascii="Times New Roman" w:hAnsi="Times New Roman" w:cs="Times New Roman"/>
          <w:sz w:val="24"/>
          <w:szCs w:val="24"/>
        </w:rPr>
        <w:t>ujú</w:t>
      </w:r>
      <w:r>
        <w:rPr>
          <w:rFonts w:ascii="Times New Roman" w:hAnsi="Times New Roman" w:cs="Times New Roman"/>
          <w:sz w:val="24"/>
          <w:szCs w:val="24"/>
        </w:rPr>
        <w:t xml:space="preserve"> ich menovitou hodnotou; postúpené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oceňujú obstarávacou cenou, vrátane nákladov súvisiacich s obstaraním. Toto ocenenie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znižuje o pochybné a nevymožite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Pe</w:t>
      </w:r>
      <w:r>
        <w:rPr>
          <w:rFonts w:ascii="Times New Roman" w:hAnsi="Times New Roman" w:cs="Times New Roman"/>
          <w:b/>
          <w:bCs/>
          <w:sz w:val="24"/>
          <w:szCs w:val="24"/>
        </w:rPr>
        <w:t>ň</w:t>
      </w:r>
      <w:r w:rsidRPr="005A0E03">
        <w:rPr>
          <w:rFonts w:ascii="Times New Roman" w:hAnsi="Times New Roman" w:cs="Times New Roman"/>
          <w:b/>
          <w:bCs/>
          <w:sz w:val="24"/>
          <w:szCs w:val="24"/>
        </w:rPr>
        <w:t>ažné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prostriedky a ceniny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Peňažné prostriedky a ceniny sa oceňujú ich menovitou hodnotou.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Náklady budúcich období a príjmy budúcich období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budúcich období a príjmy budúcich období sa vykazujú vo výške, ktorá je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potrebná na dodržanie zásady vecnej a časovej súvislosti s účtovným obdobím.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Záväzky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pri ich vzniku sa oceňujú menovitou hodnotou. Záväzky pri ich prevzatí sa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oceňujú obstarávacou cenou. Ak sa pri inventarizácii zistí, že suma záväzkov je iná ako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ich výška v účtovníctve, uvedú sa záväzky v účtovníctve a v účtovnej závierke v tomto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zistenom ocenení.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aktív súvahy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Pohľadávky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 xml:space="preserve">Vykázané pohľadávky z obchodného styku </w:t>
      </w:r>
      <w:r w:rsidR="00D163B1">
        <w:rPr>
          <w:rFonts w:ascii="Times New Roman" w:hAnsi="Times New Roman" w:cs="Times New Roman"/>
          <w:sz w:val="24"/>
          <w:szCs w:val="24"/>
        </w:rPr>
        <w:t>22 406</w:t>
      </w:r>
      <w:r>
        <w:rPr>
          <w:rFonts w:ascii="Times New Roman" w:hAnsi="Times New Roman" w:cs="Times New Roman"/>
          <w:sz w:val="24"/>
          <w:szCs w:val="24"/>
        </w:rPr>
        <w:t xml:space="preserve"> 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Finančné účty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Ako finančné účty sú vykázané peniaze v pokladnici a účty v bankách.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pasív súvahy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Vlastné imanie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Vo výške zapísaného ZI 6 639 EUR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Záväzky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záväzky sú v lehote splatnosti v sume </w:t>
      </w:r>
      <w:r w:rsidR="00D163B1">
        <w:rPr>
          <w:rFonts w:ascii="Times New Roman" w:hAnsi="Times New Roman" w:cs="Times New Roman"/>
          <w:color w:val="000000"/>
          <w:sz w:val="24"/>
          <w:szCs w:val="24"/>
        </w:rPr>
        <w:t>13 454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 toho: z obchodného styku </w:t>
      </w:r>
      <w:r w:rsidR="00D163B1">
        <w:rPr>
          <w:rFonts w:ascii="Times New Roman" w:hAnsi="Times New Roman" w:cs="Times New Roman"/>
          <w:color w:val="000000"/>
          <w:sz w:val="24"/>
          <w:szCs w:val="24"/>
        </w:rPr>
        <w:t>4 499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voči zamestnancom a SP, ZP </w:t>
      </w:r>
      <w:r w:rsidR="00D163B1">
        <w:rPr>
          <w:rFonts w:ascii="Times New Roman" w:hAnsi="Times New Roman" w:cs="Times New Roman"/>
          <w:color w:val="000000"/>
          <w:sz w:val="24"/>
          <w:szCs w:val="24"/>
        </w:rPr>
        <w:t>1 178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daňové </w:t>
      </w:r>
      <w:r w:rsidR="00D163B1">
        <w:rPr>
          <w:rFonts w:ascii="Times New Roman" w:hAnsi="Times New Roman" w:cs="Times New Roman"/>
          <w:color w:val="000000"/>
          <w:sz w:val="24"/>
          <w:szCs w:val="24"/>
        </w:rPr>
        <w:t>7 777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  <w:r w:rsidR="00D163B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Sociálny fond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Sociálny fond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bol tvorený na ťarchu nákladov podľa zákona o sociálnom fonde vo výške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0,6 % tj. </w:t>
      </w:r>
      <w:r w:rsidR="00D163B1">
        <w:rPr>
          <w:rFonts w:ascii="Times New Roman" w:hAnsi="Times New Roman" w:cs="Times New Roman"/>
          <w:color w:val="000000"/>
          <w:sz w:val="24"/>
          <w:szCs w:val="24"/>
        </w:rPr>
        <w:t>55 EUR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výnosoch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Tržby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za služby </w:t>
      </w:r>
      <w:r>
        <w:rPr>
          <w:rFonts w:ascii="Times New Roman" w:hAnsi="Times New Roman" w:cs="Times New Roman"/>
          <w:color w:val="000000"/>
          <w:sz w:val="24"/>
          <w:szCs w:val="24"/>
        </w:rPr>
        <w:t>v stavebníctve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v sume </w:t>
      </w:r>
      <w:r w:rsidR="00D163B1">
        <w:rPr>
          <w:rFonts w:ascii="Times New Roman" w:hAnsi="Times New Roman" w:cs="Times New Roman"/>
          <w:color w:val="000000"/>
          <w:sz w:val="24"/>
          <w:szCs w:val="24"/>
        </w:rPr>
        <w:t>262 981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nákladoch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Z celkových nákladov </w:t>
      </w:r>
      <w:r w:rsidR="00D163B1">
        <w:rPr>
          <w:rFonts w:ascii="Times New Roman" w:hAnsi="Times New Roman" w:cs="Times New Roman"/>
          <w:color w:val="000000"/>
          <w:sz w:val="24"/>
          <w:szCs w:val="24"/>
        </w:rPr>
        <w:t>254 436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 rozhodujúcu položku predstavujú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náklady na 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>prevedené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>práce (</w:t>
      </w:r>
      <w:r w:rsidR="00D163B1">
        <w:rPr>
          <w:rFonts w:ascii="Times New Roman" w:hAnsi="Times New Roman" w:cs="Times New Roman"/>
          <w:color w:val="000000"/>
          <w:sz w:val="24"/>
          <w:szCs w:val="24"/>
        </w:rPr>
        <w:t>221 848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EUR), </w:t>
      </w:r>
      <w:r w:rsidR="00D163B1">
        <w:rPr>
          <w:rFonts w:ascii="Times New Roman" w:hAnsi="Times New Roman" w:cs="Times New Roman"/>
          <w:color w:val="000000"/>
          <w:sz w:val="24"/>
          <w:szCs w:val="24"/>
        </w:rPr>
        <w:t>spotrebný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materiál (</w:t>
      </w:r>
      <w:r w:rsidR="00D163B1">
        <w:rPr>
          <w:rFonts w:ascii="Times New Roman" w:hAnsi="Times New Roman" w:cs="Times New Roman"/>
          <w:color w:val="000000"/>
          <w:sz w:val="24"/>
          <w:szCs w:val="24"/>
        </w:rPr>
        <w:t>9 253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EUR), mzdy a odvody (</w:t>
      </w:r>
      <w:r w:rsidR="00D163B1">
        <w:rPr>
          <w:rFonts w:ascii="Times New Roman" w:hAnsi="Times New Roman" w:cs="Times New Roman"/>
          <w:color w:val="000000"/>
          <w:sz w:val="24"/>
          <w:szCs w:val="24"/>
        </w:rPr>
        <w:t>18 568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EUR).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01221" w:rsidRPr="005A0E03" w:rsidRDefault="00B01221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daniach z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príjmov</w:t>
      </w:r>
    </w:p>
    <w:p w:rsidR="005A0E03" w:rsidRDefault="00642D62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V roku 2014 bola vykázaná </w:t>
      </w:r>
      <w:r w:rsidR="00703F7A">
        <w:rPr>
          <w:rFonts w:ascii="Times New Roman" w:hAnsi="Times New Roman" w:cs="Times New Roman"/>
          <w:color w:val="000000"/>
          <w:sz w:val="24"/>
          <w:szCs w:val="24"/>
        </w:rPr>
        <w:t>daň z príjmu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vo výške </w:t>
      </w:r>
      <w:r w:rsidR="00703F7A">
        <w:rPr>
          <w:rFonts w:ascii="Times New Roman" w:hAnsi="Times New Roman" w:cs="Times New Roman"/>
          <w:color w:val="000000"/>
          <w:sz w:val="24"/>
          <w:szCs w:val="24"/>
        </w:rPr>
        <w:t>2 447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skutočnostiach, ktoré nastali po dni, ku ktorému sa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zostavuje účtovná závierka, do dňa zostavenia účtovnej závierky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Po 31. decembri 201</w:t>
      </w:r>
      <w:r w:rsidR="00642D62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nenastali žiadne udalosti, ktoré majú významný vplyv na verné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zobrazenie skutočností, ktoré sú predmetom účtovníctva.</w:t>
      </w:r>
    </w:p>
    <w:p w:rsidR="00EB3DC3" w:rsidRDefault="00EB3DC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Vlastnom imaní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O naložení s výsledkom hospodárenia za účtovné obdobie 2013 vo výške </w:t>
      </w:r>
      <w:r w:rsidR="00703F7A">
        <w:rPr>
          <w:rFonts w:ascii="Times New Roman" w:hAnsi="Times New Roman" w:cs="Times New Roman"/>
          <w:color w:val="000000"/>
          <w:sz w:val="24"/>
          <w:szCs w:val="24"/>
        </w:rPr>
        <w:t>1 333</w:t>
      </w:r>
      <w:r w:rsidRPr="005A0E0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rozhodne valné zhromaždenie. Návrh štatutárneho orgánu valnému zhromaždeniu je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nasledovný: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– prevod tohto zisku na nerozdelený zisk minulých rokov </w:t>
      </w:r>
      <w:r w:rsidR="00703F7A">
        <w:rPr>
          <w:rFonts w:ascii="Times New Roman" w:hAnsi="Times New Roman" w:cs="Times New Roman"/>
          <w:color w:val="000000"/>
          <w:sz w:val="24"/>
          <w:szCs w:val="24"/>
        </w:rPr>
        <w:t>1 333</w:t>
      </w:r>
      <w:r w:rsidR="00EB3D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</w:t>
      </w:r>
      <w:r w:rsidR="00EB3DC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sectPr w:rsidR="005A0E03" w:rsidRPr="005A0E03" w:rsidSect="00D665C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1668" w:rsidRDefault="002C1668" w:rsidP="00492956">
      <w:pPr>
        <w:spacing w:after="0" w:line="240" w:lineRule="auto"/>
      </w:pPr>
      <w:r>
        <w:separator/>
      </w:r>
    </w:p>
  </w:endnote>
  <w:endnote w:type="continuationSeparator" w:id="1">
    <w:p w:rsidR="002C1668" w:rsidRDefault="002C1668" w:rsidP="00492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1668" w:rsidRDefault="002C1668" w:rsidP="00492956">
      <w:pPr>
        <w:spacing w:after="0" w:line="240" w:lineRule="auto"/>
      </w:pPr>
      <w:r>
        <w:separator/>
      </w:r>
    </w:p>
  </w:footnote>
  <w:footnote w:type="continuationSeparator" w:id="1">
    <w:p w:rsidR="002C1668" w:rsidRDefault="002C1668" w:rsidP="00492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219" w:type="dxa"/>
      <w:tblInd w:w="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/>
    </w:tblPr>
    <w:tblGrid>
      <w:gridCol w:w="2977"/>
      <w:gridCol w:w="595"/>
      <w:gridCol w:w="326"/>
      <w:gridCol w:w="236"/>
      <w:gridCol w:w="281"/>
      <w:gridCol w:w="281"/>
      <w:gridCol w:w="281"/>
      <w:gridCol w:w="282"/>
      <w:gridCol w:w="276"/>
      <w:gridCol w:w="236"/>
      <w:gridCol w:w="236"/>
      <w:gridCol w:w="300"/>
      <w:gridCol w:w="622"/>
      <w:gridCol w:w="282"/>
      <w:gridCol w:w="281"/>
      <w:gridCol w:w="282"/>
      <w:gridCol w:w="281"/>
      <w:gridCol w:w="282"/>
      <w:gridCol w:w="281"/>
      <w:gridCol w:w="282"/>
      <w:gridCol w:w="319"/>
    </w:tblGrid>
    <w:tr w:rsidR="00492956" w:rsidTr="00492956">
      <w:trPr>
        <w:trHeight w:val="274"/>
      </w:trPr>
      <w:tc>
        <w:tcPr>
          <w:tcW w:w="2977" w:type="dxa"/>
          <w:tcBorders>
            <w:right w:val="single" w:sz="4" w:space="0" w:color="auto"/>
          </w:tcBorders>
          <w:vAlign w:val="bottom"/>
        </w:tcPr>
        <w:p w:rsidR="00492956" w:rsidRPr="00905C33" w:rsidRDefault="00492956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hAnsi="Times New Roman" w:cs="Times New Roman"/>
            </w:rPr>
            <w:t>Poznámky Úč MÚJ 3 - 01</w:t>
          </w:r>
        </w:p>
      </w:tc>
      <w:tc>
        <w:tcPr>
          <w:tcW w:w="595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492956" w:rsidRDefault="00492956" w:rsidP="00327341">
          <w:pPr>
            <w:jc w:val="both"/>
            <w:rPr>
              <w:rFonts w:ascii="Calibri" w:eastAsia="Calibri" w:hAnsi="Calibri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DIČ</w:t>
          </w:r>
        </w:p>
      </w:tc>
      <w:tc>
        <w:tcPr>
          <w:tcW w:w="3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36" w:type="dxa"/>
          <w:tcBorders>
            <w:left w:val="single" w:sz="4" w:space="0" w:color="auto"/>
          </w:tcBorders>
          <w:vAlign w:val="center"/>
        </w:tcPr>
        <w:p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81" w:type="dxa"/>
          <w:vAlign w:val="center"/>
        </w:tcPr>
        <w:p w:rsidR="00492956" w:rsidRDefault="00A43C71" w:rsidP="00492956">
          <w:pPr>
            <w:ind w:left="0" w:firstLine="0"/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81" w:type="dxa"/>
          <w:vAlign w:val="center"/>
        </w:tcPr>
        <w:p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81" w:type="dxa"/>
          <w:vAlign w:val="center"/>
        </w:tcPr>
        <w:p w:rsidR="00492956" w:rsidRDefault="00A43C71" w:rsidP="00A43C71">
          <w:pPr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282" w:type="dxa"/>
          <w:vAlign w:val="center"/>
        </w:tcPr>
        <w:p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76" w:type="dxa"/>
          <w:vAlign w:val="center"/>
        </w:tcPr>
        <w:p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7</w:t>
          </w:r>
        </w:p>
      </w:tc>
      <w:tc>
        <w:tcPr>
          <w:tcW w:w="236" w:type="dxa"/>
          <w:tcBorders>
            <w:right w:val="single" w:sz="4" w:space="0" w:color="auto"/>
          </w:tcBorders>
          <w:vAlign w:val="center"/>
        </w:tcPr>
        <w:p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92956" w:rsidRPr="00905C33" w:rsidRDefault="00A43C71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eastAsia="Calibri" w:hAnsi="Times New Roman" w:cs="Times New Roman"/>
            </w:rPr>
            <w:t>6</w:t>
          </w:r>
        </w:p>
      </w:tc>
      <w:tc>
        <w:tcPr>
          <w:tcW w:w="300" w:type="dxa"/>
          <w:tcBorders>
            <w:left w:val="single" w:sz="4" w:space="0" w:color="auto"/>
          </w:tcBorders>
          <w:vAlign w:val="center"/>
        </w:tcPr>
        <w:p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5</w:t>
          </w:r>
        </w:p>
      </w:tc>
      <w:tc>
        <w:tcPr>
          <w:tcW w:w="622" w:type="dxa"/>
          <w:tcBorders>
            <w:top w:val="nil"/>
            <w:bottom w:val="nil"/>
          </w:tcBorders>
        </w:tcPr>
        <w:p w:rsidR="00492956" w:rsidRPr="00905C33" w:rsidRDefault="00492956" w:rsidP="00327341">
          <w:pPr>
            <w:jc w:val="both"/>
            <w:rPr>
              <w:rFonts w:ascii="Times New Roman" w:eastAsia="Calibri" w:hAnsi="Times New Roman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IČO</w:t>
          </w:r>
        </w:p>
      </w:tc>
      <w:tc>
        <w:tcPr>
          <w:tcW w:w="282" w:type="dxa"/>
          <w:vAlign w:val="center"/>
        </w:tcPr>
        <w:p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281" w:type="dxa"/>
          <w:vAlign w:val="center"/>
        </w:tcPr>
        <w:p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6</w:t>
          </w:r>
        </w:p>
      </w:tc>
      <w:tc>
        <w:tcPr>
          <w:tcW w:w="282" w:type="dxa"/>
          <w:vAlign w:val="center"/>
        </w:tcPr>
        <w:p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7</w:t>
          </w:r>
        </w:p>
      </w:tc>
      <w:tc>
        <w:tcPr>
          <w:tcW w:w="281" w:type="dxa"/>
          <w:vAlign w:val="center"/>
        </w:tcPr>
        <w:p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82" w:type="dxa"/>
          <w:vAlign w:val="center"/>
        </w:tcPr>
        <w:p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5</w:t>
          </w:r>
        </w:p>
      </w:tc>
      <w:tc>
        <w:tcPr>
          <w:tcW w:w="281" w:type="dxa"/>
          <w:vAlign w:val="center"/>
        </w:tcPr>
        <w:p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6</w:t>
          </w:r>
        </w:p>
      </w:tc>
      <w:tc>
        <w:tcPr>
          <w:tcW w:w="282" w:type="dxa"/>
          <w:vAlign w:val="center"/>
        </w:tcPr>
        <w:p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319" w:type="dxa"/>
          <w:vAlign w:val="center"/>
        </w:tcPr>
        <w:p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</w:tr>
  </w:tbl>
  <w:p w:rsidR="00492956" w:rsidRDefault="00492956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92956"/>
    <w:rsid w:val="000E7256"/>
    <w:rsid w:val="00114AA1"/>
    <w:rsid w:val="002C1668"/>
    <w:rsid w:val="00316DC3"/>
    <w:rsid w:val="00324D51"/>
    <w:rsid w:val="00492956"/>
    <w:rsid w:val="005A0E03"/>
    <w:rsid w:val="00602D8F"/>
    <w:rsid w:val="00642D62"/>
    <w:rsid w:val="00703F7A"/>
    <w:rsid w:val="00767D10"/>
    <w:rsid w:val="0079555C"/>
    <w:rsid w:val="00A04ABB"/>
    <w:rsid w:val="00A43C71"/>
    <w:rsid w:val="00AE2253"/>
    <w:rsid w:val="00B01221"/>
    <w:rsid w:val="00D163B1"/>
    <w:rsid w:val="00D665CF"/>
    <w:rsid w:val="00EB3D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  <w:ind w:left="425" w:hanging="425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665C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492956"/>
  </w:style>
  <w:style w:type="paragraph" w:styleId="Zpat">
    <w:name w:val="footer"/>
    <w:basedOn w:val="Normln"/>
    <w:link w:val="Zpat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9295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273D78-04BD-411B-B8DD-7446C06DB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512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6</cp:revision>
  <dcterms:created xsi:type="dcterms:W3CDTF">2015-03-25T16:14:00Z</dcterms:created>
  <dcterms:modified xsi:type="dcterms:W3CDTF">2015-03-25T16:21:00Z</dcterms:modified>
</cp:coreProperties>
</file>