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4D3B4A" w:rsidP="00B72C76">
      <w:pPr>
        <w:pStyle w:val="Nadpis1"/>
        <w:numPr>
          <w:ilvl w:val="0"/>
          <w:numId w:val="7"/>
        </w:numPr>
        <w:spacing w:after="60"/>
        <w:rPr>
          <w:rFonts w:ascii="Arial" w:hAnsi="Arial" w:cs="Arial"/>
          <w:szCs w:val="18"/>
        </w:rPr>
      </w:pPr>
      <w:bookmarkStart w:id="0" w:name="_Toc530739894"/>
      <w:r w:rsidRPr="006F035B">
        <w:rPr>
          <w:rFonts w:ascii="Arial" w:hAnsi="Arial" w:cs="Arial"/>
          <w:szCs w:val="18"/>
        </w:rPr>
        <w:t>Informácie o </w:t>
      </w:r>
      <w:r w:rsidR="00661D96">
        <w:rPr>
          <w:rFonts w:ascii="Arial" w:hAnsi="Arial" w:cs="Arial"/>
          <w:szCs w:val="18"/>
        </w:rPr>
        <w:t>ÚĆ</w:t>
      </w:r>
      <w:r w:rsidRPr="006F035B">
        <w:rPr>
          <w:rFonts w:ascii="Arial" w:hAnsi="Arial" w:cs="Arial"/>
          <w:szCs w:val="18"/>
        </w:rPr>
        <w:t>tovnej jednotke</w:t>
      </w:r>
      <w:bookmarkEnd w:id="0"/>
      <w:r w:rsidR="00B72C76">
        <w:rPr>
          <w:rFonts w:ascii="Arial" w:hAnsi="Arial" w:cs="Arial"/>
          <w:szCs w:val="18"/>
        </w:rPr>
        <w:t xml:space="preserve"> </w:t>
      </w:r>
    </w:p>
    <w:p w:rsidR="00B72C76" w:rsidRDefault="00B72C76" w:rsidP="00B72C76"/>
    <w:p w:rsidR="00B72C76" w:rsidRPr="00B72C76" w:rsidRDefault="00B72C76" w:rsidP="00727089">
      <w:pPr>
        <w:ind w:left="1428" w:firstLine="696"/>
        <w:rPr>
          <w:sz w:val="32"/>
          <w:szCs w:val="32"/>
        </w:rPr>
      </w:pPr>
      <w:r w:rsidRPr="00B72C76">
        <w:rPr>
          <w:sz w:val="32"/>
          <w:szCs w:val="32"/>
        </w:rPr>
        <w:t xml:space="preserve">IS – </w:t>
      </w:r>
      <w:proofErr w:type="spellStart"/>
      <w:r w:rsidRPr="00B72C76">
        <w:rPr>
          <w:sz w:val="32"/>
          <w:szCs w:val="32"/>
        </w:rPr>
        <w:t>Industry</w:t>
      </w:r>
      <w:proofErr w:type="spellEnd"/>
      <w:r w:rsidRPr="00B72C76">
        <w:rPr>
          <w:sz w:val="32"/>
          <w:szCs w:val="32"/>
        </w:rPr>
        <w:t xml:space="preserve"> </w:t>
      </w:r>
      <w:proofErr w:type="spellStart"/>
      <w:r w:rsidRPr="00B72C76">
        <w:rPr>
          <w:sz w:val="32"/>
          <w:szCs w:val="32"/>
        </w:rPr>
        <w:t>Solutions</w:t>
      </w:r>
      <w:proofErr w:type="spellEnd"/>
      <w:r w:rsidRPr="00B72C76">
        <w:rPr>
          <w:sz w:val="32"/>
          <w:szCs w:val="32"/>
        </w:rPr>
        <w:t>, a.</w:t>
      </w:r>
      <w:r>
        <w:rPr>
          <w:sz w:val="32"/>
          <w:szCs w:val="32"/>
        </w:rPr>
        <w:t xml:space="preserve"> </w:t>
      </w:r>
      <w:r w:rsidRPr="00B72C76">
        <w:rPr>
          <w:sz w:val="32"/>
          <w:szCs w:val="32"/>
        </w:rPr>
        <w:t>s</w:t>
      </w:r>
      <w:r>
        <w:rPr>
          <w:sz w:val="32"/>
          <w:szCs w:val="32"/>
        </w:rPr>
        <w:t>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D72087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Založenie spoločnosti</w:t>
      </w:r>
    </w:p>
    <w:p w:rsidR="006F035B" w:rsidRPr="006F035B" w:rsidRDefault="006F035B" w:rsidP="006F035B">
      <w:pPr>
        <w:ind w:left="360"/>
        <w:rPr>
          <w:rFonts w:ascii="Arial" w:hAnsi="Arial" w:cs="Arial"/>
          <w:sz w:val="18"/>
          <w:szCs w:val="18"/>
        </w:rPr>
      </w:pPr>
      <w:r w:rsidRPr="006F035B">
        <w:rPr>
          <w:rFonts w:ascii="Arial" w:hAnsi="Arial" w:cs="Arial"/>
          <w:sz w:val="18"/>
          <w:szCs w:val="18"/>
        </w:rPr>
        <w:t xml:space="preserve">Akciová spoločnosť bola založená dňa 15.07.2013 a zapísaná do Obchodného registra dňa 07.09.2013 </w:t>
      </w:r>
      <w:r>
        <w:rPr>
          <w:rFonts w:ascii="Arial" w:hAnsi="Arial" w:cs="Arial"/>
          <w:sz w:val="18"/>
          <w:szCs w:val="18"/>
        </w:rPr>
        <w:t xml:space="preserve">       </w:t>
      </w:r>
      <w:r w:rsidRPr="006F035B">
        <w:rPr>
          <w:rFonts w:ascii="Arial" w:hAnsi="Arial" w:cs="Arial"/>
          <w:sz w:val="18"/>
          <w:szCs w:val="18"/>
        </w:rPr>
        <w:t xml:space="preserve">pod názvom IS - </w:t>
      </w:r>
      <w:proofErr w:type="spellStart"/>
      <w:r w:rsidRPr="006F035B">
        <w:rPr>
          <w:rFonts w:ascii="Arial" w:hAnsi="Arial" w:cs="Arial"/>
          <w:sz w:val="18"/>
          <w:szCs w:val="18"/>
        </w:rPr>
        <w:t>Industry</w:t>
      </w:r>
      <w:proofErr w:type="spellEnd"/>
      <w:r w:rsidRPr="006F035B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6F035B">
        <w:rPr>
          <w:rFonts w:ascii="Arial" w:hAnsi="Arial" w:cs="Arial"/>
          <w:sz w:val="18"/>
          <w:szCs w:val="18"/>
        </w:rPr>
        <w:t>Solutions</w:t>
      </w:r>
      <w:proofErr w:type="spellEnd"/>
      <w:r w:rsidRPr="006F035B">
        <w:rPr>
          <w:rFonts w:ascii="Arial" w:hAnsi="Arial" w:cs="Arial"/>
          <w:sz w:val="18"/>
          <w:szCs w:val="18"/>
        </w:rPr>
        <w:t xml:space="preserve">, a.s. </w:t>
      </w:r>
      <w:r w:rsidR="00727089">
        <w:rPr>
          <w:rFonts w:ascii="Arial" w:hAnsi="Arial" w:cs="Arial"/>
          <w:sz w:val="18"/>
          <w:szCs w:val="18"/>
        </w:rPr>
        <w:t xml:space="preserve"> ( ďalej len Spoločnosť </w:t>
      </w:r>
      <w:r w:rsidR="00727089"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)</w:t>
      </w:r>
      <w:r w:rsidR="00727089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.</w:t>
      </w:r>
    </w:p>
    <w:p w:rsidR="004D3B4A" w:rsidRPr="006F035B" w:rsidRDefault="004D3B4A" w:rsidP="004D3B4A">
      <w:pPr>
        <w:rPr>
          <w:rFonts w:ascii="Arial" w:hAnsi="Arial" w:cs="Arial"/>
          <w:sz w:val="18"/>
          <w:szCs w:val="18"/>
        </w:rPr>
      </w:pPr>
    </w:p>
    <w:p w:rsidR="004D3B4A" w:rsidRPr="006F035B" w:rsidRDefault="004D3B4A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bookmarkStart w:id="1" w:name="_Toc530739896"/>
      <w:r w:rsidRPr="006F035B">
        <w:rPr>
          <w:rFonts w:ascii="Arial" w:hAnsi="Arial" w:cs="Arial"/>
          <w:szCs w:val="18"/>
        </w:rPr>
        <w:t xml:space="preserve">Hlavnými činnosťami </w:t>
      </w:r>
      <w:r w:rsidR="00384DDC">
        <w:rPr>
          <w:rFonts w:ascii="Arial" w:hAnsi="Arial" w:cs="Arial"/>
          <w:szCs w:val="18"/>
        </w:rPr>
        <w:t>s</w:t>
      </w:r>
      <w:r w:rsidRPr="006F035B">
        <w:rPr>
          <w:rFonts w:ascii="Arial" w:hAnsi="Arial" w:cs="Arial"/>
          <w:szCs w:val="18"/>
        </w:rPr>
        <w:t>poločnosti sú:</w:t>
      </w:r>
      <w:bookmarkEnd w:id="1"/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Počítačové služby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Vykonávanie mimoškolskej vzdelávacej činnosti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Projektovanie a konštruovanie elektrických zariadení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Výroba strojov pre hospodárske odvetvia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Výroba elektromotorov, rozvádzačov, káblov a batérií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Výroba komunikačných zariadení, spotrebnej elektroniky, počítačov a kancelárskych strojov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Výroba meracích, kontrolných, testovacích, navigačných, optických a fotografických prístrojov a zariadení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Činnosť podnikateľských, organizačných a ekonomických poradcov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Kúpa tovaru za účelom jeho predaja konečnému spotrebiteľovi (maloobchod) alebo iným prevádzkovateľom živnosti (veľkoobchod)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Prípravné práce k realizácii stavby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Uskutočňovanie stavieb a ich zmien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Dokončovacie stavebné práce pri realizácii exteriérov a interiérov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Oprava a údržba potrieb pre domácnosť, športových potrieb a výrobkov jemnej mechaniky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Reklamné a marketingové služby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Prieskum trhu a verejnej mienky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Sprostredkovateľská činnosť v oblasti obchodu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Sprostredkovateľská činnosť v oblasti služieb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Sprostredkovateľská činnosť v oblasti výroby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Montáž, oprava, vykonávanie revízií a skúšok vyhradených technických zariadení - elektrických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6F035B" w:rsidRPr="006F035B" w:rsidRDefault="006F035B" w:rsidP="006F035B">
      <w:pPr>
        <w:pStyle w:val="Odsekzoznamu"/>
        <w:numPr>
          <w:ilvl w:val="0"/>
          <w:numId w:val="6"/>
        </w:numPr>
        <w:contextualSpacing/>
        <w:rPr>
          <w:rStyle w:val="apple-converted-space"/>
          <w:rFonts w:ascii="Arial" w:hAnsi="Arial" w:cs="Arial"/>
          <w:sz w:val="18"/>
          <w:szCs w:val="18"/>
        </w:rPr>
      </w:pPr>
      <w:r w:rsidRPr="006F035B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>Opravy, odborné prehliadky a odborné skúšky vyhradených technických zariadení - elektrických v rozsahu EZ - S,O (OU,R,M) - E1, A,B</w:t>
      </w:r>
      <w:r w:rsidRPr="006F035B">
        <w:rPr>
          <w:rStyle w:val="apple-converted-space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 </w:t>
      </w:r>
    </w:p>
    <w:p w:rsidR="00D75D1E" w:rsidRPr="006F035B" w:rsidRDefault="00D75D1E" w:rsidP="005B259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5F5D4F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</w:t>
      </w:r>
      <w:r w:rsidR="004D3B4A" w:rsidRPr="006F035B">
        <w:rPr>
          <w:rFonts w:ascii="Arial" w:hAnsi="Arial" w:cs="Arial"/>
          <w:szCs w:val="18"/>
        </w:rPr>
        <w:t xml:space="preserve">očet zamestnancov </w:t>
      </w:r>
    </w:p>
    <w:p w:rsidR="005F5D4F" w:rsidRDefault="005F5D4F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Údaje o počte zamestnancov za bežné účtovné obdobie a bezprostredne predchádzajúce účtovné obdobie sú uvedené v nasledujúcom prehľade:</w:t>
      </w:r>
    </w:p>
    <w:p w:rsidR="007E7FC4" w:rsidRDefault="007E7FC4" w:rsidP="004D3B4A">
      <w:pPr>
        <w:pStyle w:val="Zkladntext"/>
        <w:rPr>
          <w:rFonts w:ascii="Arial" w:hAnsi="Arial" w:cs="Arial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1"/>
        <w:gridCol w:w="2693"/>
        <w:gridCol w:w="2927"/>
      </w:tblGrid>
      <w:tr w:rsidR="007E7FC4" w:rsidRPr="003F477D" w:rsidTr="00A5241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7FC4" w:rsidRPr="005361B1" w:rsidRDefault="007E7FC4" w:rsidP="00A5241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7FC4" w:rsidRPr="005361B1" w:rsidRDefault="007E7FC4" w:rsidP="00A5241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7FC4" w:rsidRPr="005361B1" w:rsidRDefault="007E7FC4" w:rsidP="00A5241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7E7FC4" w:rsidRPr="003F477D" w:rsidTr="00A5241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7FC4" w:rsidRPr="005361B1" w:rsidRDefault="007E7FC4" w:rsidP="00A5241F">
            <w:pPr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E7FC4" w:rsidRPr="005361B1" w:rsidRDefault="007E7FC4" w:rsidP="00A524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E7FC4" w:rsidRPr="005361B1" w:rsidRDefault="007E7FC4" w:rsidP="00A524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7E7FC4" w:rsidRPr="003F477D" w:rsidTr="00A5241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7E7FC4" w:rsidRPr="005361B1" w:rsidRDefault="007E7FC4" w:rsidP="00A5241F">
            <w:pPr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E7FC4" w:rsidRPr="005361B1" w:rsidRDefault="007E7FC4" w:rsidP="00A524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E7FC4" w:rsidRPr="005361B1" w:rsidRDefault="007E7FC4" w:rsidP="00A524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31</w:t>
            </w:r>
          </w:p>
        </w:tc>
      </w:tr>
      <w:tr w:rsidR="007E7FC4" w:rsidRPr="003F477D" w:rsidTr="00A5241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7FC4" w:rsidRPr="005361B1" w:rsidRDefault="007E7FC4" w:rsidP="00A5241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7FC4" w:rsidRPr="005361B1" w:rsidRDefault="007E7FC4" w:rsidP="00A5241F">
            <w:pPr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E7FC4" w:rsidRPr="005361B1" w:rsidRDefault="007E7FC4" w:rsidP="00A524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</w:tbl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Údaje o neobmedzenom ručení</w:t>
      </w:r>
    </w:p>
    <w:p w:rsidR="004D3B4A" w:rsidRPr="006F035B" w:rsidRDefault="004D3B4A" w:rsidP="004D3B4A">
      <w:pPr>
        <w:ind w:left="450"/>
        <w:jc w:val="both"/>
        <w:rPr>
          <w:rFonts w:ascii="Arial" w:hAnsi="Arial" w:cs="Arial"/>
          <w:sz w:val="18"/>
          <w:szCs w:val="18"/>
        </w:rPr>
      </w:pPr>
      <w:r w:rsidRPr="006F035B">
        <w:rPr>
          <w:rFonts w:ascii="Arial" w:hAnsi="Arial" w:cs="Arial"/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Právny dôvod na zostavenie účtovnej závierky</w:t>
      </w:r>
    </w:p>
    <w:p w:rsidR="004D3B4A" w:rsidRPr="006F035B" w:rsidRDefault="004D3B4A" w:rsidP="004D3B4A">
      <w:pPr>
        <w:pStyle w:val="Zkladntext"/>
        <w:ind w:hanging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ab/>
        <w:t xml:space="preserve">Účtovná závierka Spoločnosti k 31. decembru </w:t>
      </w:r>
      <w:r w:rsidR="00C4486C" w:rsidRPr="006F035B">
        <w:rPr>
          <w:rFonts w:ascii="Arial" w:hAnsi="Arial" w:cs="Arial"/>
          <w:szCs w:val="18"/>
        </w:rPr>
        <w:t>201</w:t>
      </w:r>
      <w:r w:rsidR="00571627" w:rsidRPr="006F035B">
        <w:rPr>
          <w:rFonts w:ascii="Arial" w:hAnsi="Arial" w:cs="Arial"/>
          <w:szCs w:val="18"/>
        </w:rPr>
        <w:t>4</w:t>
      </w:r>
      <w:r w:rsidRPr="006F035B">
        <w:rPr>
          <w:rFonts w:ascii="Arial" w:hAnsi="Arial" w:cs="Arial"/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6F035B">
        <w:rPr>
          <w:rFonts w:ascii="Arial" w:hAnsi="Arial" w:cs="Arial"/>
          <w:szCs w:val="18"/>
        </w:rPr>
        <w:t>201</w:t>
      </w:r>
      <w:r w:rsidR="00571627" w:rsidRPr="006F035B">
        <w:rPr>
          <w:rFonts w:ascii="Arial" w:hAnsi="Arial" w:cs="Arial"/>
          <w:szCs w:val="18"/>
        </w:rPr>
        <w:t>4</w:t>
      </w:r>
      <w:r w:rsidRPr="006F035B">
        <w:rPr>
          <w:rFonts w:ascii="Arial" w:hAnsi="Arial" w:cs="Arial"/>
          <w:szCs w:val="18"/>
        </w:rPr>
        <w:t xml:space="preserve"> do 31. decembra </w:t>
      </w:r>
      <w:r w:rsidR="00C4486C" w:rsidRPr="006F035B">
        <w:rPr>
          <w:rFonts w:ascii="Arial" w:hAnsi="Arial" w:cs="Arial"/>
          <w:szCs w:val="18"/>
        </w:rPr>
        <w:t>201</w:t>
      </w:r>
      <w:r w:rsidR="00571627" w:rsidRPr="006F035B">
        <w:rPr>
          <w:rFonts w:ascii="Arial" w:hAnsi="Arial" w:cs="Arial"/>
          <w:szCs w:val="18"/>
        </w:rPr>
        <w:t>4</w:t>
      </w:r>
      <w:r w:rsidRPr="006F035B">
        <w:rPr>
          <w:rFonts w:ascii="Arial" w:hAnsi="Arial" w:cs="Arial"/>
          <w:szCs w:val="18"/>
        </w:rPr>
        <w:t>.</w:t>
      </w:r>
    </w:p>
    <w:p w:rsidR="004D3B4A" w:rsidRPr="006F035B" w:rsidRDefault="004D3B4A" w:rsidP="004D3B4A">
      <w:pPr>
        <w:pStyle w:val="Zkladntext"/>
        <w:ind w:hanging="426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Dátum schválenia účtovnej závierky za predchádzajúce účtovné obdobie</w:t>
      </w:r>
    </w:p>
    <w:p w:rsidR="004D3B4A" w:rsidRPr="006F035B" w:rsidRDefault="004D3B4A" w:rsidP="004D3B4A">
      <w:pPr>
        <w:pStyle w:val="Zkladntext"/>
        <w:ind w:hanging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ab/>
        <w:t xml:space="preserve">Účtovná závierka Spoločnosti k 31. decembru </w:t>
      </w:r>
      <w:r w:rsidR="00C4486C" w:rsidRPr="006F035B">
        <w:rPr>
          <w:rFonts w:ascii="Arial" w:hAnsi="Arial" w:cs="Arial"/>
          <w:szCs w:val="18"/>
        </w:rPr>
        <w:t>201</w:t>
      </w:r>
      <w:r w:rsidR="00571627" w:rsidRPr="006F035B">
        <w:rPr>
          <w:rFonts w:ascii="Arial" w:hAnsi="Arial" w:cs="Arial"/>
          <w:szCs w:val="18"/>
        </w:rPr>
        <w:t>3</w:t>
      </w:r>
      <w:r w:rsidRPr="006F035B">
        <w:rPr>
          <w:rFonts w:ascii="Arial" w:hAnsi="Arial" w:cs="Arial"/>
          <w:szCs w:val="18"/>
        </w:rPr>
        <w:t xml:space="preserve">, za predchádzajúce účtovné obdobie, bola schválená valným zhromaždením Spoločnosti </w:t>
      </w:r>
      <w:r w:rsidR="005361B1">
        <w:rPr>
          <w:rFonts w:ascii="Arial" w:hAnsi="Arial" w:cs="Arial"/>
          <w:szCs w:val="18"/>
        </w:rPr>
        <w:t>dňa 06. októbra 201</w:t>
      </w:r>
      <w:r w:rsidR="00571627" w:rsidRPr="006F035B">
        <w:rPr>
          <w:rFonts w:ascii="Arial" w:hAnsi="Arial" w:cs="Arial"/>
          <w:szCs w:val="18"/>
        </w:rPr>
        <w:t>4</w:t>
      </w:r>
      <w:r w:rsidRPr="006F035B">
        <w:rPr>
          <w:rFonts w:ascii="Arial" w:hAnsi="Arial" w:cs="Arial"/>
          <w:szCs w:val="18"/>
        </w:rPr>
        <w:t>.</w:t>
      </w:r>
    </w:p>
    <w:p w:rsidR="00152DFF" w:rsidRPr="006F035B" w:rsidRDefault="00152DFF" w:rsidP="004D3B4A">
      <w:pPr>
        <w:pStyle w:val="Zkladntext"/>
        <w:ind w:hanging="426"/>
        <w:rPr>
          <w:rFonts w:ascii="Arial" w:hAnsi="Arial" w:cs="Arial"/>
          <w:szCs w:val="18"/>
        </w:rPr>
      </w:pPr>
    </w:p>
    <w:p w:rsidR="00152DFF" w:rsidRPr="006F035B" w:rsidRDefault="00152DFF" w:rsidP="00152DFF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Zverejnenie účtovnej závierky za predchádzajúce účtovné obdobie</w:t>
      </w:r>
    </w:p>
    <w:p w:rsidR="00152DFF" w:rsidRPr="006F035B" w:rsidRDefault="00152DFF" w:rsidP="00152DFF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Účtovná závierka Spoločnosti k 31. decembru 2013 </w:t>
      </w:r>
      <w:r w:rsidR="005361B1">
        <w:rPr>
          <w:rFonts w:ascii="Arial" w:hAnsi="Arial" w:cs="Arial"/>
          <w:szCs w:val="18"/>
        </w:rPr>
        <w:t xml:space="preserve">bola uložená </w:t>
      </w:r>
      <w:r w:rsidR="000E0AED">
        <w:rPr>
          <w:rFonts w:ascii="Arial" w:hAnsi="Arial" w:cs="Arial"/>
          <w:szCs w:val="18"/>
        </w:rPr>
        <w:t>do registra účtovných závierok dňa 30.06.2014.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bookmarkStart w:id="2" w:name="OLE_LINK13"/>
      <w:bookmarkStart w:id="3" w:name="OLE_LINK14"/>
    </w:p>
    <w:p w:rsidR="004D3B4A" w:rsidRPr="006F035B" w:rsidRDefault="004D3B4A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Schválenie audítora</w:t>
      </w:r>
    </w:p>
    <w:p w:rsidR="004D3B4A" w:rsidRPr="006F035B" w:rsidRDefault="005361B1" w:rsidP="004D3B4A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Účtovná závierka za rok 2013 nebola povinne auditovaná.</w:t>
      </w:r>
    </w:p>
    <w:bookmarkEnd w:id="2"/>
    <w:bookmarkEnd w:id="3"/>
    <w:p w:rsidR="004D3B4A" w:rsidRPr="006F035B" w:rsidRDefault="004D3B4A" w:rsidP="004D3B4A">
      <w:pPr>
        <w:pStyle w:val="Zkladntext"/>
        <w:jc w:val="left"/>
        <w:rPr>
          <w:rFonts w:ascii="Arial" w:hAnsi="Arial" w:cs="Arial"/>
          <w:szCs w:val="18"/>
        </w:rPr>
      </w:pPr>
    </w:p>
    <w:p w:rsidR="004D3B4A" w:rsidRPr="006F035B" w:rsidRDefault="00AC0C4D" w:rsidP="00AC0C4D">
      <w:pPr>
        <w:pStyle w:val="Nadpis1"/>
        <w:numPr>
          <w:ilvl w:val="0"/>
          <w:numId w:val="0"/>
        </w:numPr>
        <w:spacing w:before="120" w:after="60"/>
        <w:ind w:left="360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C. </w:t>
      </w:r>
      <w:r w:rsidR="004D3B4A" w:rsidRPr="006F035B">
        <w:rPr>
          <w:rFonts w:ascii="Arial" w:hAnsi="Arial" w:cs="Arial"/>
          <w:szCs w:val="18"/>
        </w:rPr>
        <w:t>Informácie o konsolidovanom celku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5B259A" w:rsidRPr="006F035B" w:rsidRDefault="005B259A" w:rsidP="00384DDC">
      <w:pPr>
        <w:jc w:val="both"/>
        <w:rPr>
          <w:rFonts w:ascii="Arial" w:hAnsi="Arial" w:cs="Arial"/>
          <w:color w:val="000000"/>
          <w:sz w:val="18"/>
          <w:szCs w:val="18"/>
        </w:rPr>
      </w:pPr>
      <w:r w:rsidRPr="006F035B">
        <w:rPr>
          <w:rFonts w:ascii="Arial" w:hAnsi="Arial" w:cs="Arial"/>
          <w:color w:val="000000"/>
          <w:sz w:val="18"/>
          <w:szCs w:val="18"/>
        </w:rPr>
        <w:t>C.1. Spoločnosť v účtovnom období nevlastnila podiely v iných spoločnostiach.</w:t>
      </w:r>
    </w:p>
    <w:p w:rsidR="005B259A" w:rsidRPr="006F035B" w:rsidRDefault="005B259A" w:rsidP="00384DDC">
      <w:pPr>
        <w:jc w:val="both"/>
        <w:rPr>
          <w:rFonts w:ascii="Arial" w:hAnsi="Arial" w:cs="Arial"/>
          <w:color w:val="000000"/>
          <w:sz w:val="18"/>
          <w:szCs w:val="18"/>
        </w:rPr>
      </w:pPr>
      <w:r w:rsidRPr="006F035B">
        <w:rPr>
          <w:rFonts w:ascii="Arial" w:hAnsi="Arial" w:cs="Arial"/>
          <w:color w:val="000000"/>
          <w:sz w:val="18"/>
          <w:szCs w:val="18"/>
        </w:rPr>
        <w:t>C.2. Spoločnosť v účtovnom období nezostavovala konsolidovanú účtovnú závierku.</w:t>
      </w:r>
    </w:p>
    <w:p w:rsidR="005B259A" w:rsidRPr="006F035B" w:rsidRDefault="005B259A" w:rsidP="005B259A">
      <w:pPr>
        <w:spacing w:before="96"/>
        <w:rPr>
          <w:rFonts w:ascii="Arial" w:hAnsi="Arial" w:cs="Arial"/>
          <w:color w:val="000000"/>
          <w:sz w:val="18"/>
          <w:szCs w:val="18"/>
        </w:rPr>
      </w:pPr>
    </w:p>
    <w:p w:rsidR="004D3B4A" w:rsidRPr="006F035B" w:rsidRDefault="00AC0C4D" w:rsidP="005B259A">
      <w:pPr>
        <w:pStyle w:val="Nadpis1"/>
        <w:numPr>
          <w:ilvl w:val="0"/>
          <w:numId w:val="0"/>
        </w:numPr>
        <w:spacing w:before="120" w:after="60"/>
        <w:ind w:left="360"/>
        <w:rPr>
          <w:rFonts w:ascii="Arial" w:hAnsi="Arial" w:cs="Arial"/>
          <w:szCs w:val="18"/>
        </w:rPr>
      </w:pPr>
      <w:bookmarkStart w:id="4" w:name="_Toc530739899"/>
      <w:r w:rsidRPr="006F035B">
        <w:rPr>
          <w:rFonts w:ascii="Arial" w:hAnsi="Arial" w:cs="Arial"/>
          <w:szCs w:val="18"/>
        </w:rPr>
        <w:t xml:space="preserve">E. </w:t>
      </w:r>
      <w:r w:rsidR="004D3B4A" w:rsidRPr="006F035B">
        <w:rPr>
          <w:rFonts w:ascii="Arial" w:hAnsi="Arial" w:cs="Arial"/>
          <w:szCs w:val="18"/>
        </w:rPr>
        <w:t xml:space="preserve">Informácie o účtovných zásadách a účtovných metódach  </w:t>
      </w:r>
      <w:bookmarkEnd w:id="4"/>
    </w:p>
    <w:p w:rsidR="004D3B4A" w:rsidRPr="006F035B" w:rsidRDefault="004D3B4A" w:rsidP="005B259A">
      <w:pPr>
        <w:pStyle w:val="Nadpis1"/>
        <w:numPr>
          <w:ilvl w:val="0"/>
          <w:numId w:val="0"/>
        </w:numPr>
        <w:spacing w:before="120" w:after="60"/>
        <w:ind w:left="360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Východiská pre zostavenie účtovnej závierky</w:t>
      </w:r>
    </w:p>
    <w:p w:rsidR="004D3B4A" w:rsidRPr="006F035B" w:rsidRDefault="004D3B4A" w:rsidP="004D3B4A">
      <w:pPr>
        <w:pStyle w:val="Zkladntext"/>
        <w:ind w:left="450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Účtovná závierka bola zostavená za predpokladu</w:t>
      </w:r>
      <w:r w:rsidR="008D48E9" w:rsidRPr="006F035B">
        <w:rPr>
          <w:rFonts w:ascii="Arial" w:hAnsi="Arial" w:cs="Arial"/>
          <w:szCs w:val="18"/>
        </w:rPr>
        <w:t>, že Spoločnosť bude</w:t>
      </w:r>
      <w:r w:rsidRPr="006F035B">
        <w:rPr>
          <w:rFonts w:ascii="Arial" w:hAnsi="Arial" w:cs="Arial"/>
          <w:szCs w:val="18"/>
        </w:rPr>
        <w:t xml:space="preserve"> nepretržit</w:t>
      </w:r>
      <w:r w:rsidR="008D48E9" w:rsidRPr="006F035B">
        <w:rPr>
          <w:rFonts w:ascii="Arial" w:hAnsi="Arial" w:cs="Arial"/>
          <w:szCs w:val="18"/>
        </w:rPr>
        <w:t>e pokračovať vo svojej činnosti</w:t>
      </w:r>
      <w:r w:rsidRPr="006F035B">
        <w:rPr>
          <w:rFonts w:ascii="Arial" w:hAnsi="Arial" w:cs="Arial"/>
          <w:szCs w:val="18"/>
        </w:rPr>
        <w:t xml:space="preserve"> (</w:t>
      </w:r>
      <w:proofErr w:type="spellStart"/>
      <w:r w:rsidRPr="006F035B">
        <w:rPr>
          <w:rFonts w:ascii="Arial" w:hAnsi="Arial" w:cs="Arial"/>
          <w:szCs w:val="18"/>
        </w:rPr>
        <w:t>going</w:t>
      </w:r>
      <w:proofErr w:type="spellEnd"/>
      <w:r w:rsidRPr="006F035B">
        <w:rPr>
          <w:rFonts w:ascii="Arial" w:hAnsi="Arial" w:cs="Arial"/>
          <w:szCs w:val="18"/>
        </w:rPr>
        <w:t xml:space="preserve"> </w:t>
      </w:r>
      <w:proofErr w:type="spellStart"/>
      <w:r w:rsidRPr="006F035B">
        <w:rPr>
          <w:rFonts w:ascii="Arial" w:hAnsi="Arial" w:cs="Arial"/>
          <w:szCs w:val="18"/>
        </w:rPr>
        <w:t>concern</w:t>
      </w:r>
      <w:proofErr w:type="spellEnd"/>
      <w:r w:rsidRPr="006F035B">
        <w:rPr>
          <w:rFonts w:ascii="Arial" w:hAnsi="Arial" w:cs="Arial"/>
          <w:szCs w:val="18"/>
        </w:rPr>
        <w:t>).</w:t>
      </w:r>
    </w:p>
    <w:p w:rsidR="004D3B4A" w:rsidRPr="006F035B" w:rsidRDefault="004D3B4A" w:rsidP="004D3B4A">
      <w:pPr>
        <w:pStyle w:val="Zkladntext"/>
        <w:ind w:left="450"/>
        <w:rPr>
          <w:rFonts w:ascii="Arial" w:hAnsi="Arial" w:cs="Arial"/>
          <w:szCs w:val="18"/>
        </w:rPr>
      </w:pPr>
    </w:p>
    <w:p w:rsidR="008B439F" w:rsidRPr="006F035B" w:rsidRDefault="004D3B4A" w:rsidP="004D3B4A">
      <w:pPr>
        <w:pStyle w:val="Zkladntext"/>
        <w:ind w:left="450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Účtovné metódy a všeobecné účtovné zásady boli účtovnou jednotkou konzistentne</w:t>
      </w:r>
      <w:r w:rsidR="00F4619A" w:rsidRPr="006F035B">
        <w:rPr>
          <w:rFonts w:ascii="Arial" w:hAnsi="Arial" w:cs="Arial"/>
          <w:szCs w:val="18"/>
        </w:rPr>
        <w:t xml:space="preserve"> aplikované</w:t>
      </w:r>
      <w:r w:rsidR="00CD2EFC" w:rsidRPr="006F035B">
        <w:rPr>
          <w:rFonts w:ascii="Arial" w:hAnsi="Arial" w:cs="Arial"/>
          <w:szCs w:val="18"/>
        </w:rPr>
        <w:t>.</w:t>
      </w:r>
    </w:p>
    <w:p w:rsidR="004317F0" w:rsidRPr="006F035B" w:rsidRDefault="004317F0" w:rsidP="004D3B4A">
      <w:pPr>
        <w:pStyle w:val="Zkladntext"/>
        <w:ind w:left="450"/>
        <w:rPr>
          <w:rFonts w:ascii="Arial" w:hAnsi="Arial" w:cs="Arial"/>
          <w:szCs w:val="18"/>
        </w:rPr>
      </w:pPr>
    </w:p>
    <w:p w:rsidR="004317F0" w:rsidRPr="006F035B" w:rsidRDefault="004317F0" w:rsidP="004D3B4A">
      <w:pPr>
        <w:pStyle w:val="Zkladntext"/>
        <w:ind w:left="450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V účtovnom období 201</w:t>
      </w:r>
      <w:r w:rsidR="00571627" w:rsidRPr="006F035B">
        <w:rPr>
          <w:rFonts w:ascii="Arial" w:hAnsi="Arial" w:cs="Arial"/>
          <w:szCs w:val="18"/>
        </w:rPr>
        <w:t>4</w:t>
      </w:r>
      <w:r w:rsidRPr="006F035B">
        <w:rPr>
          <w:rFonts w:ascii="Arial" w:hAnsi="Arial" w:cs="Arial"/>
          <w:szCs w:val="18"/>
        </w:rPr>
        <w:t xml:space="preserve"> Spoločnosť nevykonala žiadne opravy významných</w:t>
      </w:r>
      <w:r w:rsidR="007F232A" w:rsidRPr="006F035B">
        <w:rPr>
          <w:rFonts w:ascii="Arial" w:hAnsi="Arial" w:cs="Arial"/>
          <w:szCs w:val="18"/>
        </w:rPr>
        <w:t xml:space="preserve"> </w:t>
      </w:r>
      <w:r w:rsidRPr="006F035B">
        <w:rPr>
          <w:rFonts w:ascii="Arial" w:hAnsi="Arial" w:cs="Arial"/>
          <w:szCs w:val="18"/>
        </w:rPr>
        <w:t>chýb minulých účtovných období</w:t>
      </w:r>
      <w:r w:rsidR="0011133F" w:rsidRPr="006F035B">
        <w:rPr>
          <w:rFonts w:ascii="Arial" w:hAnsi="Arial" w:cs="Arial"/>
          <w:szCs w:val="18"/>
        </w:rPr>
        <w:t xml:space="preserve">. </w:t>
      </w:r>
    </w:p>
    <w:p w:rsidR="00A777E1" w:rsidRPr="006F035B" w:rsidRDefault="00A777E1">
      <w:pPr>
        <w:pStyle w:val="Zkladntext"/>
        <w:ind w:left="450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Dlhodobý nehmotný majetok a dlhodobý hmotný majetok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Dlhodobý majetok vytvorený vlastnou činnosťou </w:t>
      </w:r>
      <w:r w:rsidR="000E0AED">
        <w:rPr>
          <w:rFonts w:ascii="Arial" w:hAnsi="Arial" w:cs="Arial"/>
          <w:szCs w:val="18"/>
        </w:rPr>
        <w:t>nebol počas roku 2014 evidovaný.</w:t>
      </w:r>
    </w:p>
    <w:p w:rsidR="0058479C" w:rsidRPr="006F035B" w:rsidRDefault="0058479C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Náklady na výsku</w:t>
      </w:r>
      <w:r w:rsidR="000E0AED">
        <w:rPr>
          <w:rFonts w:ascii="Arial" w:hAnsi="Arial" w:cs="Arial"/>
          <w:szCs w:val="18"/>
        </w:rPr>
        <w:t>m a vývoj v priebehu roku 2014 neboli účtované.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Odpisy dlhodobého nehmotného majetku sú stanovené vychádzajúc z predpokladanej doby jeho používania </w:t>
      </w:r>
      <w:r w:rsidR="00727089">
        <w:rPr>
          <w:rFonts w:ascii="Arial" w:hAnsi="Arial" w:cs="Arial"/>
          <w:szCs w:val="18"/>
        </w:rPr>
        <w:t xml:space="preserve">  </w:t>
      </w:r>
      <w:r w:rsidRPr="006F035B">
        <w:rPr>
          <w:rFonts w:ascii="Arial" w:hAnsi="Arial" w:cs="Arial"/>
          <w:szCs w:val="18"/>
        </w:rPr>
        <w:t>a predpokladaného priebehu jeho opotrebenia.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B72C76" w:rsidRPr="006F035B" w:rsidRDefault="00B72C76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tbl>
      <w:tblPr>
        <w:tblW w:w="8859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3"/>
        <w:gridCol w:w="417"/>
        <w:gridCol w:w="1550"/>
        <w:gridCol w:w="222"/>
        <w:gridCol w:w="14"/>
        <w:gridCol w:w="1807"/>
        <w:gridCol w:w="14"/>
        <w:gridCol w:w="208"/>
        <w:gridCol w:w="14"/>
        <w:gridCol w:w="1686"/>
        <w:gridCol w:w="14"/>
      </w:tblGrid>
      <w:tr w:rsidR="004D3B4A" w:rsidRPr="006F035B" w:rsidTr="00B72C76">
        <w:trPr>
          <w:gridAfter w:val="1"/>
          <w:wAfter w:w="14" w:type="dxa"/>
          <w:trHeight w:val="250"/>
        </w:trPr>
        <w:tc>
          <w:tcPr>
            <w:tcW w:w="3330" w:type="dxa"/>
            <w:gridSpan w:val="2"/>
          </w:tcPr>
          <w:p w:rsidR="004D3B4A" w:rsidRPr="006F035B" w:rsidRDefault="004D3B4A" w:rsidP="0000290B">
            <w:pPr>
              <w:pStyle w:val="Tabulka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br w:type="page"/>
            </w:r>
          </w:p>
        </w:tc>
        <w:tc>
          <w:tcPr>
            <w:tcW w:w="1550" w:type="dxa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Predpokladaná</w:t>
            </w:r>
          </w:p>
        </w:tc>
        <w:tc>
          <w:tcPr>
            <w:tcW w:w="222" w:type="dxa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21" w:type="dxa"/>
            <w:gridSpan w:val="2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Metóda</w:t>
            </w:r>
          </w:p>
        </w:tc>
        <w:tc>
          <w:tcPr>
            <w:tcW w:w="222" w:type="dxa"/>
            <w:gridSpan w:val="2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0" w:type="dxa"/>
            <w:gridSpan w:val="2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Ročná odpisová</w:t>
            </w:r>
          </w:p>
        </w:tc>
      </w:tr>
      <w:tr w:rsidR="005B316E" w:rsidRPr="006F035B" w:rsidTr="00B72C76">
        <w:trPr>
          <w:gridAfter w:val="1"/>
          <w:wAfter w:w="14" w:type="dxa"/>
          <w:trHeight w:val="250"/>
        </w:trPr>
        <w:tc>
          <w:tcPr>
            <w:tcW w:w="2913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doba používania</w:t>
            </w:r>
            <w:r w:rsidRPr="006F035B">
              <w:rPr>
                <w:rFonts w:ascii="Arial" w:hAnsi="Arial" w:cs="Arial"/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21" w:type="dxa"/>
            <w:gridSpan w:val="2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odpisovania</w:t>
            </w:r>
          </w:p>
        </w:tc>
        <w:tc>
          <w:tcPr>
            <w:tcW w:w="222" w:type="dxa"/>
            <w:gridSpan w:val="2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</w:tcPr>
          <w:p w:rsidR="004D3B4A" w:rsidRPr="006F035B" w:rsidRDefault="004D3B4A" w:rsidP="00384DD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 xml:space="preserve">sadzba </w:t>
            </w:r>
          </w:p>
        </w:tc>
      </w:tr>
      <w:tr w:rsidR="004D3B4A" w:rsidRPr="006F035B" w:rsidTr="00B72C76">
        <w:trPr>
          <w:gridAfter w:val="1"/>
          <w:wAfter w:w="14" w:type="dxa"/>
          <w:trHeight w:val="250"/>
        </w:trPr>
        <w:tc>
          <w:tcPr>
            <w:tcW w:w="3330" w:type="dxa"/>
            <w:gridSpan w:val="2"/>
          </w:tcPr>
          <w:p w:rsidR="004D3B4A" w:rsidRPr="006F035B" w:rsidRDefault="004D3B4A" w:rsidP="005A684E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550" w:type="dxa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22" w:type="dxa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21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22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0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  <w:tr w:rsidR="004D3B4A" w:rsidRPr="006F035B" w:rsidTr="00B72C76">
        <w:trPr>
          <w:gridAfter w:val="1"/>
          <w:wAfter w:w="14" w:type="dxa"/>
          <w:trHeight w:val="250"/>
        </w:trPr>
        <w:tc>
          <w:tcPr>
            <w:tcW w:w="3330" w:type="dxa"/>
            <w:gridSpan w:val="2"/>
          </w:tcPr>
          <w:p w:rsidR="004D3B4A" w:rsidRPr="006F035B" w:rsidRDefault="004D3B4A" w:rsidP="005A684E">
            <w:pPr>
              <w:pStyle w:val="Tabulka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Softvér</w:t>
            </w:r>
          </w:p>
        </w:tc>
        <w:tc>
          <w:tcPr>
            <w:tcW w:w="1550" w:type="dxa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4</w:t>
            </w:r>
          </w:p>
        </w:tc>
        <w:tc>
          <w:tcPr>
            <w:tcW w:w="222" w:type="dxa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21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lineárna</w:t>
            </w:r>
          </w:p>
        </w:tc>
        <w:tc>
          <w:tcPr>
            <w:tcW w:w="222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0" w:type="dxa"/>
            <w:gridSpan w:val="2"/>
          </w:tcPr>
          <w:p w:rsidR="004D3B4A" w:rsidRPr="006F035B" w:rsidRDefault="00A7176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x/48</w:t>
            </w:r>
          </w:p>
        </w:tc>
      </w:tr>
      <w:tr w:rsidR="004D3B4A" w:rsidRPr="006F035B" w:rsidTr="00B72C7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0" w:type="dxa"/>
            <w:gridSpan w:val="2"/>
          </w:tcPr>
          <w:p w:rsidR="000E0AED" w:rsidRDefault="004D3B4A" w:rsidP="005A684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Drobný dlhodobý nehmotný majetok</w:t>
            </w:r>
          </w:p>
          <w:p w:rsidR="00A7176D" w:rsidRDefault="00A7176D" w:rsidP="005A684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  <w:p w:rsidR="00A7176D" w:rsidRDefault="00A7176D" w:rsidP="005A684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  <w:p w:rsidR="00A7176D" w:rsidRPr="006F035B" w:rsidRDefault="005A684E" w:rsidP="005A684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X = počet mesiacov užívania </w:t>
            </w:r>
            <w:r w:rsidR="00A7176D">
              <w:rPr>
                <w:rFonts w:ascii="Arial" w:hAnsi="Arial" w:cs="Arial"/>
                <w:szCs w:val="18"/>
              </w:rPr>
              <w:t>v aktuálnom roku</w:t>
            </w:r>
          </w:p>
        </w:tc>
        <w:tc>
          <w:tcPr>
            <w:tcW w:w="1550" w:type="dxa"/>
          </w:tcPr>
          <w:p w:rsidR="00A7176D" w:rsidRDefault="00A7176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R</w:t>
            </w:r>
            <w:r w:rsidR="004D3B4A" w:rsidRPr="006F035B">
              <w:rPr>
                <w:rFonts w:ascii="Arial" w:hAnsi="Arial" w:cs="Arial"/>
                <w:szCs w:val="18"/>
              </w:rPr>
              <w:t>ôzna</w:t>
            </w:r>
          </w:p>
          <w:p w:rsidR="005A684E" w:rsidRPr="006F035B" w:rsidRDefault="005A684E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36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21" w:type="dxa"/>
            <w:gridSpan w:val="2"/>
          </w:tcPr>
          <w:p w:rsidR="00A7176D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jednorazový odpis</w:t>
            </w:r>
          </w:p>
          <w:p w:rsidR="00A7176D" w:rsidRPr="006F035B" w:rsidRDefault="00A7176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22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0" w:type="dxa"/>
            <w:gridSpan w:val="2"/>
          </w:tcPr>
          <w:p w:rsidR="00A7176D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100</w:t>
            </w:r>
            <w:r w:rsidR="0047205F">
              <w:rPr>
                <w:rFonts w:ascii="Arial" w:hAnsi="Arial" w:cs="Arial"/>
                <w:szCs w:val="18"/>
              </w:rPr>
              <w:t xml:space="preserve"> %</w:t>
            </w:r>
          </w:p>
          <w:p w:rsidR="00A7176D" w:rsidRDefault="00A7176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A7176D" w:rsidRDefault="00A7176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A7176D" w:rsidRDefault="00A7176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A7176D" w:rsidRDefault="00A7176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0E0AED" w:rsidRDefault="000E0AE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0E0AED" w:rsidRDefault="000E0AE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0E0AED" w:rsidRPr="006F035B" w:rsidRDefault="000E0AE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</w:tbl>
    <w:p w:rsidR="005A684E" w:rsidRPr="006F035B" w:rsidRDefault="005A684E">
      <w:pPr>
        <w:pStyle w:val="Zkladntext"/>
        <w:rPr>
          <w:rFonts w:ascii="Arial" w:hAnsi="Arial" w:cs="Arial"/>
          <w:szCs w:val="18"/>
        </w:rPr>
      </w:pPr>
    </w:p>
    <w:p w:rsidR="00FE4512" w:rsidRDefault="00FE4512">
      <w:pPr>
        <w:pStyle w:val="Zkladntext"/>
        <w:rPr>
          <w:rFonts w:ascii="Arial" w:hAnsi="Arial" w:cs="Arial"/>
          <w:szCs w:val="18"/>
        </w:rPr>
      </w:pPr>
    </w:p>
    <w:p w:rsidR="00FE4512" w:rsidRDefault="00FE4512">
      <w:pPr>
        <w:pStyle w:val="Zkladntext"/>
        <w:rPr>
          <w:rFonts w:ascii="Arial" w:hAnsi="Arial" w:cs="Arial"/>
          <w:szCs w:val="18"/>
        </w:rPr>
      </w:pPr>
    </w:p>
    <w:p w:rsidR="00FE4512" w:rsidRDefault="00FE4512">
      <w:pPr>
        <w:pStyle w:val="Zkladntext"/>
        <w:rPr>
          <w:rFonts w:ascii="Arial" w:hAnsi="Arial" w:cs="Arial"/>
          <w:szCs w:val="18"/>
        </w:rPr>
      </w:pPr>
    </w:p>
    <w:p w:rsidR="00FE4512" w:rsidRDefault="00FE4512">
      <w:pPr>
        <w:pStyle w:val="Zkladntext"/>
        <w:rPr>
          <w:rFonts w:ascii="Arial" w:hAnsi="Arial" w:cs="Arial"/>
          <w:szCs w:val="18"/>
        </w:rPr>
      </w:pPr>
    </w:p>
    <w:p w:rsidR="00FE4512" w:rsidRDefault="00FE4512">
      <w:pPr>
        <w:pStyle w:val="Zkladntext"/>
        <w:rPr>
          <w:rFonts w:ascii="Arial" w:hAnsi="Arial" w:cs="Arial"/>
          <w:szCs w:val="18"/>
        </w:rPr>
      </w:pPr>
    </w:p>
    <w:p w:rsidR="00FE4512" w:rsidRDefault="00FE4512">
      <w:pPr>
        <w:pStyle w:val="Zkladntext"/>
        <w:rPr>
          <w:rFonts w:ascii="Arial" w:hAnsi="Arial" w:cs="Arial"/>
          <w:szCs w:val="18"/>
        </w:rPr>
      </w:pPr>
    </w:p>
    <w:p w:rsidR="00FE4512" w:rsidRDefault="00FE4512">
      <w:pPr>
        <w:pStyle w:val="Zkladntext"/>
        <w:rPr>
          <w:rFonts w:ascii="Arial" w:hAnsi="Arial" w:cs="Arial"/>
          <w:szCs w:val="18"/>
        </w:rPr>
      </w:pPr>
    </w:p>
    <w:p w:rsidR="00FE4512" w:rsidRDefault="00FE4512">
      <w:pPr>
        <w:pStyle w:val="Zkladntext"/>
        <w:rPr>
          <w:rFonts w:ascii="Arial" w:hAnsi="Arial" w:cs="Arial"/>
          <w:szCs w:val="18"/>
        </w:rPr>
      </w:pPr>
    </w:p>
    <w:p w:rsidR="00FE4512" w:rsidRDefault="00FE4512">
      <w:pPr>
        <w:pStyle w:val="Zkladntext"/>
        <w:rPr>
          <w:rFonts w:ascii="Arial" w:hAnsi="Arial" w:cs="Arial"/>
          <w:szCs w:val="18"/>
        </w:rPr>
      </w:pPr>
    </w:p>
    <w:p w:rsidR="00727089" w:rsidRDefault="00727089">
      <w:pPr>
        <w:pStyle w:val="Zkladntext"/>
        <w:rPr>
          <w:rFonts w:ascii="Arial" w:hAnsi="Arial" w:cs="Arial"/>
          <w:szCs w:val="18"/>
        </w:rPr>
      </w:pPr>
    </w:p>
    <w:p w:rsidR="00F46C6C" w:rsidRPr="006F035B" w:rsidRDefault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1 700 EUR a nižšia, sa odpisuje jednorazovo pri uvedení do používania. Predpokladaná doba používania, metóda odpisovania a odpisová sadzba sú uvedené v nasledujúcej tabuľke:</w:t>
      </w:r>
    </w:p>
    <w:p w:rsidR="00F46C6C" w:rsidRPr="006F035B" w:rsidRDefault="00F46C6C">
      <w:pPr>
        <w:pStyle w:val="Zkladntext"/>
        <w:rPr>
          <w:rFonts w:ascii="Arial" w:hAnsi="Arial" w:cs="Arial"/>
          <w:szCs w:val="18"/>
        </w:rPr>
      </w:pPr>
    </w:p>
    <w:p w:rsidR="005A684E" w:rsidRPr="006F035B" w:rsidRDefault="005A684E" w:rsidP="005A684E">
      <w:pPr>
        <w:pStyle w:val="Zkladntext"/>
        <w:ind w:left="0"/>
        <w:rPr>
          <w:rFonts w:ascii="Arial" w:hAnsi="Arial" w:cs="Arial"/>
          <w:szCs w:val="18"/>
        </w:rPr>
      </w:pPr>
    </w:p>
    <w:tbl>
      <w:tblPr>
        <w:tblW w:w="0" w:type="auto"/>
        <w:tblInd w:w="504" w:type="dxa"/>
        <w:tblLayout w:type="fixed"/>
        <w:tblCellMar>
          <w:left w:w="144" w:type="dxa"/>
          <w:right w:w="30" w:type="dxa"/>
        </w:tblCellMar>
        <w:tblLook w:val="0000" w:firstRow="0" w:lastRow="0" w:firstColumn="0" w:lastColumn="0" w:noHBand="0" w:noVBand="0"/>
      </w:tblPr>
      <w:tblGrid>
        <w:gridCol w:w="2742"/>
        <w:gridCol w:w="80"/>
        <w:gridCol w:w="114"/>
        <w:gridCol w:w="1985"/>
        <w:gridCol w:w="194"/>
        <w:gridCol w:w="1701"/>
        <w:gridCol w:w="194"/>
        <w:gridCol w:w="1701"/>
      </w:tblGrid>
      <w:tr w:rsidR="004D3B4A" w:rsidRPr="006F035B" w:rsidTr="0046292F">
        <w:trPr>
          <w:trHeight w:val="250"/>
        </w:trPr>
        <w:tc>
          <w:tcPr>
            <w:tcW w:w="2822" w:type="dxa"/>
            <w:gridSpan w:val="2"/>
          </w:tcPr>
          <w:p w:rsidR="004D3B4A" w:rsidRPr="006F035B" w:rsidRDefault="004D3B4A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2099" w:type="dxa"/>
            <w:gridSpan w:val="2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Predpokladaná</w:t>
            </w:r>
          </w:p>
        </w:tc>
        <w:tc>
          <w:tcPr>
            <w:tcW w:w="194" w:type="dxa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Metóda</w:t>
            </w:r>
          </w:p>
        </w:tc>
        <w:tc>
          <w:tcPr>
            <w:tcW w:w="194" w:type="dxa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Ročná odpisová</w:t>
            </w:r>
          </w:p>
        </w:tc>
      </w:tr>
      <w:tr w:rsidR="004D3B4A" w:rsidRPr="006F035B" w:rsidTr="0046292F">
        <w:trPr>
          <w:trHeight w:val="250"/>
        </w:trPr>
        <w:tc>
          <w:tcPr>
            <w:tcW w:w="2742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94" w:type="dxa"/>
            <w:gridSpan w:val="2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doba používania v rokoch</w:t>
            </w:r>
          </w:p>
        </w:tc>
        <w:tc>
          <w:tcPr>
            <w:tcW w:w="194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odpisovania</w:t>
            </w:r>
          </w:p>
        </w:tc>
        <w:tc>
          <w:tcPr>
            <w:tcW w:w="194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6F035B" w:rsidRDefault="004D3B4A" w:rsidP="00384DD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 xml:space="preserve">sadzba </w:t>
            </w:r>
          </w:p>
        </w:tc>
      </w:tr>
      <w:tr w:rsidR="005A684E" w:rsidRPr="006F035B" w:rsidTr="0046292F">
        <w:trPr>
          <w:trHeight w:val="250"/>
        </w:trPr>
        <w:tc>
          <w:tcPr>
            <w:tcW w:w="2822" w:type="dxa"/>
            <w:gridSpan w:val="2"/>
            <w:tcBorders>
              <w:top w:val="single" w:sz="4" w:space="0" w:color="auto"/>
            </w:tcBorders>
          </w:tcPr>
          <w:p w:rsidR="005A684E" w:rsidRDefault="005A684E" w:rsidP="00F6282C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  <w:p w:rsidR="005A684E" w:rsidRDefault="005A684E" w:rsidP="0046292F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Drobný dlhodobý hmotný majetok </w:t>
            </w:r>
          </w:p>
          <w:p w:rsidR="005A684E" w:rsidRDefault="005A684E" w:rsidP="0046292F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Mimo PC a NTB</w:t>
            </w:r>
          </w:p>
          <w:p w:rsidR="005A684E" w:rsidRDefault="005A684E" w:rsidP="0046292F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PC a NTB</w:t>
            </w:r>
          </w:p>
          <w:p w:rsidR="005A684E" w:rsidRDefault="005A684E" w:rsidP="0046292F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Osobné automobily - v majetku</w:t>
            </w:r>
          </w:p>
          <w:p w:rsidR="005A684E" w:rsidRDefault="005A684E" w:rsidP="0046292F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Osobné automobily – leasing</w:t>
            </w:r>
          </w:p>
          <w:p w:rsidR="005A684E" w:rsidRDefault="005A684E" w:rsidP="0046292F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Pracovné náradie odpisované</w:t>
            </w:r>
          </w:p>
          <w:p w:rsidR="005A684E" w:rsidRDefault="005A684E" w:rsidP="00F6282C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  <w:p w:rsidR="005A684E" w:rsidRDefault="005A684E" w:rsidP="00F6282C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  <w:p w:rsidR="005A684E" w:rsidRPr="006F035B" w:rsidRDefault="005A684E" w:rsidP="00F6282C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X = počet mesiacov užívania v aktuálnom roku</w:t>
            </w:r>
          </w:p>
        </w:tc>
        <w:tc>
          <w:tcPr>
            <w:tcW w:w="2099" w:type="dxa"/>
            <w:gridSpan w:val="2"/>
            <w:tcBorders>
              <w:top w:val="single" w:sz="4" w:space="0" w:color="auto"/>
            </w:tcBorders>
          </w:tcPr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Rôzna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3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4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4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4</w:t>
            </w:r>
          </w:p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6</w:t>
            </w:r>
          </w:p>
        </w:tc>
        <w:tc>
          <w:tcPr>
            <w:tcW w:w="194" w:type="dxa"/>
            <w:tcBorders>
              <w:top w:val="single" w:sz="4" w:space="0" w:color="auto"/>
            </w:tcBorders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jednorazový odpis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lineárna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lineárna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lineárna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lineárna</w:t>
            </w:r>
          </w:p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lineárna</w:t>
            </w:r>
          </w:p>
        </w:tc>
        <w:tc>
          <w:tcPr>
            <w:tcW w:w="194" w:type="dxa"/>
            <w:tcBorders>
              <w:top w:val="single" w:sz="4" w:space="0" w:color="auto"/>
            </w:tcBorders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100 %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x/36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x/48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x/48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x/48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x/72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  <w:tr w:rsidR="005A684E" w:rsidRPr="006F035B" w:rsidTr="0046292F">
        <w:trPr>
          <w:trHeight w:val="250"/>
        </w:trPr>
        <w:tc>
          <w:tcPr>
            <w:tcW w:w="2822" w:type="dxa"/>
            <w:gridSpan w:val="2"/>
          </w:tcPr>
          <w:p w:rsidR="005A684E" w:rsidRPr="006F035B" w:rsidRDefault="005A684E" w:rsidP="00F6282C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</w:tc>
        <w:tc>
          <w:tcPr>
            <w:tcW w:w="2099" w:type="dxa"/>
            <w:gridSpan w:val="2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4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4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  <w:tr w:rsidR="005A684E" w:rsidRPr="006F035B" w:rsidTr="0046292F">
        <w:trPr>
          <w:trHeight w:val="250"/>
        </w:trPr>
        <w:tc>
          <w:tcPr>
            <w:tcW w:w="2822" w:type="dxa"/>
            <w:gridSpan w:val="2"/>
          </w:tcPr>
          <w:p w:rsidR="005A684E" w:rsidRPr="006F035B" w:rsidRDefault="005A684E" w:rsidP="00F6282C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</w:tc>
        <w:tc>
          <w:tcPr>
            <w:tcW w:w="2099" w:type="dxa"/>
            <w:gridSpan w:val="2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4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4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</w:tbl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Zásoby 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6F035B" w:rsidRDefault="00D566E2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D4557E" w:rsidRPr="006F035B" w:rsidRDefault="00D4557E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Zákazková výroba</w:t>
      </w:r>
    </w:p>
    <w:p w:rsidR="004D3B4A" w:rsidRPr="006F035B" w:rsidRDefault="004D3B4A" w:rsidP="0090087D">
      <w:pPr>
        <w:pStyle w:val="Zkladntext"/>
        <w:rPr>
          <w:rFonts w:ascii="Arial" w:hAnsi="Arial" w:cs="Arial"/>
          <w:b/>
          <w:szCs w:val="18"/>
        </w:rPr>
      </w:pPr>
      <w:r w:rsidRPr="006F035B">
        <w:rPr>
          <w:rFonts w:ascii="Arial" w:hAnsi="Arial" w:cs="Arial"/>
          <w:szCs w:val="18"/>
        </w:rPr>
        <w:t xml:space="preserve">Zákazková výroba sa vykazuje použitím metódy stupňa dokončenia zákazky (angl. </w:t>
      </w:r>
      <w:proofErr w:type="spellStart"/>
      <w:r w:rsidRPr="006F035B">
        <w:rPr>
          <w:rFonts w:ascii="Arial" w:hAnsi="Arial" w:cs="Arial"/>
          <w:szCs w:val="18"/>
        </w:rPr>
        <w:t>percentage-of-completion-method</w:t>
      </w:r>
      <w:proofErr w:type="spellEnd"/>
      <w:r w:rsidRPr="006F035B">
        <w:rPr>
          <w:rFonts w:ascii="Arial" w:hAnsi="Arial" w:cs="Arial"/>
          <w:szCs w:val="18"/>
        </w:rPr>
        <w:t>).</w:t>
      </w:r>
    </w:p>
    <w:p w:rsidR="004D3B4A" w:rsidRPr="006F035B" w:rsidRDefault="004D3B4A" w:rsidP="00251BF2">
      <w:pPr>
        <w:pStyle w:val="Pismenka"/>
        <w:numPr>
          <w:ilvl w:val="0"/>
          <w:numId w:val="0"/>
        </w:numPr>
        <w:rPr>
          <w:rFonts w:ascii="Arial" w:hAnsi="Arial" w:cs="Arial"/>
          <w:b w:val="0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Pohľadávky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Peňažné prostriedky a ceniny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Peňažné prostriedky a ceniny sa oceňujú ich menovitou hodnotou. Zníženie ich hodnoty sa vyjadruje opravnou položkou.</w:t>
      </w:r>
    </w:p>
    <w:p w:rsidR="00F46C6C" w:rsidRPr="006F035B" w:rsidRDefault="00F46C6C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Náklady budúcich období a príjmy budúcich období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Rezervy</w:t>
      </w:r>
    </w:p>
    <w:p w:rsidR="004D3B4A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6F035B" w:rsidRDefault="004D3B4A" w:rsidP="00251BF2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Záväzky</w:t>
      </w:r>
    </w:p>
    <w:p w:rsidR="004D3B4A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0087D" w:rsidRDefault="0090087D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Odložené dane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Odložené dane (odložená daňová pohľadávka a odložený daňový záväzok) sa vzťahujú na: </w:t>
      </w:r>
    </w:p>
    <w:p w:rsidR="004D3B4A" w:rsidRPr="006F035B" w:rsidRDefault="004D3B4A" w:rsidP="001E1FF8">
      <w:pPr>
        <w:pStyle w:val="Zkladntext"/>
        <w:numPr>
          <w:ilvl w:val="0"/>
          <w:numId w:val="4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lastRenderedPageBreak/>
        <w:t>dočasné rozdiely medzi účtovnou hodnotou majetku a účtovnou hodnotou záväzkov vykázanou v súvahe a ich daňovou základňou,</w:t>
      </w:r>
    </w:p>
    <w:p w:rsidR="004D3B4A" w:rsidRPr="006F035B" w:rsidRDefault="004D3B4A" w:rsidP="001E1FF8">
      <w:pPr>
        <w:pStyle w:val="Zkladntext"/>
        <w:numPr>
          <w:ilvl w:val="0"/>
          <w:numId w:val="4"/>
        </w:numPr>
        <w:rPr>
          <w:rFonts w:ascii="Arial" w:hAnsi="Arial" w:cs="Arial"/>
          <w:szCs w:val="18"/>
        </w:rPr>
      </w:pPr>
      <w:bookmarkStart w:id="5" w:name="_GoBack"/>
      <w:bookmarkEnd w:id="5"/>
      <w:r w:rsidRPr="006F035B">
        <w:rPr>
          <w:rFonts w:ascii="Arial" w:hAnsi="Arial" w:cs="Arial"/>
          <w:szCs w:val="18"/>
        </w:rPr>
        <w:t>možnosť previesť nevyužité daňové odpočty a iné daňové nároky do budúcich období.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Výdavky budúcich období a výnosy budúcich období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4557E" w:rsidRPr="006F035B" w:rsidRDefault="00D4557E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Prenájom (lízing)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Majetok prenajatý na základe operatívneho prenájmu vykazuje ako svoj majetok jeho vlastník, nie nájomca.</w:t>
      </w:r>
    </w:p>
    <w:p w:rsidR="00AB6B04" w:rsidRPr="006F035B" w:rsidRDefault="00AB6B04" w:rsidP="004D3B4A">
      <w:pPr>
        <w:pStyle w:val="Zkladntext"/>
        <w:rPr>
          <w:rFonts w:ascii="Arial" w:hAnsi="Arial" w:cs="Arial"/>
          <w:szCs w:val="18"/>
        </w:rPr>
      </w:pPr>
    </w:p>
    <w:p w:rsidR="00781875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Finančný prenájom </w:t>
      </w:r>
      <w:r w:rsidR="00A61FB3" w:rsidRPr="006F035B">
        <w:rPr>
          <w:rFonts w:ascii="Arial" w:hAnsi="Arial" w:cs="Arial"/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6F035B">
        <w:rPr>
          <w:rFonts w:ascii="Arial" w:hAnsi="Arial" w:cs="Arial"/>
          <w:szCs w:val="18"/>
        </w:rPr>
        <w:t xml:space="preserve"> </w:t>
      </w:r>
      <w:r w:rsidR="00172D44" w:rsidRPr="006F035B">
        <w:rPr>
          <w:rFonts w:ascii="Arial" w:hAnsi="Arial" w:cs="Arial"/>
          <w:szCs w:val="18"/>
        </w:rPr>
        <w:t>Majetok prenajatý  formou finančného prenájmu vykazuje ako svoj majetok a odpisuje ho jeho nájomca, nie vlastník.</w:t>
      </w:r>
      <w:r w:rsidR="00781875" w:rsidRPr="006F035B">
        <w:rPr>
          <w:rFonts w:ascii="Arial" w:hAnsi="Arial" w:cs="Arial"/>
          <w:szCs w:val="18"/>
        </w:rPr>
        <w:t xml:space="preserve"> </w:t>
      </w:r>
    </w:p>
    <w:p w:rsidR="00781875" w:rsidRPr="006F035B" w:rsidRDefault="00781875" w:rsidP="004D3B4A">
      <w:pPr>
        <w:pStyle w:val="Zkladntext"/>
        <w:rPr>
          <w:rFonts w:ascii="Arial" w:hAnsi="Arial" w:cs="Arial"/>
          <w:szCs w:val="18"/>
        </w:rPr>
      </w:pPr>
    </w:p>
    <w:p w:rsidR="00781875" w:rsidRPr="006F035B" w:rsidRDefault="00781875" w:rsidP="00781875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 w:rsidRPr="006F035B">
        <w:rPr>
          <w:rFonts w:ascii="Arial" w:hAnsi="Arial" w:cs="Arial"/>
          <w:szCs w:val="18"/>
        </w:rPr>
        <w:t>eb zníženými</w:t>
      </w:r>
      <w:r w:rsidRPr="006F035B">
        <w:rPr>
          <w:rFonts w:ascii="Arial" w:hAnsi="Arial" w:cs="Arial"/>
          <w:szCs w:val="18"/>
        </w:rPr>
        <w:t xml:space="preserve"> o nerealizované finančné náklady.</w:t>
      </w:r>
    </w:p>
    <w:p w:rsidR="00781875" w:rsidRPr="006F035B" w:rsidRDefault="00781875" w:rsidP="00781875">
      <w:pPr>
        <w:pStyle w:val="Zkladntext"/>
        <w:rPr>
          <w:rFonts w:ascii="Arial" w:hAnsi="Arial" w:cs="Arial"/>
          <w:szCs w:val="18"/>
        </w:rPr>
      </w:pPr>
    </w:p>
    <w:p w:rsidR="00A61FB3" w:rsidRPr="006F035B" w:rsidRDefault="006957CC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6F035B">
        <w:rPr>
          <w:rFonts w:ascii="Arial" w:hAnsi="Arial" w:cs="Arial"/>
          <w:szCs w:val="18"/>
        </w:rPr>
        <w:t xml:space="preserve"> </w:t>
      </w:r>
      <w:r w:rsidR="000C17C3" w:rsidRPr="006F035B">
        <w:rPr>
          <w:rFonts w:ascii="Arial" w:hAnsi="Arial" w:cs="Arial"/>
          <w:szCs w:val="18"/>
        </w:rPr>
        <w:t>% dob</w:t>
      </w:r>
      <w:r w:rsidRPr="006F035B">
        <w:rPr>
          <w:rFonts w:ascii="Arial" w:hAnsi="Arial" w:cs="Arial"/>
          <w:szCs w:val="18"/>
        </w:rPr>
        <w:t xml:space="preserve">y odpisovania podľa daňových predpisov, </w:t>
      </w:r>
      <w:r w:rsidR="00221F76" w:rsidRPr="006F035B">
        <w:rPr>
          <w:rFonts w:ascii="Arial" w:hAnsi="Arial" w:cs="Arial"/>
          <w:szCs w:val="18"/>
        </w:rPr>
        <w:t xml:space="preserve">minimálne však 3 roky. </w:t>
      </w:r>
      <w:r w:rsidR="00172D44" w:rsidRPr="006F035B">
        <w:rPr>
          <w:rFonts w:ascii="Arial" w:hAnsi="Arial" w:cs="Arial"/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4D3B4A" w:rsidRPr="006F035B" w:rsidRDefault="004D3B4A" w:rsidP="005B259A">
      <w:pPr>
        <w:pStyle w:val="Zkladntext"/>
        <w:ind w:left="0"/>
        <w:rPr>
          <w:rFonts w:ascii="Arial" w:hAnsi="Arial" w:cs="Arial"/>
          <w:szCs w:val="18"/>
        </w:rPr>
      </w:pPr>
    </w:p>
    <w:p w:rsidR="004D3B4A" w:rsidRPr="006F035B" w:rsidRDefault="004D3B4A" w:rsidP="005B259A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Cudzia mena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6F035B" w:rsidRDefault="002724ED" w:rsidP="004D3B4A">
      <w:pPr>
        <w:pStyle w:val="Zkladntext"/>
        <w:rPr>
          <w:rFonts w:ascii="Arial" w:hAnsi="Arial" w:cs="Arial"/>
          <w:szCs w:val="18"/>
        </w:rPr>
      </w:pPr>
    </w:p>
    <w:p w:rsidR="001E27A6" w:rsidRPr="006F035B" w:rsidRDefault="001E27A6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Na ocenenie prírastku cudzej meny nakúpenej za euro sa použije kurz, za ktorý bola táto cudzia mena nakúpená.</w:t>
      </w:r>
    </w:p>
    <w:p w:rsidR="001E27A6" w:rsidRPr="006F035B" w:rsidRDefault="001E27A6" w:rsidP="004D3B4A">
      <w:pPr>
        <w:pStyle w:val="Zkladntext"/>
        <w:rPr>
          <w:rFonts w:ascii="Arial" w:hAnsi="Arial" w:cs="Arial"/>
          <w:szCs w:val="18"/>
        </w:rPr>
      </w:pPr>
    </w:p>
    <w:p w:rsidR="001E27A6" w:rsidRPr="006F035B" w:rsidRDefault="001E27A6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Na úbytok rovnakej cudzej meny v hotovosti alebo z devízového účtu sa na prepočet cudzej meny na eurá použije </w:t>
      </w:r>
      <w:r w:rsidR="00B56595" w:rsidRPr="006F035B">
        <w:rPr>
          <w:rFonts w:ascii="Arial" w:hAnsi="Arial" w:cs="Arial"/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6F035B" w:rsidRDefault="001E27A6" w:rsidP="004D3B4A">
      <w:pPr>
        <w:pStyle w:val="Zkladntext"/>
        <w:rPr>
          <w:rFonts w:ascii="Arial" w:hAnsi="Arial" w:cs="Arial"/>
          <w:szCs w:val="18"/>
        </w:rPr>
      </w:pPr>
    </w:p>
    <w:p w:rsidR="00E5113F" w:rsidRPr="006F035B" w:rsidRDefault="004D3B4A" w:rsidP="00E5113F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6F035B">
        <w:rPr>
          <w:rFonts w:ascii="Arial" w:hAnsi="Arial" w:cs="Arial"/>
          <w:szCs w:val="18"/>
        </w:rPr>
        <w:t xml:space="preserve">Ku dňu, ku ktorému sa zostavuje účtovná závierka, sa už neprepočítavajú. </w:t>
      </w:r>
    </w:p>
    <w:p w:rsidR="006E554A" w:rsidRPr="006F035B" w:rsidRDefault="006E554A" w:rsidP="004D3B4A">
      <w:pPr>
        <w:pStyle w:val="Zkladntext"/>
        <w:rPr>
          <w:rFonts w:ascii="Arial" w:hAnsi="Arial" w:cs="Arial"/>
          <w:szCs w:val="18"/>
        </w:rPr>
      </w:pPr>
    </w:p>
    <w:p w:rsidR="00BB2336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5B259A" w:rsidRPr="006F035B" w:rsidRDefault="005B259A" w:rsidP="005B259A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Vykazovanie nákladov a výnosov</w:t>
      </w:r>
    </w:p>
    <w:p w:rsidR="005B259A" w:rsidRDefault="005B259A" w:rsidP="005B259A">
      <w:pPr>
        <w:pStyle w:val="Pismenka"/>
        <w:numPr>
          <w:ilvl w:val="0"/>
          <w:numId w:val="0"/>
        </w:numPr>
        <w:ind w:left="426"/>
        <w:rPr>
          <w:rFonts w:ascii="Arial" w:hAnsi="Arial" w:cs="Arial"/>
          <w:b w:val="0"/>
          <w:szCs w:val="18"/>
        </w:rPr>
      </w:pPr>
      <w:r w:rsidRPr="006F035B">
        <w:rPr>
          <w:rFonts w:ascii="Arial" w:hAnsi="Arial" w:cs="Arial"/>
          <w:b w:val="0"/>
          <w:szCs w:val="18"/>
        </w:rPr>
        <w:t>Spoločnosť účtuje náklady a výnosy časovo rozlíšené do obdobia, s ktorým časovo alebo vecne súvisia, t. j. bez ohľadu na to, kedy prichádza k ich peňažnej úhrade.</w:t>
      </w:r>
    </w:p>
    <w:p w:rsidR="00FF4DDC" w:rsidRPr="006F035B" w:rsidRDefault="00FF4DDC" w:rsidP="005B259A">
      <w:pPr>
        <w:pStyle w:val="Pismenka"/>
        <w:numPr>
          <w:ilvl w:val="0"/>
          <w:numId w:val="0"/>
        </w:numPr>
        <w:ind w:left="426"/>
        <w:rPr>
          <w:rFonts w:ascii="Arial" w:hAnsi="Arial" w:cs="Arial"/>
          <w:b w:val="0"/>
          <w:szCs w:val="18"/>
        </w:rPr>
      </w:pPr>
    </w:p>
    <w:p w:rsidR="004D3B4A" w:rsidRPr="006F035B" w:rsidRDefault="004D3B4A" w:rsidP="005B259A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Cs w:val="18"/>
        </w:rPr>
      </w:pPr>
    </w:p>
    <w:p w:rsidR="005B259A" w:rsidRPr="006F035B" w:rsidRDefault="00D75D1E" w:rsidP="00FF4DDC">
      <w:pPr>
        <w:pageBreakBefore/>
        <w:tabs>
          <w:tab w:val="left" w:pos="3402"/>
        </w:tabs>
        <w:spacing w:before="96"/>
        <w:jc w:val="both"/>
        <w:outlineLvl w:val="0"/>
        <w:rPr>
          <w:rFonts w:ascii="Arial" w:hAnsi="Arial" w:cs="Arial"/>
          <w:szCs w:val="18"/>
        </w:rPr>
      </w:pPr>
      <w:r w:rsidRPr="006F035B">
        <w:rPr>
          <w:rFonts w:ascii="Arial" w:hAnsi="Arial" w:cs="Arial"/>
          <w:b/>
          <w:color w:val="000000"/>
          <w:sz w:val="18"/>
          <w:szCs w:val="18"/>
        </w:rPr>
        <w:lastRenderedPageBreak/>
        <w:t>F. INFORMÁCIE O ÚDAJOCH NA STRANE AKTÍV SÚVAHY</w:t>
      </w:r>
    </w:p>
    <w:sectPr w:rsidR="005B259A" w:rsidRPr="006F035B" w:rsidSect="008A1C0E">
      <w:head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1FF8" w:rsidRDefault="001E1FF8" w:rsidP="00E95128">
      <w:r>
        <w:separator/>
      </w:r>
    </w:p>
  </w:endnote>
  <w:endnote w:type="continuationSeparator" w:id="0">
    <w:p w:rsidR="001E1FF8" w:rsidRDefault="001E1FF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57CA" w:rsidRDefault="00A057C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277C06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277C06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277C06" w:rsidRPr="00F70C00">
          <w:rPr>
            <w:b/>
          </w:rPr>
          <w:fldChar w:fldCharType="end"/>
        </w:r>
      </w:sdtContent>
    </w:sdt>
  </w:p>
  <w:p w:rsidR="00A057CA" w:rsidRDefault="00A057C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057CA" w:rsidRPr="00F70C00" w:rsidRDefault="00A057C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1FF8" w:rsidRDefault="001E1FF8" w:rsidP="00E95128">
      <w:r>
        <w:separator/>
      </w:r>
    </w:p>
  </w:footnote>
  <w:footnote w:type="continuationSeparator" w:id="0">
    <w:p w:rsidR="001E1FF8" w:rsidRDefault="001E1FF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57CA" w:rsidRDefault="00A057C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057CA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057CA" w:rsidRPr="00C14925" w:rsidRDefault="00A057C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057CA" w:rsidRPr="00C14925" w:rsidRDefault="00A057C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057CA" w:rsidRPr="00833D0C" w:rsidRDefault="00A057C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057CA" w:rsidRPr="00833D0C" w:rsidRDefault="00A057C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A057CA" w:rsidRPr="00833D0C" w:rsidRDefault="00A057C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057CA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057CA" w:rsidRPr="00C14925" w:rsidRDefault="00A057C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057CA" w:rsidRPr="00C14925" w:rsidRDefault="00A057C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A057CA" w:rsidRDefault="00A057C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A057CA" w:rsidRPr="00E95128" w:rsidRDefault="00A057C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57CA" w:rsidRDefault="00A057C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057CA" w:rsidRPr="00E95128" w:rsidRDefault="00A057C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057CA" w:rsidRDefault="00A057C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057CA" w:rsidRPr="00E95128" w:rsidRDefault="00A057C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057CA" w:rsidTr="00D34B3E">
      <w:trPr>
        <w:trHeight w:val="299"/>
      </w:trPr>
      <w:tc>
        <w:tcPr>
          <w:tcW w:w="2251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057CA" w:rsidRPr="00E95128" w:rsidRDefault="00A057C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D3071AD"/>
    <w:multiLevelType w:val="hybridMultilevel"/>
    <w:tmpl w:val="65C49A8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469B7E60"/>
    <w:multiLevelType w:val="hybridMultilevel"/>
    <w:tmpl w:val="F6EC71BC"/>
    <w:lvl w:ilvl="0" w:tplc="BC4A01A2">
      <w:numFmt w:val="bullet"/>
      <w:lvlText w:val="-"/>
      <w:lvlJc w:val="left"/>
      <w:pPr>
        <w:ind w:left="720" w:hanging="360"/>
      </w:pPr>
      <w:rPr>
        <w:rFonts w:ascii="Arial CE" w:eastAsiaTheme="minorHAnsi" w:hAnsi="Arial CE" w:cs="Arial CE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0"/>
  </w:num>
  <w:num w:numId="5">
    <w:abstractNumId w:val="2"/>
  </w:num>
  <w:num w:numId="6">
    <w:abstractNumId w:val="3"/>
  </w:num>
  <w:num w:numId="7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0AED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FF8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7C06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547"/>
    <w:rsid w:val="00374CFA"/>
    <w:rsid w:val="00375AB4"/>
    <w:rsid w:val="003846B1"/>
    <w:rsid w:val="00384DDC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6767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92F"/>
    <w:rsid w:val="00462D57"/>
    <w:rsid w:val="00464F45"/>
    <w:rsid w:val="0047205F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61B1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684E"/>
    <w:rsid w:val="005A76F0"/>
    <w:rsid w:val="005A7FDD"/>
    <w:rsid w:val="005B259A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47D0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1D96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35B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27089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7FC4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3A1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087D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7CA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176D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0C4D"/>
    <w:rsid w:val="00AC12B2"/>
    <w:rsid w:val="00AC63EC"/>
    <w:rsid w:val="00AC6F96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34A2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C76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4D49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6DC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75D1E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512"/>
    <w:rsid w:val="00FF0E24"/>
    <w:rsid w:val="00FF3376"/>
    <w:rsid w:val="00FF46DB"/>
    <w:rsid w:val="00FF4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A057C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A057CA"/>
    <w:rPr>
      <w:rFonts w:ascii="Tahoma" w:eastAsia="Times New Roman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6F035B"/>
  </w:style>
  <w:style w:type="paragraph" w:customStyle="1" w:styleId="TopHeader">
    <w:name w:val="Top Header"/>
    <w:basedOn w:val="Normlny"/>
    <w:qFormat/>
    <w:rsid w:val="007E7FC4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A057C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A057CA"/>
    <w:rPr>
      <w:rFonts w:ascii="Tahoma" w:eastAsia="Times New Roman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6F035B"/>
  </w:style>
  <w:style w:type="paragraph" w:customStyle="1" w:styleId="TopHeader">
    <w:name w:val="Top Header"/>
    <w:basedOn w:val="Normlny"/>
    <w:qFormat/>
    <w:rsid w:val="007E7FC4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purl.org/dc/dcmitype/"/>
    <ds:schemaRef ds:uri="http://schemas.microsoft.com/sharepoint/v3"/>
    <ds:schemaRef ds:uri="http://schemas.microsoft.com/office/2006/metadata/properties"/>
    <ds:schemaRef ds:uri="b00f20d5-ceb3-4adf-8632-db85932f34e5"/>
    <ds:schemaRef ds:uri="http://schemas.microsoft.com/sharepoint/v3/field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cf981484-ed93-4090-baf6-fe2481f804a7"/>
    <ds:schemaRef ds:uri="http://www.w3.org/XML/1998/namespace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696F7C22-EC8B-4E87-8827-A40D307E9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5</Pages>
  <Words>1704</Words>
  <Characters>9719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Salvova, Jana</cp:lastModifiedBy>
  <cp:revision>13</cp:revision>
  <cp:lastPrinted>2014-11-14T15:53:00Z</cp:lastPrinted>
  <dcterms:created xsi:type="dcterms:W3CDTF">2015-03-19T11:00:00Z</dcterms:created>
  <dcterms:modified xsi:type="dcterms:W3CDTF">2015-03-19T16:26:00Z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