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C43" w:rsidRDefault="002B305D" w:rsidP="004A29DD">
      <w:pPr>
        <w:pStyle w:val="Nadpis2"/>
        <w:rPr>
          <w:rFonts w:ascii="Arial" w:hAnsi="Arial" w:cs="Arial"/>
          <w:b/>
          <w:bCs/>
        </w:rPr>
      </w:pPr>
      <w:r>
        <w:t xml:space="preserve">    </w:t>
      </w:r>
      <w:r w:rsidR="00373C43">
        <w:t xml:space="preserve">                                                                                                            </w:t>
      </w:r>
      <w:r w:rsidR="004A29DD">
        <w:t xml:space="preserve">   Poznámky k účtovnej závierke</w:t>
      </w:r>
      <w:r w:rsidR="00373C43"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bCs/>
        </w:rPr>
        <w:t xml:space="preserve">                                                             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0"/>
        </w:rPr>
        <w:t xml:space="preserve">                                                                       </w:t>
      </w:r>
      <w:r>
        <w:rPr>
          <w:rFonts w:ascii="Arial" w:hAnsi="Arial" w:cs="Arial"/>
          <w:b/>
          <w:bCs/>
        </w:rPr>
        <w:t xml:space="preserve"> </w:t>
      </w:r>
    </w:p>
    <w:p w:rsidR="00373C43" w:rsidRDefault="00373C43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Účtovné obdobie: 20</w:t>
      </w:r>
      <w:r w:rsidR="000D46BA">
        <w:rPr>
          <w:rFonts w:ascii="Arial" w:hAnsi="Arial" w:cs="Arial"/>
          <w:b/>
        </w:rPr>
        <w:t>14</w:t>
      </w:r>
    </w:p>
    <w:p w:rsidR="00373C43" w:rsidRDefault="00373C43">
      <w:pPr>
        <w:rPr>
          <w:sz w:val="20"/>
          <w:u w:val="single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</w:t>
      </w:r>
      <w:r w:rsidR="00373C43">
        <w:rPr>
          <w:rFonts w:ascii="Arial" w:hAnsi="Arial" w:cs="Arial"/>
          <w:b/>
          <w:bCs/>
        </w:rPr>
        <w:t>. Priemerný počet zamestnancov počas účtovného obdobia a osobné náklady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85"/>
        <w:gridCol w:w="2711"/>
        <w:gridCol w:w="2816"/>
      </w:tblGrid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  <w:rPr>
                <w:b w:val="0"/>
                <w:bCs w:val="0"/>
              </w:rPr>
            </w:pPr>
            <w: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Zamestnanci spolu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Nadpis7"/>
              <w:jc w:val="center"/>
            </w:pPr>
            <w:r>
              <w:t>Z toho riadiaci pracovníci</w:t>
            </w:r>
          </w:p>
          <w:p w:rsidR="00373C43" w:rsidRDefault="00373C43"/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Priemerný počet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Mzdové náklady (521, 522)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 w:rsidTr="00F95D67">
        <w:trPr>
          <w:cantSplit/>
          <w:trHeight w:val="551"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Odmeny členom orgánov spol. (523)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Nákl. na Soc. zabezp. (524,525,526)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Sociálne náklady (527, 528)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</w:tcPr>
          <w:p w:rsidR="00373C43" w:rsidRDefault="00373C43" w:rsidP="00F95D6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náklady spolu (súčet </w:t>
            </w:r>
            <w:r w:rsidR="00F95D67">
              <w:rPr>
                <w:rFonts w:ascii="Arial" w:hAnsi="Arial" w:cs="Arial"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t xml:space="preserve"> až 5) 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</w:tcBorders>
          </w:tcPr>
          <w:p w:rsidR="00373C43" w:rsidRDefault="00823031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18"/>
        </w:rPr>
      </w:pPr>
    </w:p>
    <w:p w:rsidR="00373C43" w:rsidRDefault="002B305D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="00373C43">
        <w:rPr>
          <w:rFonts w:ascii="Arial" w:hAnsi="Arial" w:cs="Arial"/>
          <w:b/>
          <w:bCs/>
        </w:rPr>
        <w:t>. Prepočet údajov v cudzích menách na euro.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 xml:space="preserve"> Spôsob uplatnený pri prepočte údajov v cudzích menách na € v okamihu uskutočnenia účtovného prípadu: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 xml:space="preserve">Pohľadávky kurzom 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Záväzky  kurzom .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x </w:t>
      </w:r>
      <w:r>
        <w:rPr>
          <w:rFonts w:ascii="Arial" w:hAnsi="Arial" w:cs="Arial"/>
          <w:sz w:val="18"/>
        </w:rPr>
        <w:t>Peňažné prostriedky na bankových účtoch, pohľadávky z úverov, záväzky z vkladov v bankách alebo v po-</w:t>
      </w:r>
    </w:p>
    <w:p w:rsidR="00373C43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bočkách zahraničných bánk kurzom .</w:t>
      </w:r>
    </w:p>
    <w:p w:rsidR="00373C43" w:rsidRPr="004A29DD" w:rsidRDefault="00373C43">
      <w:pPr>
        <w:rPr>
          <w:rFonts w:ascii="Arial" w:hAnsi="Arial" w:cs="Arial"/>
          <w:sz w:val="18"/>
        </w:rPr>
      </w:pPr>
      <w:r>
        <w:rPr>
          <w:rFonts w:ascii="Arial" w:hAnsi="Arial" w:cs="Arial"/>
        </w:rPr>
        <w:t xml:space="preserve"> x</w:t>
      </w:r>
      <w:r>
        <w:rPr>
          <w:rFonts w:ascii="Arial" w:hAnsi="Arial" w:cs="Arial"/>
          <w:sz w:val="18"/>
        </w:rPr>
        <w:t>Peňažné prostriedky v hotovosti, ceniny kurzom .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  <w:r>
        <w:rPr>
          <w:rFonts w:ascii="Arial" w:hAnsi="Arial" w:cs="Arial"/>
        </w:rPr>
        <w:t xml:space="preserve"> </w:t>
      </w:r>
    </w:p>
    <w:p w:rsidR="00373C43" w:rsidRDefault="004A29DD">
      <w:pPr>
        <w:pStyle w:val="Nadpis9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D</w:t>
      </w:r>
      <w:r w:rsidR="00373C43">
        <w:rPr>
          <w:rFonts w:ascii="Arial" w:hAnsi="Arial"/>
          <w:u w:val="single"/>
        </w:rPr>
        <w:t>oplňujúce informácie k súvahe a výkazu ziskov a strát</w:t>
      </w: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1. Najvýznamnejšie tituly zvýšenia alebo zníženia vlastného imania</w:t>
      </w:r>
    </w:p>
    <w:p w:rsidR="00373C43" w:rsidRDefault="00373C4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48"/>
        <w:gridCol w:w="1934"/>
        <w:gridCol w:w="2025"/>
        <w:gridCol w:w="2105"/>
      </w:tblGrid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minulom </w:t>
            </w:r>
          </w:p>
          <w:p w:rsidR="00373C43" w:rsidRDefault="00373C43">
            <w:pPr>
              <w:ind w:left="33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ind w:left="245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Stav v bežnom </w:t>
            </w:r>
          </w:p>
          <w:p w:rsidR="00373C43" w:rsidRDefault="00373C43">
            <w:pPr>
              <w:ind w:left="5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účtovnom období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Rozdiel bežné - minulé</w:t>
            </w:r>
          </w:p>
          <w:p w:rsidR="00373C43" w:rsidRDefault="00373C43">
            <w:pPr>
              <w:ind w:left="5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Účtovné obdobie</w:t>
            </w:r>
          </w:p>
        </w:tc>
      </w:tr>
      <w:tr w:rsidR="00373C43" w:rsidTr="00B70B24">
        <w:trPr>
          <w:cantSplit/>
          <w:trHeight w:val="552"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Vlastné imanie</w:t>
            </w:r>
          </w:p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 tom: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0D46BA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9557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B70B24" w:rsidRDefault="000D46BA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7205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0D46BA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2352</w:t>
            </w: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Základné imanie (411)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B70B24" w:rsidP="00B70B24">
            <w:p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5000</w:t>
            </w: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4A29DD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Vlastné akcie /-/ (252)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Emisné ážio (412)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sz w:val="18"/>
              </w:rPr>
              <w:t>Ostatné kapitalové fondy (413)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Oceňovacie rozdiely (/+,-/414 a 415)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Zákonný rezervný fond (421)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Nedeliteľný fond (422)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Štatutárne a ostatné fondy (423,427,441)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Nerozdelený zisk minulých rokov (428)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Neuhradená strata minulých rokov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(/-/429)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0D46BA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1559</w:t>
            </w: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373C43">
        <w:trPr>
          <w:cantSplit/>
        </w:trPr>
        <w:tc>
          <w:tcPr>
            <w:tcW w:w="3148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HV bežného účtovného obdobia</w:t>
            </w:r>
          </w:p>
        </w:tc>
        <w:tc>
          <w:tcPr>
            <w:tcW w:w="1934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025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105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2. Rozdelenie účtovného zisku, prípadne spôsob úhrady straty 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 xml:space="preserve">  </w:t>
      </w:r>
      <w:r w:rsidR="00B70B24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 predchádzajúceho účtovného obdobia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V bežnom roku podnikateľ rozdelil hospodársky výsledok – účtovný zisk z minulého účtovného obdobia nasledovným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850"/>
        <w:gridCol w:w="3362"/>
      </w:tblGrid>
      <w:tr w:rsidR="00373C43">
        <w:tc>
          <w:tcPr>
            <w:tcW w:w="58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prídelu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336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Zisk k rozdeleniu z minulého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z toho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zákonného rezervného fondu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na zvýšenie základného imania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štatutárnych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Prídel do ostatných fondov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Použitie na vyrovnanie neuhradenej straty z 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Dividendy spoločníkov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Nerozdelený zisk minulých rokov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58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Iné rozdelenie zisku</w:t>
            </w:r>
          </w:p>
        </w:tc>
        <w:tc>
          <w:tcPr>
            <w:tcW w:w="336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2B305D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b</w:t>
      </w:r>
      <w:r w:rsidR="00373C43">
        <w:rPr>
          <w:rFonts w:ascii="Arial" w:hAnsi="Arial" w:cs="Arial"/>
          <w:b/>
          <w:bCs/>
          <w:i/>
          <w:iCs/>
          <w:sz w:val="20"/>
        </w:rPr>
        <w:t xml:space="preserve"> Podnikateľ rozhodol o úhrade straty z minulého roka týmto spôsobom: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úhrady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Strata minulého obdobia spolu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v tom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rezervného fondu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zo štatutárnych a ostatných fondov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spoločníkmi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znížením základného imania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Úhrada straty z nerozdeleného zisku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Prevod na nerozdelenú stratu minulých rokov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  <w:sz w:val="18"/>
              </w:rPr>
              <w:t xml:space="preserve"> Iná úhrada straty</w:t>
            </w: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3. Údaje o pohľadávkach a záväzkoch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a) Pohľadávky a záväzky po lehote splatnosti</w:t>
      </w:r>
    </w:p>
    <w:p w:rsidR="00373C43" w:rsidRDefault="00373C43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2642"/>
      </w:tblGrid>
      <w:tr w:rsidR="00373C43">
        <w:tc>
          <w:tcPr>
            <w:tcW w:w="657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Text</w:t>
            </w:r>
          </w:p>
        </w:tc>
        <w:tc>
          <w:tcPr>
            <w:tcW w:w="264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Pohľadávky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0D46B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756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Záväzky po lehote splatnosti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0D46B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1773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Ďalšie záväzky (peňažné i nepeňažné) ktoré sa nesledujú v bežnom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642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sz w:val="18"/>
          <w:u w:val="single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4. Výnosy z bežnej činnosti (prevádzkovej + finančnej) podľa hlavných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činnosti podniku v členení tuzemsko, zahraničie</w:t>
      </w:r>
    </w:p>
    <w:tbl>
      <w:tblPr>
        <w:tblW w:w="0" w:type="auto"/>
        <w:tblInd w:w="21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325"/>
        <w:gridCol w:w="2281"/>
      </w:tblGrid>
      <w:tr w:rsidR="00373C43" w:rsidTr="002B305D">
        <w:trPr>
          <w:cantSplit/>
          <w:trHeight w:val="240"/>
        </w:trPr>
        <w:tc>
          <w:tcPr>
            <w:tcW w:w="4394" w:type="dxa"/>
            <w:vMerge w:val="restart"/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Druh výnosu</w:t>
            </w:r>
          </w:p>
        </w:tc>
        <w:tc>
          <w:tcPr>
            <w:tcW w:w="4606" w:type="dxa"/>
            <w:gridSpan w:val="2"/>
            <w:tcBorders>
              <w:bottom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Hodnota  v €</w:t>
            </w:r>
          </w:p>
        </w:tc>
      </w:tr>
      <w:tr w:rsidR="00373C43" w:rsidTr="002B305D">
        <w:trPr>
          <w:cantSplit/>
          <w:trHeight w:val="315"/>
        </w:trPr>
        <w:tc>
          <w:tcPr>
            <w:tcW w:w="4394" w:type="dxa"/>
            <w:vMerge/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2B305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Tu</w:t>
            </w:r>
            <w:r w:rsidR="00373C43">
              <w:rPr>
                <w:rFonts w:ascii="Arial" w:hAnsi="Arial" w:cs="Arial"/>
                <w:sz w:val="18"/>
              </w:rPr>
              <w:t>zemsko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Zahraničie</w:t>
            </w: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1. Výnosy z bežnej činnosti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lastRenderedPageBreak/>
              <w:t xml:space="preserve">   </w:t>
            </w:r>
            <w:r>
              <w:rPr>
                <w:rFonts w:ascii="Arial" w:hAnsi="Arial" w:cs="Arial"/>
                <w:sz w:val="18"/>
              </w:rPr>
              <w:t>1.1. Tržby za predaj tovaru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1.2. Tržby za predaj vlastných výrobkov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1.3. Tržby za predaj služby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0D46BA" w:rsidP="00B70B2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12226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B70B24">
        <w:trPr>
          <w:cantSplit/>
          <w:trHeight w:val="390"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1.4. Ostatné prevádzkové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 w:rsidP="00B70B24">
            <w:pPr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sz w:val="18"/>
              </w:rPr>
              <w:t>1.5. Finančné výnosy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2. Mimoriadne výnosy</w:t>
            </w:r>
            <w:r>
              <w:rPr>
                <w:rFonts w:ascii="Arial" w:hAnsi="Arial" w:cs="Arial"/>
              </w:rPr>
              <w:t xml:space="preserve">   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  <w:tr w:rsidR="00373C43" w:rsidTr="002B305D">
        <w:trPr>
          <w:cantSplit/>
        </w:trPr>
        <w:tc>
          <w:tcPr>
            <w:tcW w:w="4394" w:type="dxa"/>
          </w:tcPr>
          <w:p w:rsidR="00373C43" w:rsidRDefault="00373C4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spolu</w:t>
            </w:r>
          </w:p>
        </w:tc>
        <w:tc>
          <w:tcPr>
            <w:tcW w:w="2325" w:type="dxa"/>
            <w:tcBorders>
              <w:right w:val="single" w:sz="4" w:space="0" w:color="auto"/>
            </w:tcBorders>
          </w:tcPr>
          <w:p w:rsidR="00373C43" w:rsidRDefault="000D46B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12226</w:t>
            </w:r>
          </w:p>
        </w:tc>
        <w:tc>
          <w:tcPr>
            <w:tcW w:w="2281" w:type="dxa"/>
            <w:tcBorders>
              <w:lef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</w:rPr>
      </w:pP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5. Rozdiely medzi hospodárskym výsledkom pred zdanením a hospodárskym</w:t>
      </w:r>
    </w:p>
    <w:p w:rsidR="00373C43" w:rsidRDefault="00373C4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výsledkom po zdanení</w:t>
      </w:r>
    </w:p>
    <w:p w:rsidR="00373C43" w:rsidRDefault="00373C43">
      <w:pPr>
        <w:rPr>
          <w:rFonts w:ascii="Arial" w:hAnsi="Arial" w:cs="Arial"/>
          <w:b/>
          <w:bCs/>
        </w:rPr>
      </w:pPr>
    </w:p>
    <w:p w:rsidR="00373C43" w:rsidRDefault="00373C4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</w:rPr>
        <w:t xml:space="preserve">    </w:t>
      </w:r>
      <w:r>
        <w:rPr>
          <w:rFonts w:ascii="Arial" w:hAnsi="Arial" w:cs="Arial"/>
          <w:sz w:val="20"/>
          <w:szCs w:val="20"/>
        </w:rPr>
        <w:t>Prehľad jednotlivých položiek, o ktoré sa zvyšuje a znižuje hospodársky výsledok pred zdanením pre účely stanovenia základu dane z príjmov právnických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osôb podľa zákona č. 595/2006 Z. z. o dani z príjmov v znení neskorších predpisov </w:t>
      </w: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50"/>
        <w:gridCol w:w="1260"/>
        <w:gridCol w:w="1202"/>
      </w:tblGrid>
      <w:tr w:rsidR="00373C43">
        <w:tc>
          <w:tcPr>
            <w:tcW w:w="6750" w:type="dxa"/>
            <w:tcBorders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373C43" w:rsidRDefault="00373C43">
            <w:pPr>
              <w:pStyle w:val="Zkladntext"/>
            </w:pPr>
            <w:r>
              <w:t>Výpočet, príp.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odvolávka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na účet</w:t>
            </w:r>
          </w:p>
        </w:tc>
        <w:tc>
          <w:tcPr>
            <w:tcW w:w="1202" w:type="dxa"/>
            <w:tcBorders>
              <w:left w:val="single" w:sz="4" w:space="0" w:color="auto"/>
            </w:tcBorders>
            <w:shd w:val="clear" w:color="auto" w:fill="FFFFFF"/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. €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373C43" w:rsidRDefault="00373C43"/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0D46BA" w:rsidP="004A29D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bookmarkStart w:id="0" w:name="_GoBack"/>
            <w:bookmarkEnd w:id="0"/>
            <w:r>
              <w:rPr>
                <w:rFonts w:ascii="Arial" w:hAnsi="Arial" w:cs="Arial"/>
              </w:rPr>
              <w:t>4217</w:t>
            </w: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+ sumy, ktoré neoprávnene skrátili príjmy vrátane rozdielu podľa §17 odst. 5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735"/>
        </w:trPr>
        <w:tc>
          <w:tcPr>
            <w:tcW w:w="675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64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25"/>
        </w:trPr>
        <w:tc>
          <w:tcPr>
            <w:tcW w:w="67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285"/>
        </w:trPr>
        <w:tc>
          <w:tcPr>
            <w:tcW w:w="675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Rozdiel medzi hodnotou alebo cenou obstarania pohľadávky a nižším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    pohľadávky [§ 19 ods. 3 písm. p)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rPr>
          <w:trHeight w:val="555"/>
        </w:trPr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+ Výdavky na reprezentáciu s výnimkou reklamných predmetov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  <w:tr w:rsidR="00373C43">
        <w:tc>
          <w:tcPr>
            <w:tcW w:w="675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</w:rPr>
            </w:pPr>
          </w:p>
        </w:tc>
      </w:tr>
    </w:tbl>
    <w:p w:rsidR="00373C43" w:rsidRDefault="00373C43">
      <w:pPr>
        <w:rPr>
          <w:rFonts w:ascii="Arial" w:hAnsi="Arial" w:cs="Arial"/>
          <w:sz w:val="18"/>
        </w:rPr>
      </w:pPr>
    </w:p>
    <w:p w:rsidR="00373C43" w:rsidRDefault="00373C43">
      <w:pPr>
        <w:rPr>
          <w:rFonts w:ascii="Arial" w:hAnsi="Arial" w:cs="Arial"/>
          <w:sz w:val="18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570"/>
        <w:gridCol w:w="1440"/>
        <w:gridCol w:w="1202"/>
      </w:tblGrid>
      <w:tr w:rsidR="00373C43">
        <w:trPr>
          <w:trHeight w:val="615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Poskytnuté dary vrátane zostatkovej ceny trvale vyradeného majetku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darovaním [§ 21 ods. 2 písm. f) zákona]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opravných položiek neuznaná za daňový výdavok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j) zákona]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6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Tvorba rezerv neuznaná za daňový výdavok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podľa § 21 ods. 2 písm. j) zákona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Daňovo neuznané odpisy pri nesplnení podmienok finančného prenájmu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(rozdiel medzi odpismi uplatnenými podľa § 26 ods. 8 zákona a odpismi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27 alebo § 28 zákona za celú dobu trvania finančného prenájmu)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Výdavky vynaložené na príjmy oslobodené od dane alebo nezahŕňané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do základu dane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330"/>
        </w:trPr>
        <w:tc>
          <w:tcPr>
            <w:tcW w:w="6570" w:type="dxa"/>
            <w:tcBorders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Ostatné položky, ktoré nie sú daňovými výdavkami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02" w:type="dxa"/>
            <w:tcBorders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46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Príjmy, ktoré nie sú predmetom dane podľa § 12 ods.7 zákona   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705"/>
        </w:trPr>
        <w:tc>
          <w:tcPr>
            <w:tcW w:w="65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 </w:t>
            </w:r>
            <w:r>
              <w:rPr>
                <w:rFonts w:ascii="Arial" w:hAnsi="Arial" w:cs="Arial"/>
                <w:sz w:val="18"/>
                <w:szCs w:val="18"/>
              </w:rPr>
              <w:t>Príjmy, ktoré nie sú predmetom dane u daňovníkov nezaložených alebo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nezriadených na podnikanie (§ 12 ods. 3 zákona)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690"/>
        </w:trPr>
        <w:tc>
          <w:tcPr>
            <w:tcW w:w="6570" w:type="dxa"/>
            <w:tcBorders>
              <w:top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Príjmy oslobodené od dane podľa §13 zákona</w:t>
            </w:r>
          </w:p>
          <w:p w:rsidR="00373C43" w:rsidRDefault="00373C43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Príjmy nezahrňované do základu dane podľa § 17 ods. 3 písm. a) zákona,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rozdiely z precenenia derivátov a cenných papierov (§ 52 ods. 39 a 44)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a kurzové rozdiely vyplývajúce z uplatnenia § 17 ods. 17 zákona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Rozdiel, o ktorý daňové odpisy hmotného majetku prevyšujú odpisy tohto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majetku uplatnené v účtovníctve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 zákona, ak neboli prijaté v zdaňovacom období,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za ktoré sa daňové priznanie podáva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Sumy podľa § 17 ods.21, § 19 ods 4 a § 52 ods. 12 zákona, ktoré boli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v zdaňovacom období 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- </w:t>
            </w:r>
            <w:r>
              <w:rPr>
                <w:rFonts w:ascii="Arial" w:hAnsi="Arial" w:cs="Arial"/>
                <w:sz w:val="18"/>
                <w:szCs w:val="18"/>
              </w:rPr>
              <w:t>Úprava (zníženie) základu dane v prípade zrušenia daňovníka likvidáciou,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(§17 ods. 8 zákona) alebo zrušenia bez likvidácie</w:t>
            </w:r>
          </w:p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(§17 ods. 13 zákona) 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rPr>
          <w:trHeight w:val="900"/>
        </w:trPr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</w:p>
          <w:p w:rsidR="00373C43" w:rsidRDefault="00373C43">
            <w:pPr>
              <w:pStyle w:val="Nadpis7"/>
            </w:pPr>
            <w:r>
              <w:rPr>
                <w:sz w:val="24"/>
              </w:rPr>
              <w:t xml:space="preserve">   Základ dane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0D46BA" w:rsidP="004A29DD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-4217</w:t>
            </w: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základu dane alebo daňovej straty, vykázanej spoločnosťou,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pripadajúca na komplementárov a na spoločníkov verejnej obchodnej</w:t>
            </w:r>
          </w:p>
          <w:p w:rsidR="00373C43" w:rsidRDefault="00373C43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spoločnosti</w:t>
            </w:r>
          </w:p>
          <w:p w:rsidR="00373C43" w:rsidRDefault="00373C4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</w:tr>
      <w:tr w:rsidR="00373C43">
        <w:tc>
          <w:tcPr>
            <w:tcW w:w="6570" w:type="dxa"/>
            <w:tcBorders>
              <w:right w:val="single" w:sz="4" w:space="0" w:color="auto"/>
            </w:tcBorders>
          </w:tcPr>
          <w:p w:rsidR="00373C43" w:rsidRDefault="00373C43">
            <w:pPr>
              <w:pStyle w:val="Nadpis7"/>
              <w:rPr>
                <w:sz w:val="24"/>
              </w:rPr>
            </w:pPr>
            <w:r>
              <w:rPr>
                <w:sz w:val="24"/>
              </w:rPr>
              <w:t xml:space="preserve">  Upravený základ dane</w:t>
            </w:r>
          </w:p>
          <w:p w:rsidR="00373C43" w:rsidRDefault="00373C43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</w:tcPr>
          <w:p w:rsidR="00373C43" w:rsidRDefault="00373C43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02" w:type="dxa"/>
            <w:tcBorders>
              <w:left w:val="single" w:sz="4" w:space="0" w:color="auto"/>
            </w:tcBorders>
          </w:tcPr>
          <w:p w:rsidR="00373C43" w:rsidRDefault="000D46BA" w:rsidP="004A29D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-4217</w:t>
            </w:r>
          </w:p>
        </w:tc>
      </w:tr>
    </w:tbl>
    <w:p w:rsidR="00373C43" w:rsidRDefault="00373C43">
      <w:pPr>
        <w:rPr>
          <w:rFonts w:ascii="Arial" w:hAnsi="Arial" w:cs="Arial"/>
          <w:sz w:val="18"/>
        </w:rPr>
      </w:pPr>
    </w:p>
    <w:p w:rsidR="00373C43" w:rsidRDefault="002B305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</w:t>
      </w:r>
      <w:r w:rsidR="00373C43">
        <w:rPr>
          <w:rFonts w:ascii="Arial" w:hAnsi="Arial" w:cs="Arial"/>
          <w:sz w:val="20"/>
        </w:rPr>
        <w:t> Košiciach dňa:</w:t>
      </w:r>
      <w:r w:rsidR="000D46BA">
        <w:rPr>
          <w:rFonts w:ascii="Arial" w:hAnsi="Arial" w:cs="Arial"/>
          <w:sz w:val="20"/>
        </w:rPr>
        <w:t>19</w:t>
      </w:r>
      <w:r w:rsidR="004A29DD">
        <w:rPr>
          <w:rFonts w:ascii="Arial" w:hAnsi="Arial" w:cs="Arial"/>
          <w:sz w:val="20"/>
        </w:rPr>
        <w:t>.0</w:t>
      </w:r>
      <w:r w:rsidR="00B70B24">
        <w:rPr>
          <w:rFonts w:ascii="Arial" w:hAnsi="Arial" w:cs="Arial"/>
          <w:sz w:val="20"/>
        </w:rPr>
        <w:t>3</w:t>
      </w:r>
      <w:r w:rsidR="004E77A1">
        <w:rPr>
          <w:rFonts w:ascii="Arial" w:hAnsi="Arial" w:cs="Arial"/>
          <w:sz w:val="20"/>
        </w:rPr>
        <w:t>.2014</w:t>
      </w:r>
      <w:r w:rsidR="00373C43">
        <w:rPr>
          <w:rFonts w:ascii="Arial" w:hAnsi="Arial" w:cs="Arial"/>
          <w:sz w:val="20"/>
        </w:rPr>
        <w:t xml:space="preserve">                             Podpis štatutárneho orgánu</w:t>
      </w:r>
      <w:r w:rsidR="00823031">
        <w:rPr>
          <w:rFonts w:ascii="Arial" w:hAnsi="Arial" w:cs="Arial"/>
          <w:sz w:val="20"/>
        </w:rPr>
        <w:t xml:space="preserve">: </w:t>
      </w:r>
      <w:proofErr w:type="spellStart"/>
      <w:r w:rsidR="000D46BA">
        <w:rPr>
          <w:rFonts w:ascii="Arial" w:hAnsi="Arial" w:cs="Arial"/>
          <w:sz w:val="20"/>
        </w:rPr>
        <w:t>Ronald</w:t>
      </w:r>
      <w:proofErr w:type="spellEnd"/>
      <w:r w:rsidR="000D46BA">
        <w:rPr>
          <w:rFonts w:ascii="Arial" w:hAnsi="Arial" w:cs="Arial"/>
          <w:sz w:val="20"/>
        </w:rPr>
        <w:t xml:space="preserve"> </w:t>
      </w:r>
      <w:proofErr w:type="spellStart"/>
      <w:r w:rsidR="000D46BA">
        <w:rPr>
          <w:rFonts w:ascii="Arial" w:hAnsi="Arial" w:cs="Arial"/>
          <w:sz w:val="20"/>
        </w:rPr>
        <w:t>Mahely</w:t>
      </w:r>
      <w:proofErr w:type="spellEnd"/>
    </w:p>
    <w:sectPr w:rsidR="00373C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67BE8"/>
    <w:multiLevelType w:val="hybridMultilevel"/>
    <w:tmpl w:val="8304AF0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217C26"/>
    <w:multiLevelType w:val="hybridMultilevel"/>
    <w:tmpl w:val="3B1ABE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0AE0C65"/>
    <w:multiLevelType w:val="hybridMultilevel"/>
    <w:tmpl w:val="DD20B594"/>
    <w:lvl w:ilvl="0" w:tplc="993C024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504C4A17"/>
    <w:multiLevelType w:val="hybridMultilevel"/>
    <w:tmpl w:val="3A867A1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C96266E"/>
    <w:multiLevelType w:val="hybridMultilevel"/>
    <w:tmpl w:val="CB18E6E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A96115"/>
    <w:multiLevelType w:val="hybridMultilevel"/>
    <w:tmpl w:val="897E106C"/>
    <w:lvl w:ilvl="0" w:tplc="C4DCE0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BBA71FE"/>
    <w:multiLevelType w:val="hybridMultilevel"/>
    <w:tmpl w:val="E67838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7FF356A9"/>
    <w:multiLevelType w:val="hybridMultilevel"/>
    <w:tmpl w:val="8E1062BE"/>
    <w:lvl w:ilvl="0" w:tplc="041B0001">
      <w:start w:val="1"/>
      <w:numFmt w:val="bullet"/>
      <w:lvlText w:val=""/>
      <w:lvlJc w:val="left"/>
      <w:pPr>
        <w:tabs>
          <w:tab w:val="num" w:pos="765"/>
        </w:tabs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85"/>
        </w:tabs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05"/>
        </w:tabs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25"/>
        </w:tabs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45"/>
        </w:tabs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65"/>
        </w:tabs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85"/>
        </w:tabs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05"/>
        </w:tabs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25"/>
        </w:tabs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3"/>
  </w:num>
  <w:num w:numId="5">
    <w:abstractNumId w:val="1"/>
  </w:num>
  <w:num w:numId="6">
    <w:abstractNumId w:val="5"/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3EE1"/>
    <w:rsid w:val="000D46BA"/>
    <w:rsid w:val="002502A9"/>
    <w:rsid w:val="002B305D"/>
    <w:rsid w:val="00373C43"/>
    <w:rsid w:val="004A29DD"/>
    <w:rsid w:val="004E77A1"/>
    <w:rsid w:val="00823031"/>
    <w:rsid w:val="008D3EE1"/>
    <w:rsid w:val="00AA5B45"/>
    <w:rsid w:val="00B70B24"/>
    <w:rsid w:val="00B81DF8"/>
    <w:rsid w:val="00DC1227"/>
    <w:rsid w:val="00DD144C"/>
    <w:rsid w:val="00F95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rFonts w:ascii="Arial" w:hAnsi="Arial" w:cs="Arial"/>
      <w:b/>
      <w:bCs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20"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8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rFonts w:ascii="Arial" w:hAnsi="Arial" w:cs="Arial"/>
      <w:b/>
      <w:bCs/>
      <w:i/>
      <w:i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rFonts w:ascii="Lucida Sans" w:hAnsi="Lucida Sans" w:cs="Arial"/>
      <w:b/>
      <w:bCs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rFonts w:ascii="Arial" w:hAnsi="Arial" w:cs="Arial"/>
      <w:b/>
      <w:bCs/>
      <w:sz w:val="18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qFormat/>
    <w:pPr>
      <w:keepNext/>
      <w:outlineLvl w:val="7"/>
    </w:pPr>
    <w:rPr>
      <w:rFonts w:ascii="Lucida Sans" w:hAnsi="Lucida Sans" w:cs="Arial"/>
      <w:b/>
      <w:bCs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rFonts w:ascii="Bookman Old Style" w:hAnsi="Bookman Old Style" w:cs="Arial"/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Pr>
      <w:rFonts w:ascii="Arial" w:hAnsi="Arial" w:cs="Arial"/>
      <w:sz w:val="18"/>
    </w:rPr>
  </w:style>
  <w:style w:type="paragraph" w:styleId="Zkladntext2">
    <w:name w:val="Body Text 2"/>
    <w:basedOn w:val="Normlny"/>
    <w:semiHidden/>
    <w:rPr>
      <w:rFonts w:ascii="Arial" w:hAnsi="Arial" w:cs="Arial"/>
      <w:sz w:val="22"/>
    </w:rPr>
  </w:style>
  <w:style w:type="paragraph" w:styleId="Zkladntext3">
    <w:name w:val="Body Text 3"/>
    <w:basedOn w:val="Normlny"/>
    <w:semiHidden/>
    <w:pPr>
      <w:jc w:val="both"/>
    </w:pPr>
    <w:rPr>
      <w:rFonts w:ascii="Arial" w:hAnsi="Arial" w:cs="Arial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686FDE-6B2F-4EC0-90B6-F8A23C6266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1163</Words>
  <Characters>6630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Priloha</vt:lpstr>
      <vt:lpstr>Priloha</vt:lpstr>
    </vt:vector>
  </TitlesOfParts>
  <Company>U kancelaria</Company>
  <LinksUpToDate>false</LinksUpToDate>
  <CharactersWithSpaces>7778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Priloha</dc:title>
  <dc:creator>M.Hladká</dc:creator>
  <cp:lastModifiedBy>Samsung1</cp:lastModifiedBy>
  <cp:revision>2</cp:revision>
  <cp:lastPrinted>2014-03-25T07:26:00Z</cp:lastPrinted>
  <dcterms:created xsi:type="dcterms:W3CDTF">2015-03-19T09:16:00Z</dcterms:created>
  <dcterms:modified xsi:type="dcterms:W3CDTF">2015-03-19T09:16:00Z</dcterms:modified>
</cp:coreProperties>
</file>