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366" w:rsidRDefault="00FC65DF">
      <w:pPr>
        <w:rPr>
          <w:b/>
          <w:sz w:val="28"/>
          <w:szCs w:val="28"/>
        </w:rPr>
      </w:pPr>
      <w:r>
        <w:rPr>
          <w:b/>
          <w:sz w:val="28"/>
          <w:szCs w:val="28"/>
        </w:rPr>
        <w:t>R.  Prehľad peňažných tokov</w:t>
      </w:r>
    </w:p>
    <w:p w:rsidR="00C97366" w:rsidRDefault="00C97366"/>
    <w:p w:rsidR="00C97366" w:rsidRDefault="00FC65DF">
      <w:pPr>
        <w:pStyle w:val="Nzev"/>
        <w:spacing w:before="280" w:after="60"/>
      </w:pPr>
      <w:r>
        <w:rPr>
          <w:sz w:val="28"/>
        </w:rPr>
        <w:t xml:space="preserve">S. Prehľad peňažných tokov pri použití priamej metódy </w:t>
      </w:r>
      <w:r>
        <w:rPr>
          <w:szCs w:val="22"/>
        </w:rPr>
        <w:t>–</w:t>
      </w:r>
      <w:r>
        <w:rPr>
          <w:sz w:val="28"/>
        </w:rPr>
        <w:t xml:space="preserve"> </w:t>
      </w:r>
      <w:r>
        <w:t>nepoužíva sa priama metóda.</w:t>
      </w:r>
    </w:p>
    <w:p w:rsidR="00C97366" w:rsidRDefault="00FC65DF">
      <w:pPr>
        <w:rPr>
          <w:rFonts w:cs="Arial Narrow"/>
          <w:b/>
          <w:sz w:val="28"/>
          <w:szCs w:val="28"/>
        </w:rPr>
      </w:pPr>
      <w:r>
        <w:rPr>
          <w:rFonts w:cs="Arial Narrow"/>
          <w:b/>
          <w:sz w:val="28"/>
          <w:szCs w:val="28"/>
        </w:rPr>
        <w:t>T. Prehľad peňažných tokov k 31. decembru 2014 pri použití nepriamej metódy</w:t>
      </w:r>
    </w:p>
    <w:tbl>
      <w:tblPr>
        <w:tblW w:w="9026" w:type="dxa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/>
      </w:tblPr>
      <w:tblGrid>
        <w:gridCol w:w="1149"/>
        <w:gridCol w:w="4984"/>
        <w:gridCol w:w="1308"/>
        <w:gridCol w:w="1585"/>
      </w:tblGrid>
      <w:tr w:rsidR="00C97366">
        <w:trPr>
          <w:trHeight w:val="300"/>
          <w:tblHeader/>
          <w:jc w:val="center"/>
        </w:trPr>
        <w:tc>
          <w:tcPr>
            <w:tcW w:w="114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pStyle w:val="TopHeader"/>
            </w:pPr>
            <w:r>
              <w:t>Označenie položky</w:t>
            </w:r>
          </w:p>
        </w:tc>
        <w:tc>
          <w:tcPr>
            <w:tcW w:w="498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pStyle w:val="TopHeader"/>
            </w:pPr>
            <w:r>
              <w:t>Obsah položky</w:t>
            </w:r>
          </w:p>
        </w:tc>
        <w:tc>
          <w:tcPr>
            <w:tcW w:w="13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pStyle w:val="TopHeader"/>
            </w:pPr>
            <w:r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pStyle w:val="TopHeader"/>
            </w:pPr>
            <w:r>
              <w:t>Bezprostredne predchádzajúce účtovné obdobie</w:t>
            </w:r>
          </w:p>
        </w:tc>
      </w:tr>
      <w:tr w:rsidR="00C97366">
        <w:trPr>
          <w:trHeight w:val="770"/>
          <w:tblHeader/>
          <w:jc w:val="center"/>
        </w:trPr>
        <w:tc>
          <w:tcPr>
            <w:tcW w:w="1149" w:type="dxa"/>
            <w:vMerge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/>
        </w:tc>
        <w:tc>
          <w:tcPr>
            <w:tcW w:w="4983" w:type="dxa"/>
            <w:vMerge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/>
        </w:tc>
        <w:tc>
          <w:tcPr>
            <w:tcW w:w="1308" w:type="dxa"/>
            <w:vMerge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/>
        </w:tc>
        <w:tc>
          <w:tcPr>
            <w:tcW w:w="1585" w:type="dxa"/>
            <w:vMerge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/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Peňažné toky z prevádzkovej činnosti</w:t>
            </w:r>
          </w:p>
        </w:tc>
        <w:tc>
          <w:tcPr>
            <w:tcW w:w="13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15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Z/S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542 561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347 668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</w:rPr>
            </w:pPr>
            <w:r>
              <w:rPr>
                <w:i/>
              </w:rPr>
              <w:t>A.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231 751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290 296</w:t>
            </w:r>
          </w:p>
        </w:tc>
      </w:tr>
      <w:tr w:rsidR="00C97366">
        <w:trPr>
          <w:trHeight w:val="42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218 286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285 204</w:t>
            </w:r>
          </w:p>
        </w:tc>
      </w:tr>
      <w:tr w:rsidR="00C97366">
        <w:trPr>
          <w:trHeight w:val="102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Zostatková hodnota dlhodobého nehmotného </w:t>
            </w:r>
            <w:r>
              <w:t>majetku a dlhodobého hmotného majetku účtovaná pri vyradení tohto majetku do nákladov na bežnú činnosť, s výnimkou  jeho  predaja 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Odpis opravnej položky k nadobudnutému majetku 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 11 </w:t>
            </w:r>
            <w:r>
              <w:t>378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17 573</w:t>
            </w: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opravných položiek 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položiek časového rozlíšenia nákladov a výnosov 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  2 087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-12 481</w:t>
            </w: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Dividendy a iné podiely na zisku účtované do výnosov  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Úroky účtované do </w:t>
            </w:r>
            <w:r>
              <w:t>nákladov  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Úroky účtované do výnosov   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6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A.1. 10.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73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11.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Kurzová strata vyčíslená k peňažným </w:t>
            </w:r>
            <w:r>
              <w:t>prostriedkom a peňažným ekvivalentom ku dňu, ku ktorému sa zostavuje účtovná závierka 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543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12.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Výsledok z predaja dlhodobého majetku, s výnimkou majetku, ktorý sa považuje za peňažný ekvivalent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1. 13.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Ostatné položky nepeňažného </w:t>
            </w:r>
            <w:r>
              <w:t>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274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</w:rPr>
            </w:pPr>
            <w:r>
              <w:rPr>
                <w:i/>
              </w:rPr>
              <w:t>A.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ktorým sa na účely tohto opatrenia rozumie </w:t>
            </w:r>
            <w:r>
              <w:rPr>
                <w:i/>
                <w:iCs/>
              </w:rPr>
              <w:t>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350 607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- 236 573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2.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pohľadávok z prevádzkovej činnosti (-/+)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 117 955  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-374 643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lastRenderedPageBreak/>
              <w:t>A. 2.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záväzkov z prevádzkovej činnosti 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 127 302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  81 480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2.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Zmena stavu zásob (-/+)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105 350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56 590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2.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Zmena stavu krátkodobého </w:t>
            </w:r>
            <w:r>
              <w:t>finančného majetku, s výnimkou majetku, ktorý je súčasťou peňažných prostriedkov </w:t>
            </w:r>
          </w:p>
          <w:p w:rsidR="00C97366" w:rsidRDefault="00FC65DF">
            <w:r>
              <w:t>a peňažných ekvivalentov (-/+)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106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1 124 919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401 391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Prijaté úroky, s výnimkou tých, ktoré sa začleňujú</w:t>
            </w:r>
            <w:r>
              <w:t xml:space="preserve"> do investičných činností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557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zaplatené úroky, s výnimkou tých, ktoré sa začleňujú do finančných činností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46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A. </w:t>
            </w:r>
            <w:r>
              <w:t>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vyplatené dividendy  a iné podiely na zisku, s výnimkou tých, ktoré sa začleňujú do finančných činností </w:t>
            </w:r>
          </w:p>
          <w:p w:rsidR="00C97366" w:rsidRDefault="00FC65DF">
            <w:r>
              <w:t>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Peňažné  toky z prevádzkovej činnosti (+/-), </w:t>
            </w:r>
          </w:p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1 124 919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401 391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daň </w:t>
            </w:r>
            <w:r>
              <w:t>z príjmov účtovnej jednotky, s výnimkou tých, ktoré sa  začleňujú do investičných činností alebo finančných činností (-/+)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- 124 138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- 63 064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mimoriadneho charakteru vzťahujúce sa na prevádzkovú činnosť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A. 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mimoriadneho </w:t>
            </w:r>
            <w:r>
              <w:t>charakteru vzťahujúce sa na prevádzkovú činnosť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599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</w:rPr>
            </w:pPr>
            <w:r>
              <w:rPr>
                <w:b/>
                <w:i/>
              </w:rPr>
              <w:t>A.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peňažné toky z prevádzkovej činnosti (+/-),</w:t>
            </w:r>
          </w:p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1 000 742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338 327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Peňažné toky z investičnej činnosti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obstaranie dlhodobého nehmotného </w:t>
            </w:r>
            <w:r>
              <w:t>majetku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           -1 800</w:t>
            </w:r>
          </w:p>
        </w:tc>
      </w:tr>
      <w:tr w:rsidR="00C97366">
        <w:trPr>
          <w:trHeight w:val="3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obstaranie dlhodobého hmotného majetku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- 85 873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- 492 </w:t>
            </w:r>
            <w:proofErr w:type="spellStart"/>
            <w:r>
              <w:t>492</w:t>
            </w:r>
            <w:proofErr w:type="spellEnd"/>
          </w:p>
        </w:tc>
      </w:tr>
      <w:tr w:rsidR="00C97366">
        <w:trPr>
          <w:trHeight w:val="1242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obstaranie dlhodobých cenných papierov a </w:t>
            </w:r>
          </w:p>
          <w:p w:rsidR="00C97366" w:rsidRDefault="00FC65DF">
            <w:r>
              <w:t>podielov v iných účtovných jednotkách, s výnimkou cenných papierov, ktoré sa považujú</w:t>
            </w:r>
            <w:r>
              <w:t xml:space="preserve"> za peňažné ekvivalenty a cenných papierov určených na predaj alebo na obchodovanie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predaja dlhodobého nehmotného majetku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28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predaja dlhodobého hmotného majetku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31 118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1 000</w:t>
            </w:r>
          </w:p>
        </w:tc>
      </w:tr>
      <w:tr w:rsidR="00C97366">
        <w:trPr>
          <w:trHeight w:val="427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Príjmy z predaja dlhodobých </w:t>
            </w:r>
            <w:r>
              <w:t>cenných papierov </w:t>
            </w:r>
          </w:p>
          <w:p w:rsidR="00C97366" w:rsidRDefault="00FC65DF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lastRenderedPageBreak/>
              <w:t>B.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dlhodobé pôžičky poskytnuté účtovnou </w:t>
            </w:r>
            <w:r>
              <w:t>jednotkou inej účtovnej jednotke, ktorá je súčasťou konsolidovaného celku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</w:t>
            </w:r>
            <w:r>
              <w:t>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10.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Príjmy zo splácania pôžičiek poskytnutých účtovnou jednotkou tretím </w:t>
            </w:r>
            <w:r>
              <w:t>osobám,  s výnimkou  pôžičiek poskytnutých účtovnej jednotke, ktorá je súčasťou konsolidovaného celku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Prijaté úroky, s výnimkou tých, ktoré sa začleňujú  do prevádzkových činností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60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Príjmy z dividend a iných podielov na zisku, </w:t>
            </w:r>
            <w:r>
              <w:t>s výnimkou tých, ktoré sa začleňujú  do prevádzkových činností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771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809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daň z príjmov účtovnej jednotky, ak je ju možné začleniť do  </w:t>
            </w:r>
            <w:r>
              <w:t>investičných činností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mimoriadneho charakteru vzťahujúce sa na investičnú činnosť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mimoriadneho charakteru vzťahujúce sa na investičnú činnosť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Ostatné príjmy vzťahujúce sa na investičnú činnosť  </w:t>
            </w:r>
            <w:r>
              <w:t>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B. 19.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Ostatné výdavky vzťahujúce sa na investičnú činnosť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</w:rPr>
            </w:pPr>
            <w:r>
              <w:rPr>
                <w:b/>
                <w:i/>
              </w:rPr>
              <w:t>B.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Čisté  peňažné toky z investičnej  činnosti</w:t>
            </w:r>
          </w:p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-54 755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- 493 292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Peňažné toky z finančnej činnosti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</w:rPr>
            </w:pPr>
            <w:r>
              <w:rPr>
                <w:i/>
              </w:rPr>
              <w:t>C.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vo  vlastnom  imaní (súčet C. 1. </w:t>
            </w:r>
            <w:r>
              <w:rPr>
                <w:i/>
                <w:iCs/>
              </w:rPr>
              <w:t>1. až C. 1. 8.)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0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1.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upísaných akcií a obchodných podielov 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588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1.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1.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Prijaté peňažné dary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C. 1. </w:t>
            </w:r>
            <w:r>
              <w:t>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úhrady straty spoločníkmi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568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1.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obstaranie alebo spätné odkúpenie vlastných akcií a vlastných obchodných podielov 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1. 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spojené so znížením fondov vytvorených  </w:t>
            </w:r>
            <w:r>
              <w:lastRenderedPageBreak/>
              <w:t>účtovnou jednotkou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lastRenderedPageBreak/>
              <w:t>C. 1.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</w:t>
            </w:r>
            <w:r>
              <w:t>na vyplatenie podielu na vlastnom imaní spoločníkmi účtovnej jednotky   a fyzickou osobou, ktorá je účtovnou jednotkou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C.1.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z  iných dôvodov, ktoré súvisia so znížením vlastného imania 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</w:rPr>
            </w:pPr>
            <w:r>
              <w:rPr>
                <w:i/>
              </w:rPr>
              <w:t>C.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:rsidR="00C97366" w:rsidRDefault="00FC65DF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i/>
              </w:rPr>
            </w:pPr>
            <w:r>
              <w:rPr>
                <w:i/>
              </w:rPr>
              <w:t xml:space="preserve">        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  <w:rPr>
                <w:i/>
              </w:rPr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1.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emisie dlhových cenných papierov 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2.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úhradu záväzkov z dlhových CP 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</w:t>
            </w:r>
            <w:r>
              <w:t xml:space="preserve">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úverov, ktoré  účtovnej jednotke poskytla </w:t>
            </w:r>
          </w:p>
          <w:p w:rsidR="00C97366" w:rsidRDefault="00FC65DF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           </w:t>
            </w: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        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z prijatých pôžičiek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       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C. </w:t>
            </w:r>
            <w:r>
              <w:t>2. 6.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splácanie pôžičiek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58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úhradu záväzkov z používania majetku, ktorý je predmetom zmluvy o kúpe prenajatej veci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Príjmy z ostatných dlhodobých záväzkov a krátkodobých záväzkov vyplývajúcich z finančnej </w:t>
            </w:r>
            <w:r>
              <w:t>činnosti  účtovnej jednotky, s výnimkou tých, ktoré sa uvádzajú osobitne  v inej časti prehľadu peňažných tokov 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 xml:space="preserve"> 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9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2. 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splácanie ostatných dlhodobých záväzkov  a krátkodobých záväzkov vyplývajúcich z finančnej činnosti  účtovnej </w:t>
            </w:r>
            <w:r>
              <w:t>jednotky, s výnimkou tých, ktoré sa uvádzajú osobitne  v inej časti prehľadu peňažných tokov 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</w:tr>
      <w:tr w:rsidR="00C97366">
        <w:trPr>
          <w:trHeight w:val="593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3.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na zaplatené úroky, s výnimkou tých, ktoré sa začleňujú do prevádzkových činností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271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4.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vyplatené dividendy a iné podiely </w:t>
            </w:r>
            <w:r>
              <w:t>na zisku, s výnimkou tých, ktoré sa začleňujú do prevádzkových činností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- 292 500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       - 303 561</w:t>
            </w:r>
          </w:p>
        </w:tc>
      </w:tr>
      <w:tr w:rsidR="00C97366">
        <w:trPr>
          <w:trHeight w:val="66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5.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súvisiace s derivátmi, s výnimkou, ak sú určené na predaj alebo na obchodovanie, alebo ak sa považujú za  peňažné toky z investičnej </w:t>
            </w:r>
            <w:r>
              <w:t>činnosti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767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6.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494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7.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 xml:space="preserve">Výdavky na daň z príjmov   účtovnej jednotky, ak ich možno  začleniť </w:t>
            </w:r>
            <w:r>
              <w:t>do finančných činností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C. 8.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Príjmy mimoriadneho charakteru vzťahujúce sa na finančnú činnosť (+)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 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lastRenderedPageBreak/>
              <w:t>C. 9.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r>
              <w:t>Výdavky mimoriadneho charakteru vzťahujúce sa na finančnú činnosť (-)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</w:pPr>
            <w:r>
              <w:t>- 11 468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ind w:left="480"/>
            </w:pPr>
            <w:r>
              <w:t>-11 140</w:t>
            </w:r>
          </w:p>
        </w:tc>
      </w:tr>
      <w:tr w:rsidR="00C97366">
        <w:trPr>
          <w:trHeight w:val="33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</w:rPr>
            </w:pPr>
            <w:r>
              <w:rPr>
                <w:b/>
                <w:i/>
              </w:rPr>
              <w:t>C.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Čisté peňažné  toky  z finančnej činnosti </w:t>
            </w:r>
          </w:p>
          <w:p w:rsidR="00C97366" w:rsidRDefault="00FC65DF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(súčet</w:t>
            </w:r>
            <w:r>
              <w:rPr>
                <w:b/>
                <w:i/>
                <w:iCs/>
              </w:rPr>
              <w:t xml:space="preserve"> C. 1. až C. 9.)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- 292 500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- 314 701</w:t>
            </w:r>
          </w:p>
        </w:tc>
      </w:tr>
      <w:tr w:rsidR="00C97366">
        <w:trPr>
          <w:trHeight w:val="529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D.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642 019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-469 666</w:t>
            </w:r>
          </w:p>
        </w:tc>
      </w:tr>
      <w:tr w:rsidR="00C97366">
        <w:trPr>
          <w:trHeight w:val="553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E. 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Stav peňažných prostriedkov a peňažných ekvivalentov </w:t>
            </w:r>
          </w:p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na začiatku účtovného obdobia (+/-) 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893 511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1 363 177</w:t>
            </w:r>
          </w:p>
        </w:tc>
      </w:tr>
      <w:tr w:rsidR="00C97366">
        <w:trPr>
          <w:trHeight w:val="102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F. 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>Stav peňažných prostriedkov a peňažných ekvivalentov</w:t>
            </w:r>
          </w:p>
          <w:p w:rsidR="00C97366" w:rsidRDefault="00FC65DF">
            <w:pPr>
              <w:rPr>
                <w:b/>
              </w:rPr>
            </w:pPr>
            <w:r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1 535 530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893 511</w:t>
            </w:r>
          </w:p>
        </w:tc>
      </w:tr>
      <w:tr w:rsidR="00C97366">
        <w:trPr>
          <w:trHeight w:val="690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G. 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  <w:rPr>
                <w:b/>
              </w:rPr>
            </w:pP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C97366">
            <w:pPr>
              <w:jc w:val="center"/>
              <w:rPr>
                <w:b/>
              </w:rPr>
            </w:pPr>
          </w:p>
        </w:tc>
      </w:tr>
      <w:tr w:rsidR="00C97366">
        <w:trPr>
          <w:trHeight w:val="1035"/>
          <w:jc w:val="center"/>
        </w:trPr>
        <w:tc>
          <w:tcPr>
            <w:tcW w:w="11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H. </w:t>
            </w:r>
          </w:p>
        </w:tc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rPr>
                <w:b/>
              </w:rPr>
            </w:pPr>
            <w:r>
              <w:rPr>
                <w:b/>
              </w:rPr>
              <w:t xml:space="preserve">Zostatok peňažných prostriedkov a peňažných ekvivalentov na konci účtovného  obdobia upravený o kurzové rozdiely </w:t>
            </w:r>
            <w:r>
              <w:rPr>
                <w:b/>
              </w:rPr>
              <w:t>vyčíslené ku dňu, ku ktorému sa zostavuje  účtovná závierka (+/-)</w:t>
            </w:r>
          </w:p>
        </w:tc>
        <w:tc>
          <w:tcPr>
            <w:tcW w:w="13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1 535 530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97366" w:rsidRDefault="00FC65DF">
            <w:pPr>
              <w:jc w:val="center"/>
              <w:rPr>
                <w:b/>
              </w:rPr>
            </w:pPr>
            <w:r>
              <w:rPr>
                <w:b/>
              </w:rPr>
              <w:t>893 511</w:t>
            </w:r>
          </w:p>
        </w:tc>
      </w:tr>
    </w:tbl>
    <w:p w:rsidR="00C97366" w:rsidRDefault="00C97366"/>
    <w:p w:rsidR="00C97366" w:rsidRDefault="00FC65DF">
      <w:r>
        <w:t xml:space="preserve"> </w:t>
      </w:r>
    </w:p>
    <w:p w:rsidR="00C97366" w:rsidRDefault="00FC65DF">
      <w:pPr>
        <w:rPr>
          <w:b/>
        </w:rPr>
      </w:pPr>
      <w:r>
        <w:rPr>
          <w:b/>
        </w:rPr>
        <w:t>Vysvetlivky:</w:t>
      </w:r>
    </w:p>
    <w:p w:rsidR="00C97366" w:rsidRDefault="00C97366">
      <w:pPr>
        <w:rPr>
          <w:rFonts w:cs="FuturaTEE-Book"/>
          <w:szCs w:val="22"/>
          <w:lang w:eastAsia="sk-SK"/>
        </w:rPr>
      </w:pPr>
    </w:p>
    <w:p w:rsidR="00C97366" w:rsidRDefault="00C97366">
      <w:pPr>
        <w:rPr>
          <w:rFonts w:cs="FuturaTEE-Book"/>
          <w:szCs w:val="22"/>
          <w:lang w:eastAsia="sk-SK"/>
        </w:rPr>
      </w:pPr>
    </w:p>
    <w:p w:rsidR="00C97366" w:rsidRDefault="00FC65DF">
      <w:pPr>
        <w:pStyle w:val="Nzev"/>
        <w:keepNext/>
        <w:spacing w:before="280"/>
        <w:jc w:val="both"/>
        <w:rPr>
          <w:sz w:val="24"/>
          <w:szCs w:val="22"/>
        </w:rPr>
      </w:pPr>
      <w:r>
        <w:rPr>
          <w:sz w:val="24"/>
          <w:szCs w:val="22"/>
        </w:rPr>
        <w:t>V bode N</w:t>
      </w:r>
      <w:r>
        <w:rPr>
          <w:sz w:val="24"/>
          <w:szCs w:val="22"/>
        </w:rPr>
        <w:t>.</w:t>
      </w:r>
      <w:r>
        <w:rPr>
          <w:sz w:val="24"/>
          <w:szCs w:val="22"/>
        </w:rPr>
        <w:t xml:space="preserve"> je  kód druhu obchodu vyplnený takto:</w:t>
      </w:r>
    </w:p>
    <w:tbl>
      <w:tblPr>
        <w:tblW w:w="9026" w:type="dxa"/>
        <w:tblInd w:w="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70" w:type="dxa"/>
          <w:right w:w="70" w:type="dxa"/>
        </w:tblCellMar>
        <w:tblLook w:val="04A0"/>
      </w:tblPr>
      <w:tblGrid>
        <w:gridCol w:w="4334"/>
        <w:gridCol w:w="4692"/>
      </w:tblGrid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bCs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C97366">
            <w:pPr>
              <w:rPr>
                <w:bCs/>
                <w:lang w:eastAsia="sk-SK"/>
              </w:rPr>
            </w:pPr>
          </w:p>
          <w:p w:rsidR="00C97366" w:rsidRDefault="00FC65DF">
            <w:pPr>
              <w:rPr>
                <w:bCs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01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kúpa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02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predaj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03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poskytnutie služby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04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obchodné zastúpenie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05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licencia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06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transfer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07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proofErr w:type="spellStart"/>
            <w:r>
              <w:rPr>
                <w:szCs w:val="22"/>
                <w:lang w:eastAsia="sk-SK"/>
              </w:rPr>
              <w:t>know</w:t>
            </w:r>
            <w:proofErr w:type="spellEnd"/>
            <w:r>
              <w:rPr>
                <w:szCs w:val="22"/>
                <w:lang w:eastAsia="sk-SK"/>
              </w:rPr>
              <w:t xml:space="preserve"> -</w:t>
            </w:r>
            <w:proofErr w:type="spellStart"/>
            <w:r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08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úver, pôžička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09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výpomoc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10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záruka</w:t>
            </w:r>
          </w:p>
        </w:tc>
      </w:tr>
      <w:tr w:rsidR="00C97366">
        <w:trPr>
          <w:trHeight w:val="284"/>
        </w:trPr>
        <w:tc>
          <w:tcPr>
            <w:tcW w:w="4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11</w:t>
            </w:r>
          </w:p>
        </w:tc>
        <w:tc>
          <w:tcPr>
            <w:tcW w:w="4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7366" w:rsidRDefault="00FC65DF">
            <w:pPr>
              <w:rPr>
                <w:lang w:eastAsia="sk-SK"/>
              </w:rPr>
            </w:pPr>
            <w:r>
              <w:rPr>
                <w:szCs w:val="22"/>
                <w:lang w:eastAsia="sk-SK"/>
              </w:rPr>
              <w:t>iný obchod.</w:t>
            </w:r>
          </w:p>
        </w:tc>
      </w:tr>
    </w:tbl>
    <w:p w:rsidR="00C97366" w:rsidRDefault="00C97366">
      <w:pPr>
        <w:rPr>
          <w:b/>
        </w:rPr>
      </w:pPr>
    </w:p>
    <w:p w:rsidR="00C97366" w:rsidRDefault="00C97366"/>
    <w:sectPr w:rsidR="00C97366" w:rsidSect="00C97366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5DF" w:rsidRDefault="00FC65DF" w:rsidP="00C97366">
      <w:r>
        <w:separator/>
      </w:r>
    </w:p>
  </w:endnote>
  <w:endnote w:type="continuationSeparator" w:id="0">
    <w:p w:rsidR="00FC65DF" w:rsidRDefault="00FC65DF" w:rsidP="00C973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TEE-Book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66" w:rsidRDefault="00C97366">
    <w:pPr>
      <w:jc w:val="right"/>
    </w:pPr>
  </w:p>
  <w:p w:rsidR="00C97366" w:rsidRDefault="00C9736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5DF" w:rsidRDefault="00FC65DF" w:rsidP="00C97366">
      <w:r>
        <w:separator/>
      </w:r>
    </w:p>
  </w:footnote>
  <w:footnote w:type="continuationSeparator" w:id="0">
    <w:p w:rsidR="00FC65DF" w:rsidRDefault="00FC65DF" w:rsidP="00C973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left w:w="70" w:type="dxa"/>
        <w:right w:w="70" w:type="dxa"/>
      </w:tblCellMar>
      <w:tblLook w:val="04A0"/>
    </w:tblPr>
    <w:tblGrid>
      <w:gridCol w:w="2244"/>
      <w:gridCol w:w="2693"/>
      <w:gridCol w:w="1701"/>
      <w:gridCol w:w="707"/>
      <w:gridCol w:w="1612"/>
    </w:tblGrid>
    <w:tr w:rsidR="00C97366">
      <w:trPr>
        <w:trHeight w:val="326"/>
      </w:trPr>
      <w:tc>
        <w:tcPr>
          <w:tcW w:w="22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</w:tcPr>
        <w:p w:rsidR="00C97366" w:rsidRDefault="00FC65DF">
          <w:pPr>
            <w:tabs>
              <w:tab w:val="center" w:pos="4536"/>
              <w:tab w:val="right" w:pos="9072"/>
            </w:tabs>
            <w:rPr>
              <w:szCs w:val="36"/>
            </w:rPr>
          </w:pPr>
          <w:r>
            <w:rPr>
              <w:szCs w:val="36"/>
            </w:rPr>
            <w:t xml:space="preserve">Poznámky </w:t>
          </w:r>
          <w:proofErr w:type="spellStart"/>
          <w:r>
            <w:rPr>
              <w:szCs w:val="36"/>
            </w:rPr>
            <w:t>Úč</w:t>
          </w:r>
          <w:proofErr w:type="spellEnd"/>
          <w:r>
            <w:rPr>
              <w:szCs w:val="36"/>
            </w:rPr>
            <w:t xml:space="preserve"> POD 3-01</w:t>
          </w:r>
        </w:p>
      </w:tc>
      <w:tc>
        <w:tcPr>
          <w:tcW w:w="2693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70" w:type="dxa"/>
          </w:tcMar>
        </w:tcPr>
        <w:p w:rsidR="00C97366" w:rsidRDefault="00FC65DF">
          <w:pPr>
            <w:rPr>
              <w:szCs w:val="36"/>
            </w:rPr>
          </w:pPr>
          <w:r>
            <w:rPr>
              <w:szCs w:val="36"/>
            </w:rPr>
            <w:t xml:space="preserve">                                  </w:t>
          </w:r>
        </w:p>
      </w:tc>
      <w:tc>
        <w:tcPr>
          <w:tcW w:w="170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70" w:type="dxa"/>
          </w:tcMar>
        </w:tcPr>
        <w:p w:rsidR="00C97366" w:rsidRDefault="00FC65DF">
          <w:pPr>
            <w:rPr>
              <w:szCs w:val="36"/>
            </w:rPr>
          </w:pPr>
          <w:r>
            <w:rPr>
              <w:szCs w:val="36"/>
            </w:rPr>
            <w:t>IČO:36523399</w:t>
          </w:r>
        </w:p>
      </w:tc>
      <w:tc>
        <w:tcPr>
          <w:tcW w:w="707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70" w:type="dxa"/>
          </w:tcMar>
        </w:tcPr>
        <w:p w:rsidR="00C97366" w:rsidRDefault="00C97366">
          <w:pPr>
            <w:rPr>
              <w:szCs w:val="36"/>
            </w:rPr>
          </w:pPr>
        </w:p>
      </w:tc>
      <w:tc>
        <w:tcPr>
          <w:tcW w:w="161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70" w:type="dxa"/>
          </w:tcMar>
        </w:tcPr>
        <w:p w:rsidR="00C97366" w:rsidRDefault="00FC65DF">
          <w:pPr>
            <w:rPr>
              <w:szCs w:val="36"/>
            </w:rPr>
          </w:pPr>
          <w:r>
            <w:rPr>
              <w:szCs w:val="36"/>
            </w:rPr>
            <w:t>DIČ:2020146942</w:t>
          </w:r>
        </w:p>
        <w:p w:rsidR="00C97366" w:rsidRDefault="00C97366">
          <w:pPr>
            <w:rPr>
              <w:szCs w:val="36"/>
            </w:rPr>
          </w:pPr>
        </w:p>
      </w:tc>
    </w:tr>
  </w:tbl>
  <w:p w:rsidR="00C97366" w:rsidRDefault="00C9736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97366"/>
    <w:rsid w:val="00811A69"/>
    <w:rsid w:val="00C97366"/>
    <w:rsid w:val="00FC65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176D"/>
    <w:pPr>
      <w:suppressAutoHyphens/>
      <w:spacing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zovChar">
    <w:name w:val="Názov Char"/>
    <w:basedOn w:val="Predvolenpsmoodseku"/>
    <w:link w:val="Nzev"/>
    <w:uiPriority w:val="99"/>
    <w:rsid w:val="00FE176D"/>
    <w:rPr>
      <w:rFonts w:ascii="Arial Narrow" w:eastAsia="Times New Roman" w:hAnsi="Arial Narrow" w:cs="Times New Roman"/>
      <w:b/>
      <w:bCs/>
      <w:sz w:val="32"/>
      <w:szCs w:val="32"/>
    </w:rPr>
  </w:style>
  <w:style w:type="character" w:customStyle="1" w:styleId="PtaChar">
    <w:name w:val="Päta Char"/>
    <w:basedOn w:val="Predvolenpsmoodseku"/>
    <w:link w:val="Zpat"/>
    <w:uiPriority w:val="99"/>
    <w:rsid w:val="00FE176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Zhlav"/>
    <w:uiPriority w:val="99"/>
    <w:rsid w:val="00FE176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ListLabel1">
    <w:name w:val="ListLabel 1"/>
    <w:rsid w:val="00C97366"/>
    <w:rPr>
      <w:rFonts w:eastAsia="Times New Roman" w:cs="Times New Roman"/>
    </w:rPr>
  </w:style>
  <w:style w:type="character" w:customStyle="1" w:styleId="ListLabel2">
    <w:name w:val="ListLabel 2"/>
    <w:rsid w:val="00C97366"/>
    <w:rPr>
      <w:rFonts w:cs="Courier New"/>
    </w:rPr>
  </w:style>
  <w:style w:type="paragraph" w:customStyle="1" w:styleId="Nadpis">
    <w:name w:val="Nadpis"/>
    <w:basedOn w:val="Normlny"/>
    <w:next w:val="Tlotextu"/>
    <w:rsid w:val="00C9736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lny"/>
    <w:rsid w:val="00C97366"/>
    <w:pPr>
      <w:spacing w:after="140" w:line="288" w:lineRule="auto"/>
    </w:pPr>
  </w:style>
  <w:style w:type="paragraph" w:customStyle="1" w:styleId="Seznam">
    <w:name w:val="Seznam"/>
    <w:basedOn w:val="Tlotextu"/>
    <w:rsid w:val="00C97366"/>
    <w:rPr>
      <w:rFonts w:cs="Mangal"/>
    </w:rPr>
  </w:style>
  <w:style w:type="paragraph" w:customStyle="1" w:styleId="Popisek">
    <w:name w:val="Popisek"/>
    <w:basedOn w:val="Normlny"/>
    <w:rsid w:val="00C97366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Rejstk">
    <w:name w:val="Rejstřík"/>
    <w:basedOn w:val="Normlny"/>
    <w:rsid w:val="00C97366"/>
    <w:pPr>
      <w:suppressLineNumbers/>
    </w:pPr>
    <w:rPr>
      <w:rFonts w:cs="Mangal"/>
    </w:rPr>
  </w:style>
  <w:style w:type="paragraph" w:customStyle="1" w:styleId="Nzev">
    <w:name w:val="Název"/>
    <w:basedOn w:val="Normlny"/>
    <w:link w:val="NzovChar"/>
    <w:uiPriority w:val="99"/>
    <w:qFormat/>
    <w:rsid w:val="00FE176D"/>
    <w:pPr>
      <w:outlineLvl w:val="0"/>
    </w:pPr>
  </w:style>
  <w:style w:type="paragraph" w:customStyle="1" w:styleId="TopHeader">
    <w:name w:val="Top Header"/>
    <w:basedOn w:val="Normlny"/>
    <w:qFormat/>
    <w:rsid w:val="00FE176D"/>
    <w:pPr>
      <w:jc w:val="center"/>
    </w:pPr>
    <w:rPr>
      <w:b/>
      <w:bCs/>
      <w:szCs w:val="22"/>
    </w:rPr>
  </w:style>
  <w:style w:type="paragraph" w:customStyle="1" w:styleId="Zpat">
    <w:name w:val="Zápatí"/>
    <w:basedOn w:val="Normlny"/>
    <w:link w:val="PtaChar"/>
    <w:uiPriority w:val="99"/>
    <w:rsid w:val="00FE176D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customStyle="1" w:styleId="Zhlav">
    <w:name w:val="Záhlaví"/>
    <w:basedOn w:val="Normlny"/>
    <w:link w:val="HlavikaChar"/>
    <w:uiPriority w:val="99"/>
    <w:rsid w:val="00FE176D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B857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B54A35-B270-4F44-A7F5-A7463C917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1560</Words>
  <Characters>8896</Characters>
  <Application>Microsoft Office Word</Application>
  <DocSecurity>0</DocSecurity>
  <Lines>74</Lines>
  <Paragraphs>20</Paragraphs>
  <ScaleCrop>false</ScaleCrop>
  <Company/>
  <LinksUpToDate>false</LinksUpToDate>
  <CharactersWithSpaces>10436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Riaditeľ</dc:creator>
  <cp:lastModifiedBy>Mária Kováčova</cp:lastModifiedBy>
  <cp:revision>2</cp:revision>
  <dcterms:created xsi:type="dcterms:W3CDTF">2015-03-26T11:07:00Z</dcterms:created>
  <dcterms:modified xsi:type="dcterms:W3CDTF">2015-03-26T11:07:00Z</dcterms:modified>
  <dc:language>sk-SK</dc:language>
</cp:coreProperties>
</file>