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36250309</w:t>
      </w:r>
      <w:r>
        <w:rPr>
          <w:sz w:val="24"/>
          <w:lang w:val="sk-SK"/>
        </w:rPr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2021679264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adpis2"/>
        <w:numPr>
          <w:ilvl w:val="1"/>
          <w:numId w:val="1"/>
        </w:numPr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>Obchodné meno</w:t>
      </w:r>
      <w:r>
        <w:rPr>
          <w:b/>
          <w:lang w:val="sk-SK"/>
        </w:rPr>
        <w:t xml:space="preserve"> </w:t>
      </w:r>
      <w:r>
        <w:rPr>
          <w:b w:val="false"/>
          <w:bCs w:val="false"/>
          <w:lang w:val="sk-SK"/>
        </w:rPr>
        <w:t>ZOOPRODUKT SLOVAKIA</w:t>
      </w:r>
      <w:r>
        <w:rPr>
          <w:lang w:val="sk-SK"/>
        </w:rPr>
        <w:t xml:space="preserve">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Drieňová 34, 82102 Bratislava</w:t>
      </w:r>
      <w:r>
        <w:rPr>
          <w:sz w:val="24"/>
          <w:lang w:val="sk-SK"/>
        </w:rPr>
        <w:tab/>
        <w:t xml:space="preserve">   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b/>
          <w:b/>
          <w:sz w:val="24"/>
          <w:lang w:val="sk-SK"/>
        </w:rPr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 xml:space="preserve">Spoločnosť v roku 2014 </w:t>
      </w:r>
      <w:r>
        <w:rPr>
          <w:sz w:val="24"/>
          <w:lang w:val="sk-SK"/>
        </w:rPr>
        <w:t>mala v priemere 9 zamestnancov</w:t>
      </w:r>
      <w:r>
        <w:rPr>
          <w:sz w:val="24"/>
          <w:lang w:val="sk-SK"/>
        </w:rPr>
        <w:t>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2014 neobstarala dlhodobý nehmotný majetok, dlhodobý hmotný majetok a dlhodobý finančný majetok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b) Spoločnosť v roku 2014 nakupovala zásoby – materiál, ktorý bol účtovaný spôsobom B podľa </w:t>
      </w:r>
      <w:r>
        <w:rPr>
          <w:sz w:val="24"/>
          <w:szCs w:val="24"/>
          <w:lang w:val="sk-SK"/>
        </w:rPr>
        <w:t>p</w:t>
      </w:r>
      <w:r>
        <w:rPr>
          <w:sz w:val="24"/>
          <w:szCs w:val="24"/>
          <w:lang w:val="sk-SK"/>
        </w:rPr>
        <w:t>ostupov účtovania PÚ § 43. Nakupované zásoby boli oceňované obstarávacou cenou v zložení : cena obstarania.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Spoločnosť v roku 2014 nenakupovala dlhodobý hmotný a dlhodobo nehmotný majetok. </w:t>
      </w:r>
    </w:p>
    <w:p>
      <w:pPr>
        <w:pStyle w:val="Normal"/>
        <w:rPr>
          <w:rFonts w:eastAsia="Arial Narrow"/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Nastala zmena štruktúry účtovnej závierky na mikro účtovnú jednotku.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2014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2014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rokov.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2014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2014 nenakupovala žiadne akcie.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a) Spoločnosť v roku 2014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2014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5) Informácie o povinnostiach účtovnej jednotky: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2014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2014 neúčtovala o významných podmienených záväzkoch.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c) Spoločnosť v roku 2014 neúčtovala o významných finančných povinnostiach a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Spoločnosť v roku 2014 neúčtovala o podmienených záväzkoch voči dcérskej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2014 nemala povinnosti vyplývajúce z dôchodkových programov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sk-SK" w:eastAsia="zh-CN" w:bidi="hi-IN"/>
    </w:rPr>
  </w:style>
  <w:style w:type="paragraph" w:styleId="Nadpis2">
    <w:name w:val="Nadpis 2"/>
    <w:basedOn w:val="Normal"/>
    <w:next w:val="Normal"/>
    <w:pPr>
      <w:keepNext/>
      <w:numPr>
        <w:ilvl w:val="1"/>
        <w:numId w:val="1"/>
      </w:numPr>
      <w:outlineLvl w:val="1"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493</TotalTime>
  <Application>LibreOffice/4.4.0.3$Windows_x86 LibreOffice_project/de093506bcdc5fafd9023ee680b8c60e3e0645d7</Application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2015-03-27T13:54:56Z</dcterms:created>
  <dc:language>sk-SK</dc:language>
  <dcterms:modified xsi:type="dcterms:W3CDTF">2015-03-27T14:03:09Z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