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1150" w:rsidRPr="000E2CA7" w:rsidRDefault="00C81150" w:rsidP="00C81150">
      <w:pPr>
        <w:rPr>
          <w:u w:val="single"/>
        </w:rPr>
      </w:pPr>
      <w:r w:rsidRPr="000E2CA7">
        <w:rPr>
          <w:u w:val="single"/>
        </w:rPr>
        <w:t>Poznámka:</w:t>
      </w:r>
    </w:p>
    <w:p w:rsidR="00C81150" w:rsidRPr="000E2CA7" w:rsidRDefault="00C81150" w:rsidP="00C81150">
      <w:pPr>
        <w:rPr>
          <w:snapToGrid w:val="0"/>
          <w:sz w:val="14"/>
          <w:szCs w:val="14"/>
        </w:rPr>
      </w:pPr>
    </w:p>
    <w:p w:rsidR="00C81150" w:rsidRPr="000E2CA7" w:rsidRDefault="00615A60" w:rsidP="00C81150">
      <w:pPr>
        <w:rPr>
          <w:snapToGrid w:val="0"/>
        </w:rPr>
      </w:pPr>
      <w:r w:rsidRPr="000E2CA7">
        <w:rPr>
          <w:snapToGrid w:val="0"/>
        </w:rPr>
        <w:t xml:space="preserve">V poznámkach sa uvádzajú informácie ustanovené </w:t>
      </w:r>
      <w:r w:rsidR="00F875F2" w:rsidRPr="000E2CA7">
        <w:rPr>
          <w:snapToGrid w:val="0"/>
        </w:rPr>
        <w:t>opatrením o</w:t>
      </w:r>
      <w:r w:rsidR="004B7838" w:rsidRPr="000E2CA7">
        <w:rPr>
          <w:snapToGrid w:val="0"/>
        </w:rPr>
        <w:t> </w:t>
      </w:r>
      <w:r w:rsidR="00F875F2" w:rsidRPr="000E2CA7">
        <w:rPr>
          <w:snapToGrid w:val="0"/>
        </w:rPr>
        <w:t>obsahu</w:t>
      </w:r>
      <w:r w:rsidR="004B7838" w:rsidRPr="000E2CA7">
        <w:rPr>
          <w:snapToGrid w:val="0"/>
        </w:rPr>
        <w:t xml:space="preserve"> poznámok k</w:t>
      </w:r>
      <w:r w:rsidR="00F875F2" w:rsidRPr="000E2CA7">
        <w:rPr>
          <w:snapToGrid w:val="0"/>
        </w:rPr>
        <w:t xml:space="preserve"> individuáln</w:t>
      </w:r>
      <w:r w:rsidR="004B7838" w:rsidRPr="000E2CA7">
        <w:rPr>
          <w:snapToGrid w:val="0"/>
        </w:rPr>
        <w:t>ej</w:t>
      </w:r>
      <w:r w:rsidR="00F875F2" w:rsidRPr="000E2CA7">
        <w:rPr>
          <w:snapToGrid w:val="0"/>
        </w:rPr>
        <w:t xml:space="preserve"> účtovn</w:t>
      </w:r>
      <w:r w:rsidR="004B7838" w:rsidRPr="000E2CA7">
        <w:rPr>
          <w:snapToGrid w:val="0"/>
        </w:rPr>
        <w:t>ej závierke</w:t>
      </w:r>
      <w:r w:rsidR="00F875F2" w:rsidRPr="000E2CA7">
        <w:rPr>
          <w:snapToGrid w:val="0"/>
        </w:rPr>
        <w:t>, pre ktoré má účtovná jednotka obsahovú náplň</w:t>
      </w:r>
      <w:r w:rsidRPr="000E2CA7">
        <w:rPr>
          <w:snapToGrid w:val="0"/>
        </w:rPr>
        <w:t>.</w:t>
      </w:r>
      <w:r w:rsidR="00F875F2" w:rsidRPr="000E2CA7">
        <w:rPr>
          <w:snapToGrid w:val="0"/>
        </w:rPr>
        <w:t xml:space="preserve"> </w:t>
      </w:r>
      <w:r w:rsidR="00C81150" w:rsidRPr="000E2CA7">
        <w:rPr>
          <w:snapToGrid w:val="0"/>
        </w:rPr>
        <w:t>Všetky údaje a informácie uvedené v týchto poznámkach vychádzajú z účtovníctva a nadväzujú na</w:t>
      </w:r>
      <w:r w:rsidR="004B7838" w:rsidRPr="000E2CA7">
        <w:rPr>
          <w:snapToGrid w:val="0"/>
        </w:rPr>
        <w:t xml:space="preserve"> individ</w:t>
      </w:r>
      <w:r w:rsidR="00837CD1" w:rsidRPr="000E2CA7">
        <w:rPr>
          <w:snapToGrid w:val="0"/>
        </w:rPr>
        <w:t>u</w:t>
      </w:r>
      <w:r w:rsidR="004B7838" w:rsidRPr="000E2CA7">
        <w:rPr>
          <w:snapToGrid w:val="0"/>
        </w:rPr>
        <w:t>álne</w:t>
      </w:r>
      <w:r w:rsidR="00C81150" w:rsidRPr="000E2CA7">
        <w:rPr>
          <w:snapToGrid w:val="0"/>
        </w:rPr>
        <w:t> účtovné výkazy. Hodnotové údaje sú uvedené v</w:t>
      </w:r>
      <w:r w:rsidR="00F875F2" w:rsidRPr="000E2CA7">
        <w:rPr>
          <w:snapToGrid w:val="0"/>
        </w:rPr>
        <w:t xml:space="preserve"> eurocentoch alebo celých </w:t>
      </w:r>
      <w:r w:rsidR="00BE09FD" w:rsidRPr="000E2CA7">
        <w:rPr>
          <w:snapToGrid w:val="0"/>
        </w:rPr>
        <w:t>eur</w:t>
      </w:r>
      <w:r w:rsidR="00950360" w:rsidRPr="000E2CA7">
        <w:rPr>
          <w:snapToGrid w:val="0"/>
        </w:rPr>
        <w:t>ách</w:t>
      </w:r>
      <w:r w:rsidR="00C81150" w:rsidRPr="000E2CA7">
        <w:rPr>
          <w:snapToGrid w:val="0"/>
        </w:rPr>
        <w:t xml:space="preserve"> (pokiaľ nie je uvedené inak). </w:t>
      </w:r>
    </w:p>
    <w:p w:rsidR="00C81150" w:rsidRPr="000E2CA7" w:rsidRDefault="00C81150" w:rsidP="00C81150">
      <w:pPr>
        <w:rPr>
          <w:snapToGrid w:val="0"/>
          <w:sz w:val="14"/>
          <w:szCs w:val="14"/>
        </w:rPr>
      </w:pPr>
    </w:p>
    <w:p w:rsidR="00C81150" w:rsidRPr="000E2CA7" w:rsidRDefault="00C81150" w:rsidP="00C81150">
      <w:pPr>
        <w:rPr>
          <w:sz w:val="14"/>
          <w:szCs w:val="14"/>
        </w:rPr>
      </w:pPr>
    </w:p>
    <w:p w:rsidR="00C81150" w:rsidRPr="000E2CA7" w:rsidRDefault="00C81150" w:rsidP="00C81150">
      <w:pPr>
        <w:pStyle w:val="Heading1"/>
      </w:pPr>
      <w:r w:rsidRPr="000E2CA7">
        <w:t>VŠEOBECNÉ INFORMÁCIE</w:t>
      </w:r>
    </w:p>
    <w:p w:rsidR="00C81150" w:rsidRPr="000E2CA7" w:rsidRDefault="00C81150" w:rsidP="00C81150">
      <w:pPr>
        <w:rPr>
          <w:b/>
          <w:snapToGrid w:val="0"/>
          <w:sz w:val="14"/>
          <w:szCs w:val="14"/>
          <w:u w:val="single"/>
        </w:rPr>
      </w:pPr>
    </w:p>
    <w:p w:rsidR="00C81150" w:rsidRPr="000E2CA7" w:rsidRDefault="00C81150" w:rsidP="00C81150">
      <w:pPr>
        <w:pStyle w:val="Heading2"/>
      </w:pPr>
      <w:r w:rsidRPr="000E2CA7">
        <w:t>Základné údaje o spoločnosti</w:t>
      </w:r>
    </w:p>
    <w:p w:rsidR="00BA3F19" w:rsidRPr="000E2CA7" w:rsidRDefault="00BA3F19" w:rsidP="00BA3F19">
      <w:pPr>
        <w:rPr>
          <w:b/>
          <w:snapToGrid w:val="0"/>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BA3F19" w:rsidRPr="000E2CA7" w:rsidTr="00626E98">
        <w:tc>
          <w:tcPr>
            <w:tcW w:w="3969" w:type="dxa"/>
          </w:tcPr>
          <w:p w:rsidR="00BA3F19" w:rsidRPr="000E2CA7" w:rsidRDefault="00BA3F19" w:rsidP="00626E98">
            <w:pPr>
              <w:rPr>
                <w:b/>
                <w:sz w:val="15"/>
                <w:szCs w:val="15"/>
              </w:rPr>
            </w:pPr>
            <w:r w:rsidRPr="000E2CA7">
              <w:rPr>
                <w:b/>
                <w:sz w:val="15"/>
                <w:szCs w:val="15"/>
              </w:rPr>
              <w:t>Obchodné meno a sídlo</w:t>
            </w:r>
          </w:p>
        </w:tc>
        <w:tc>
          <w:tcPr>
            <w:tcW w:w="5103" w:type="dxa"/>
          </w:tcPr>
          <w:p w:rsidR="00BA3F19" w:rsidRPr="000E2CA7" w:rsidRDefault="00BA3F19" w:rsidP="00626E98">
            <w:pPr>
              <w:rPr>
                <w:snapToGrid w:val="0"/>
                <w:sz w:val="15"/>
                <w:szCs w:val="15"/>
              </w:rPr>
            </w:pPr>
            <w:r w:rsidRPr="000E2CA7">
              <w:rPr>
                <w:snapToGrid w:val="0"/>
                <w:sz w:val="15"/>
                <w:szCs w:val="15"/>
              </w:rPr>
              <w:t>Deloitte Security s. r. o.</w:t>
            </w:r>
          </w:p>
          <w:p w:rsidR="00BA3F19" w:rsidRPr="000E2CA7" w:rsidRDefault="00BA3F19" w:rsidP="00626E98">
            <w:pPr>
              <w:rPr>
                <w:snapToGrid w:val="0"/>
                <w:sz w:val="15"/>
                <w:szCs w:val="15"/>
              </w:rPr>
            </w:pPr>
            <w:r w:rsidRPr="000E2CA7">
              <w:rPr>
                <w:snapToGrid w:val="0"/>
                <w:sz w:val="15"/>
                <w:szCs w:val="15"/>
              </w:rPr>
              <w:t>Einsteinova 23, 851 01 Bratislava</w:t>
            </w:r>
          </w:p>
        </w:tc>
      </w:tr>
      <w:tr w:rsidR="00BA3F19" w:rsidRPr="000E2CA7" w:rsidTr="00626E98">
        <w:tc>
          <w:tcPr>
            <w:tcW w:w="3969" w:type="dxa"/>
          </w:tcPr>
          <w:p w:rsidR="00BA3F19" w:rsidRPr="000E2CA7" w:rsidRDefault="00BA3F19" w:rsidP="00626E98">
            <w:pPr>
              <w:rPr>
                <w:b/>
                <w:sz w:val="15"/>
                <w:szCs w:val="15"/>
              </w:rPr>
            </w:pPr>
            <w:r w:rsidRPr="000E2CA7">
              <w:rPr>
                <w:b/>
                <w:sz w:val="15"/>
                <w:szCs w:val="15"/>
              </w:rPr>
              <w:t>Dátum založenia</w:t>
            </w:r>
          </w:p>
        </w:tc>
        <w:tc>
          <w:tcPr>
            <w:tcW w:w="5103" w:type="dxa"/>
          </w:tcPr>
          <w:p w:rsidR="00BA3F19" w:rsidRPr="000E2CA7" w:rsidRDefault="00BA3F19" w:rsidP="00626E98">
            <w:pPr>
              <w:rPr>
                <w:snapToGrid w:val="0"/>
                <w:sz w:val="15"/>
                <w:szCs w:val="15"/>
              </w:rPr>
            </w:pPr>
            <w:r w:rsidRPr="000E2CA7">
              <w:rPr>
                <w:snapToGrid w:val="0"/>
                <w:sz w:val="15"/>
                <w:szCs w:val="15"/>
              </w:rPr>
              <w:t>25. mája 2009</w:t>
            </w:r>
          </w:p>
        </w:tc>
      </w:tr>
      <w:tr w:rsidR="00BA3F19" w:rsidRPr="000E2CA7" w:rsidTr="00626E98">
        <w:tc>
          <w:tcPr>
            <w:tcW w:w="3969" w:type="dxa"/>
          </w:tcPr>
          <w:p w:rsidR="00BA3F19" w:rsidRPr="000E2CA7" w:rsidRDefault="00BA3F19" w:rsidP="00626E98">
            <w:pPr>
              <w:rPr>
                <w:b/>
                <w:sz w:val="15"/>
                <w:szCs w:val="15"/>
              </w:rPr>
            </w:pPr>
            <w:r w:rsidRPr="000E2CA7">
              <w:rPr>
                <w:b/>
                <w:sz w:val="15"/>
                <w:szCs w:val="15"/>
              </w:rPr>
              <w:t>Dátum vzniku (podľa obchodného registra)</w:t>
            </w:r>
          </w:p>
        </w:tc>
        <w:tc>
          <w:tcPr>
            <w:tcW w:w="5103" w:type="dxa"/>
          </w:tcPr>
          <w:p w:rsidR="00BA3F19" w:rsidRPr="000E2CA7" w:rsidRDefault="00BA3F19" w:rsidP="00626E98">
            <w:pPr>
              <w:rPr>
                <w:snapToGrid w:val="0"/>
                <w:sz w:val="15"/>
                <w:szCs w:val="15"/>
              </w:rPr>
            </w:pPr>
            <w:r w:rsidRPr="000E2CA7">
              <w:rPr>
                <w:snapToGrid w:val="0"/>
                <w:sz w:val="15"/>
                <w:szCs w:val="15"/>
              </w:rPr>
              <w:t>3. júla 2009</w:t>
            </w:r>
          </w:p>
        </w:tc>
      </w:tr>
      <w:tr w:rsidR="00BA3F19" w:rsidRPr="000E2CA7" w:rsidTr="00626E98">
        <w:tc>
          <w:tcPr>
            <w:tcW w:w="3969" w:type="dxa"/>
          </w:tcPr>
          <w:p w:rsidR="00BA3F19" w:rsidRPr="000E2CA7" w:rsidRDefault="00BA3F19" w:rsidP="00626E98">
            <w:pPr>
              <w:rPr>
                <w:b/>
                <w:sz w:val="15"/>
                <w:szCs w:val="15"/>
              </w:rPr>
            </w:pPr>
            <w:r w:rsidRPr="000E2CA7">
              <w:rPr>
                <w:b/>
                <w:sz w:val="15"/>
                <w:szCs w:val="15"/>
              </w:rPr>
              <w:t>Predmet činnosti</w:t>
            </w:r>
          </w:p>
        </w:tc>
        <w:tc>
          <w:tcPr>
            <w:tcW w:w="5103" w:type="dxa"/>
          </w:tcPr>
          <w:p w:rsidR="00BA3F19" w:rsidRPr="000E2CA7" w:rsidRDefault="00BA3F19" w:rsidP="00BA3F19">
            <w:pPr>
              <w:numPr>
                <w:ilvl w:val="0"/>
                <w:numId w:val="17"/>
              </w:numPr>
              <w:ind w:left="277" w:hanging="277"/>
              <w:jc w:val="left"/>
              <w:rPr>
                <w:color w:val="000000"/>
                <w:sz w:val="15"/>
                <w:szCs w:val="15"/>
              </w:rPr>
            </w:pPr>
            <w:r w:rsidRPr="000E2CA7">
              <w:rPr>
                <w:color w:val="000000"/>
                <w:sz w:val="15"/>
                <w:szCs w:val="15"/>
              </w:rPr>
              <w:t xml:space="preserve">Činnosť podnikateľských, organizačných a </w:t>
            </w:r>
            <w:r w:rsidR="00224555" w:rsidRPr="000E2CA7">
              <w:rPr>
                <w:color w:val="000000"/>
                <w:sz w:val="15"/>
                <w:szCs w:val="15"/>
              </w:rPr>
              <w:t>ekonomických</w:t>
            </w:r>
            <w:r w:rsidRPr="000E2CA7">
              <w:rPr>
                <w:color w:val="000000"/>
                <w:sz w:val="15"/>
                <w:szCs w:val="15"/>
              </w:rPr>
              <w:t xml:space="preserve"> poradcov,</w:t>
            </w:r>
          </w:p>
          <w:p w:rsidR="00BA3F19" w:rsidRPr="000E2CA7" w:rsidRDefault="00BA3F19" w:rsidP="00BA3F19">
            <w:pPr>
              <w:numPr>
                <w:ilvl w:val="0"/>
                <w:numId w:val="17"/>
              </w:numPr>
              <w:ind w:left="277" w:hanging="277"/>
              <w:jc w:val="left"/>
              <w:rPr>
                <w:color w:val="000000"/>
                <w:sz w:val="15"/>
                <w:szCs w:val="15"/>
              </w:rPr>
            </w:pPr>
            <w:r w:rsidRPr="000E2CA7">
              <w:rPr>
                <w:color w:val="000000"/>
                <w:sz w:val="15"/>
                <w:szCs w:val="15"/>
              </w:rPr>
              <w:t>poradenská činnosť v oblasti manažmentu,</w:t>
            </w:r>
          </w:p>
          <w:p w:rsidR="00BA3F19" w:rsidRPr="000E2CA7" w:rsidRDefault="00BA3F19" w:rsidP="00BA3F19">
            <w:pPr>
              <w:numPr>
                <w:ilvl w:val="0"/>
                <w:numId w:val="17"/>
              </w:numPr>
              <w:ind w:left="277" w:hanging="277"/>
              <w:jc w:val="left"/>
              <w:rPr>
                <w:color w:val="000000"/>
                <w:sz w:val="15"/>
                <w:szCs w:val="15"/>
              </w:rPr>
            </w:pPr>
            <w:r w:rsidRPr="000E2CA7">
              <w:rPr>
                <w:color w:val="000000"/>
                <w:sz w:val="15"/>
                <w:szCs w:val="15"/>
              </w:rPr>
              <w:t>poradenská činnosť v oblasti obchodu a služieb,</w:t>
            </w:r>
          </w:p>
          <w:p w:rsidR="00BA3F19" w:rsidRPr="000E2CA7" w:rsidRDefault="00BA3F19" w:rsidP="00BA3F19">
            <w:pPr>
              <w:numPr>
                <w:ilvl w:val="0"/>
                <w:numId w:val="17"/>
              </w:numPr>
              <w:ind w:left="277" w:hanging="277"/>
              <w:jc w:val="left"/>
              <w:rPr>
                <w:color w:val="000000"/>
                <w:sz w:val="15"/>
                <w:szCs w:val="15"/>
              </w:rPr>
            </w:pPr>
            <w:r w:rsidRPr="000E2CA7">
              <w:rPr>
                <w:color w:val="000000"/>
                <w:sz w:val="15"/>
                <w:szCs w:val="15"/>
              </w:rPr>
              <w:t>počítačové služby,</w:t>
            </w:r>
          </w:p>
          <w:p w:rsidR="00BA3F19" w:rsidRPr="000E2CA7" w:rsidRDefault="00BA3F19" w:rsidP="00BA3F19">
            <w:pPr>
              <w:numPr>
                <w:ilvl w:val="0"/>
                <w:numId w:val="17"/>
              </w:numPr>
              <w:ind w:left="277" w:hanging="277"/>
              <w:jc w:val="left"/>
              <w:rPr>
                <w:color w:val="000000"/>
                <w:sz w:val="15"/>
                <w:szCs w:val="15"/>
              </w:rPr>
            </w:pPr>
            <w:r w:rsidRPr="000E2CA7">
              <w:rPr>
                <w:color w:val="000000"/>
                <w:sz w:val="15"/>
                <w:szCs w:val="15"/>
              </w:rPr>
              <w:t>sprostredkovateľská činnosť v oblasti obchodu,</w:t>
            </w:r>
          </w:p>
          <w:p w:rsidR="00BA3F19" w:rsidRPr="000E2CA7" w:rsidRDefault="00BA3F19" w:rsidP="00BA3F19">
            <w:pPr>
              <w:numPr>
                <w:ilvl w:val="0"/>
                <w:numId w:val="17"/>
              </w:numPr>
              <w:ind w:left="277" w:hanging="277"/>
              <w:jc w:val="left"/>
              <w:rPr>
                <w:color w:val="000000"/>
                <w:sz w:val="15"/>
                <w:szCs w:val="15"/>
              </w:rPr>
            </w:pPr>
            <w:r w:rsidRPr="000E2CA7">
              <w:rPr>
                <w:color w:val="000000"/>
                <w:sz w:val="15"/>
                <w:szCs w:val="15"/>
              </w:rPr>
              <w:t>sprostredkovateľská činnosť v oblasti služieb,</w:t>
            </w:r>
          </w:p>
          <w:p w:rsidR="00BA3F19" w:rsidRPr="000E2CA7" w:rsidRDefault="00BA3F19" w:rsidP="00BA3F19">
            <w:pPr>
              <w:numPr>
                <w:ilvl w:val="0"/>
                <w:numId w:val="17"/>
              </w:numPr>
              <w:ind w:left="277" w:hanging="277"/>
              <w:jc w:val="left"/>
              <w:rPr>
                <w:snapToGrid w:val="0"/>
                <w:sz w:val="15"/>
                <w:szCs w:val="15"/>
              </w:rPr>
            </w:pPr>
            <w:r w:rsidRPr="000E2CA7">
              <w:rPr>
                <w:color w:val="000000"/>
                <w:sz w:val="15"/>
                <w:szCs w:val="15"/>
              </w:rPr>
              <w:t>organizovanie kurzov, školení a seminárov.</w:t>
            </w:r>
          </w:p>
        </w:tc>
      </w:tr>
    </w:tbl>
    <w:p w:rsidR="00C81150" w:rsidRPr="000E2CA7" w:rsidRDefault="00C81150" w:rsidP="00C81150">
      <w:pPr>
        <w:rPr>
          <w:snapToGrid w:val="0"/>
          <w:sz w:val="14"/>
          <w:szCs w:val="14"/>
        </w:rPr>
      </w:pPr>
    </w:p>
    <w:p w:rsidR="00C81150" w:rsidRPr="000E2CA7" w:rsidRDefault="00C81150" w:rsidP="00C81150">
      <w:pPr>
        <w:rPr>
          <w:snapToGrid w:val="0"/>
          <w:sz w:val="14"/>
          <w:szCs w:val="14"/>
        </w:rPr>
      </w:pPr>
    </w:p>
    <w:p w:rsidR="00C81150" w:rsidRPr="000E2CA7" w:rsidRDefault="00C81150" w:rsidP="00C81150">
      <w:pPr>
        <w:pStyle w:val="Heading2"/>
      </w:pPr>
      <w:r w:rsidRPr="000E2CA7">
        <w:t>Zamestnanci</w:t>
      </w:r>
    </w:p>
    <w:p w:rsidR="005B36DD" w:rsidRPr="000E2CA7" w:rsidRDefault="005B36DD" w:rsidP="00C81150">
      <w:pPr>
        <w:rPr>
          <w:snapToGrid w:val="0"/>
          <w:sz w:val="14"/>
          <w:szCs w:val="14"/>
        </w:rPr>
      </w:pPr>
      <w:bookmarkStart w:id="0" w:name="T_number_of_employees"/>
      <w:r w:rsidRPr="000E2CA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5B36DD" w:rsidRPr="000E2CA7" w:rsidTr="005B36DD">
        <w:trPr>
          <w:trHeight w:val="195"/>
        </w:trPr>
        <w:tc>
          <w:tcPr>
            <w:tcW w:w="3553" w:type="pct"/>
            <w:tcBorders>
              <w:top w:val="single" w:sz="8" w:space="0" w:color="auto"/>
              <w:left w:val="nil"/>
              <w:bottom w:val="nil"/>
              <w:right w:val="nil"/>
            </w:tcBorders>
            <w:shd w:val="clear" w:color="auto" w:fill="auto"/>
            <w:vAlign w:val="center"/>
            <w:hideMark/>
          </w:tcPr>
          <w:p w:rsidR="005B36DD" w:rsidRPr="000E2CA7" w:rsidRDefault="005B36DD" w:rsidP="005B36DD">
            <w:pPr>
              <w:jc w:val="left"/>
              <w:rPr>
                <w:rFonts w:cs="Arial"/>
                <w:b/>
                <w:bCs/>
                <w:i/>
                <w:iCs/>
                <w:sz w:val="15"/>
                <w:szCs w:val="15"/>
              </w:rPr>
            </w:pPr>
            <w:bookmarkStart w:id="1" w:name="RANGE!B7:D10"/>
            <w:r w:rsidRPr="000E2CA7">
              <w:rPr>
                <w:rFonts w:cs="Arial"/>
                <w:b/>
                <w:bCs/>
                <w:i/>
                <w:iCs/>
                <w:sz w:val="15"/>
                <w:szCs w:val="15"/>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rsidR="005B36DD" w:rsidRPr="000E2CA7" w:rsidRDefault="005B36DD" w:rsidP="00BA64AD">
            <w:pPr>
              <w:jc w:val="center"/>
              <w:rPr>
                <w:rFonts w:cs="Arial"/>
                <w:b/>
                <w:bCs/>
                <w:i/>
                <w:iCs/>
                <w:sz w:val="15"/>
                <w:szCs w:val="15"/>
              </w:rPr>
            </w:pPr>
            <w:r w:rsidRPr="000E2CA7">
              <w:rPr>
                <w:rFonts w:cs="Arial"/>
                <w:b/>
                <w:bCs/>
                <w:i/>
                <w:iCs/>
                <w:sz w:val="15"/>
                <w:szCs w:val="15"/>
              </w:rPr>
              <w:t>201</w:t>
            </w:r>
            <w:r w:rsidR="00BA64AD" w:rsidRPr="000E2CA7">
              <w:rPr>
                <w:rFonts w:cs="Arial"/>
                <w:b/>
                <w:bCs/>
                <w:i/>
                <w:iCs/>
                <w:sz w:val="15"/>
                <w:szCs w:val="15"/>
              </w:rPr>
              <w:t>4</w:t>
            </w:r>
          </w:p>
        </w:tc>
        <w:tc>
          <w:tcPr>
            <w:tcW w:w="724" w:type="pct"/>
            <w:tcBorders>
              <w:top w:val="single" w:sz="8" w:space="0" w:color="auto"/>
              <w:left w:val="nil"/>
              <w:bottom w:val="nil"/>
              <w:right w:val="nil"/>
            </w:tcBorders>
            <w:shd w:val="clear" w:color="auto" w:fill="auto"/>
            <w:vAlign w:val="center"/>
            <w:hideMark/>
          </w:tcPr>
          <w:p w:rsidR="005B36DD" w:rsidRPr="000E2CA7" w:rsidRDefault="005B36DD" w:rsidP="00BA64AD">
            <w:pPr>
              <w:jc w:val="center"/>
              <w:rPr>
                <w:rFonts w:cs="Arial"/>
                <w:b/>
                <w:bCs/>
                <w:i/>
                <w:iCs/>
                <w:sz w:val="15"/>
                <w:szCs w:val="15"/>
              </w:rPr>
            </w:pPr>
            <w:r w:rsidRPr="000E2CA7">
              <w:rPr>
                <w:rFonts w:cs="Arial"/>
                <w:b/>
                <w:bCs/>
                <w:i/>
                <w:iCs/>
                <w:sz w:val="15"/>
                <w:szCs w:val="15"/>
              </w:rPr>
              <w:t>201</w:t>
            </w:r>
            <w:r w:rsidR="00BA64AD" w:rsidRPr="000E2CA7">
              <w:rPr>
                <w:rFonts w:cs="Arial"/>
                <w:b/>
                <w:bCs/>
                <w:i/>
                <w:iCs/>
                <w:sz w:val="15"/>
                <w:szCs w:val="15"/>
              </w:rPr>
              <w:t>3</w:t>
            </w:r>
          </w:p>
        </w:tc>
      </w:tr>
      <w:tr w:rsidR="005B36DD" w:rsidRPr="000E2CA7" w:rsidTr="005B36DD">
        <w:trPr>
          <w:trHeight w:val="195"/>
        </w:trPr>
        <w:tc>
          <w:tcPr>
            <w:tcW w:w="3553" w:type="pct"/>
            <w:tcBorders>
              <w:top w:val="single" w:sz="4" w:space="0" w:color="auto"/>
              <w:left w:val="nil"/>
              <w:bottom w:val="nil"/>
              <w:right w:val="nil"/>
            </w:tcBorders>
            <w:shd w:val="clear" w:color="auto" w:fill="auto"/>
            <w:vAlign w:val="center"/>
            <w:hideMark/>
          </w:tcPr>
          <w:p w:rsidR="005B36DD" w:rsidRPr="000E2CA7" w:rsidRDefault="005B36DD" w:rsidP="005B36DD">
            <w:pPr>
              <w:jc w:val="left"/>
              <w:rPr>
                <w:rFonts w:cs="Arial"/>
                <w:sz w:val="15"/>
                <w:szCs w:val="15"/>
              </w:rPr>
            </w:pPr>
            <w:r w:rsidRPr="000E2CA7">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hideMark/>
          </w:tcPr>
          <w:p w:rsidR="005B36DD" w:rsidRPr="000E2CA7" w:rsidRDefault="005B36DD" w:rsidP="005B36DD">
            <w:pPr>
              <w:jc w:val="right"/>
              <w:rPr>
                <w:rFonts w:cs="Arial"/>
                <w:sz w:val="15"/>
                <w:szCs w:val="15"/>
              </w:rPr>
            </w:pPr>
            <w:r w:rsidRPr="000E2CA7">
              <w:rPr>
                <w:rFonts w:cs="Arial"/>
                <w:sz w:val="15"/>
                <w:szCs w:val="15"/>
              </w:rPr>
              <w:t xml:space="preserve">- </w:t>
            </w:r>
          </w:p>
        </w:tc>
        <w:tc>
          <w:tcPr>
            <w:tcW w:w="724" w:type="pct"/>
            <w:tcBorders>
              <w:top w:val="single" w:sz="4" w:space="0" w:color="auto"/>
              <w:left w:val="nil"/>
              <w:bottom w:val="nil"/>
              <w:right w:val="nil"/>
            </w:tcBorders>
            <w:shd w:val="clear" w:color="auto" w:fill="auto"/>
            <w:vAlign w:val="bottom"/>
            <w:hideMark/>
          </w:tcPr>
          <w:p w:rsidR="005B36DD" w:rsidRPr="000E2CA7" w:rsidRDefault="005B36DD" w:rsidP="005B36DD">
            <w:pPr>
              <w:jc w:val="right"/>
              <w:rPr>
                <w:rFonts w:cs="Arial"/>
                <w:sz w:val="15"/>
                <w:szCs w:val="15"/>
              </w:rPr>
            </w:pPr>
            <w:r w:rsidRPr="000E2CA7">
              <w:rPr>
                <w:rFonts w:cs="Arial"/>
                <w:sz w:val="15"/>
                <w:szCs w:val="15"/>
              </w:rPr>
              <w:t xml:space="preserve">- </w:t>
            </w:r>
          </w:p>
        </w:tc>
      </w:tr>
      <w:tr w:rsidR="005B36DD" w:rsidRPr="000E2CA7" w:rsidTr="005B36DD">
        <w:trPr>
          <w:trHeight w:val="195"/>
        </w:trPr>
        <w:tc>
          <w:tcPr>
            <w:tcW w:w="3553" w:type="pct"/>
            <w:tcBorders>
              <w:top w:val="nil"/>
              <w:left w:val="nil"/>
              <w:bottom w:val="nil"/>
              <w:right w:val="nil"/>
            </w:tcBorders>
            <w:shd w:val="clear" w:color="auto" w:fill="auto"/>
            <w:vAlign w:val="center"/>
            <w:hideMark/>
          </w:tcPr>
          <w:p w:rsidR="005B36DD" w:rsidRPr="000E2CA7" w:rsidRDefault="005B36DD" w:rsidP="005B36DD">
            <w:pPr>
              <w:jc w:val="left"/>
              <w:rPr>
                <w:rFonts w:cs="Arial"/>
                <w:sz w:val="15"/>
                <w:szCs w:val="15"/>
              </w:rPr>
            </w:pPr>
            <w:r w:rsidRPr="000E2CA7">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hideMark/>
          </w:tcPr>
          <w:p w:rsidR="005B36DD" w:rsidRPr="000E2CA7" w:rsidRDefault="005B36DD" w:rsidP="005B36DD">
            <w:pPr>
              <w:jc w:val="right"/>
              <w:rPr>
                <w:rFonts w:cs="Arial"/>
                <w:sz w:val="15"/>
                <w:szCs w:val="15"/>
              </w:rPr>
            </w:pPr>
            <w:r w:rsidRPr="000E2CA7">
              <w:rPr>
                <w:rFonts w:cs="Arial"/>
                <w:sz w:val="15"/>
                <w:szCs w:val="15"/>
              </w:rPr>
              <w:t xml:space="preserve">- </w:t>
            </w:r>
          </w:p>
        </w:tc>
        <w:tc>
          <w:tcPr>
            <w:tcW w:w="724" w:type="pct"/>
            <w:tcBorders>
              <w:top w:val="nil"/>
              <w:left w:val="nil"/>
              <w:bottom w:val="nil"/>
              <w:right w:val="nil"/>
            </w:tcBorders>
            <w:shd w:val="clear" w:color="auto" w:fill="auto"/>
            <w:vAlign w:val="bottom"/>
            <w:hideMark/>
          </w:tcPr>
          <w:p w:rsidR="005B36DD" w:rsidRPr="000E2CA7" w:rsidRDefault="005B36DD" w:rsidP="005B36DD">
            <w:pPr>
              <w:jc w:val="right"/>
              <w:rPr>
                <w:rFonts w:cs="Arial"/>
                <w:sz w:val="15"/>
                <w:szCs w:val="15"/>
              </w:rPr>
            </w:pPr>
            <w:r w:rsidRPr="000E2CA7">
              <w:rPr>
                <w:rFonts w:cs="Arial"/>
                <w:sz w:val="15"/>
                <w:szCs w:val="15"/>
              </w:rPr>
              <w:t xml:space="preserve">- </w:t>
            </w:r>
          </w:p>
        </w:tc>
      </w:tr>
      <w:tr w:rsidR="005B36DD" w:rsidRPr="000E2CA7" w:rsidTr="005B36DD">
        <w:trPr>
          <w:trHeight w:val="210"/>
        </w:trPr>
        <w:tc>
          <w:tcPr>
            <w:tcW w:w="3553" w:type="pct"/>
            <w:tcBorders>
              <w:top w:val="nil"/>
              <w:left w:val="nil"/>
              <w:bottom w:val="single" w:sz="8" w:space="0" w:color="auto"/>
              <w:right w:val="nil"/>
            </w:tcBorders>
            <w:shd w:val="clear" w:color="auto" w:fill="auto"/>
            <w:vAlign w:val="center"/>
            <w:hideMark/>
          </w:tcPr>
          <w:p w:rsidR="005B36DD" w:rsidRPr="000E2CA7" w:rsidRDefault="005B36DD" w:rsidP="005B36DD">
            <w:pPr>
              <w:jc w:val="left"/>
              <w:rPr>
                <w:rFonts w:cs="Arial"/>
                <w:i/>
                <w:iCs/>
                <w:sz w:val="15"/>
                <w:szCs w:val="15"/>
              </w:rPr>
            </w:pPr>
            <w:r w:rsidRPr="000E2CA7">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hideMark/>
          </w:tcPr>
          <w:p w:rsidR="005B36DD" w:rsidRPr="000E2CA7" w:rsidRDefault="005B36DD" w:rsidP="005B36DD">
            <w:pPr>
              <w:jc w:val="right"/>
              <w:rPr>
                <w:rFonts w:cs="Arial"/>
                <w:i/>
                <w:iCs/>
                <w:sz w:val="15"/>
                <w:szCs w:val="15"/>
              </w:rPr>
            </w:pPr>
            <w:r w:rsidRPr="000E2CA7">
              <w:rPr>
                <w:rFonts w:cs="Arial"/>
                <w:i/>
                <w:iCs/>
                <w:sz w:val="15"/>
                <w:szCs w:val="15"/>
              </w:rPr>
              <w:t xml:space="preserve">- </w:t>
            </w:r>
          </w:p>
        </w:tc>
        <w:tc>
          <w:tcPr>
            <w:tcW w:w="724" w:type="pct"/>
            <w:tcBorders>
              <w:top w:val="nil"/>
              <w:left w:val="nil"/>
              <w:bottom w:val="single" w:sz="8" w:space="0" w:color="auto"/>
              <w:right w:val="nil"/>
            </w:tcBorders>
            <w:shd w:val="clear" w:color="auto" w:fill="auto"/>
            <w:vAlign w:val="bottom"/>
            <w:hideMark/>
          </w:tcPr>
          <w:p w:rsidR="005B36DD" w:rsidRPr="000E2CA7" w:rsidRDefault="005B36DD" w:rsidP="005B36DD">
            <w:pPr>
              <w:jc w:val="right"/>
              <w:rPr>
                <w:rFonts w:cs="Arial"/>
                <w:i/>
                <w:iCs/>
                <w:sz w:val="15"/>
                <w:szCs w:val="15"/>
              </w:rPr>
            </w:pPr>
            <w:r w:rsidRPr="000E2CA7">
              <w:rPr>
                <w:rFonts w:cs="Arial"/>
                <w:i/>
                <w:iCs/>
                <w:sz w:val="15"/>
                <w:szCs w:val="15"/>
              </w:rPr>
              <w:t xml:space="preserve">- </w:t>
            </w:r>
          </w:p>
        </w:tc>
      </w:tr>
    </w:tbl>
    <w:p w:rsidR="00C81150" w:rsidRPr="000E2CA7" w:rsidRDefault="00C81150" w:rsidP="00C81150">
      <w:pPr>
        <w:rPr>
          <w:snapToGrid w:val="0"/>
          <w:sz w:val="14"/>
          <w:szCs w:val="14"/>
        </w:rPr>
      </w:pPr>
    </w:p>
    <w:bookmarkEnd w:id="0"/>
    <w:p w:rsidR="00626E98" w:rsidRPr="000E2CA7" w:rsidRDefault="00626E98" w:rsidP="00626E98">
      <w:r w:rsidRPr="000E2CA7">
        <w:t>Spoločnosť v roku 201</w:t>
      </w:r>
      <w:r w:rsidR="00BA64AD" w:rsidRPr="000E2CA7">
        <w:t>3</w:t>
      </w:r>
      <w:r w:rsidRPr="000E2CA7">
        <w:t xml:space="preserve"> a 201</w:t>
      </w:r>
      <w:r w:rsidR="00BA64AD" w:rsidRPr="000E2CA7">
        <w:t>4</w:t>
      </w:r>
      <w:r w:rsidRPr="000E2CA7">
        <w:t xml:space="preserve"> nemala žiadneho zamestnanca.</w:t>
      </w:r>
    </w:p>
    <w:p w:rsidR="00C81150" w:rsidRPr="000E2CA7" w:rsidRDefault="00C81150" w:rsidP="00C81150">
      <w:pPr>
        <w:rPr>
          <w:snapToGrid w:val="0"/>
          <w:sz w:val="14"/>
          <w:szCs w:val="14"/>
        </w:rPr>
      </w:pPr>
    </w:p>
    <w:p w:rsidR="00C81150" w:rsidRPr="000E2CA7" w:rsidRDefault="00C81150" w:rsidP="00C81150">
      <w:pPr>
        <w:rPr>
          <w:snapToGrid w:val="0"/>
          <w:sz w:val="14"/>
          <w:szCs w:val="14"/>
        </w:rPr>
      </w:pPr>
    </w:p>
    <w:p w:rsidR="00C81150" w:rsidRPr="000E2CA7" w:rsidRDefault="00C81150" w:rsidP="00C81150">
      <w:pPr>
        <w:pStyle w:val="Heading2"/>
      </w:pPr>
      <w:r w:rsidRPr="000E2CA7">
        <w:t>Právny dôvod zostavenia účtovnej závierky</w:t>
      </w:r>
    </w:p>
    <w:p w:rsidR="00162043" w:rsidRPr="000E2CA7" w:rsidRDefault="00162043" w:rsidP="00C81150">
      <w:pPr>
        <w:rPr>
          <w:snapToGrid w:val="0"/>
          <w:sz w:val="14"/>
          <w:szCs w:val="14"/>
        </w:rPr>
      </w:pPr>
    </w:p>
    <w:p w:rsidR="00C81150" w:rsidRPr="000E2CA7" w:rsidRDefault="00C81150" w:rsidP="00C81150">
      <w:pPr>
        <w:rPr>
          <w:snapToGrid w:val="0"/>
        </w:rPr>
      </w:pPr>
      <w:r w:rsidRPr="000E2CA7">
        <w:rPr>
          <w:snapToGrid w:val="0"/>
        </w:rPr>
        <w:t xml:space="preserve">Táto účtovná závierka je riadna individuálna účtovná závierka </w:t>
      </w:r>
      <w:r w:rsidR="00C27954" w:rsidRPr="000E2CA7">
        <w:rPr>
          <w:snapToGrid w:val="0"/>
        </w:rPr>
        <w:t xml:space="preserve">spoločnosti </w:t>
      </w:r>
      <w:r w:rsidR="00BA3F19" w:rsidRPr="000E2CA7">
        <w:rPr>
          <w:rFonts w:cs="Arial"/>
          <w:snapToGrid w:val="0"/>
        </w:rPr>
        <w:t>Deloitte Security s.r.o.</w:t>
      </w:r>
      <w:r w:rsidRPr="000E2CA7">
        <w:rPr>
          <w:snapToGrid w:val="0"/>
        </w:rPr>
        <w:t>. Bola zostavená za účtovné obdobie od 1. januára do 31. decembra 20</w:t>
      </w:r>
      <w:r w:rsidR="008C598A" w:rsidRPr="000E2CA7">
        <w:rPr>
          <w:snapToGrid w:val="0"/>
        </w:rPr>
        <w:t>1</w:t>
      </w:r>
      <w:r w:rsidR="00BA64AD" w:rsidRPr="000E2CA7">
        <w:rPr>
          <w:snapToGrid w:val="0"/>
        </w:rPr>
        <w:t>4</w:t>
      </w:r>
      <w:r w:rsidRPr="000E2CA7">
        <w:rPr>
          <w:snapToGrid w:val="0"/>
        </w:rPr>
        <w:t xml:space="preserve"> podľa slovenských právnych predpisov, a to zákona o</w:t>
      </w:r>
      <w:r w:rsidRPr="000E2CA7">
        <w:t> </w:t>
      </w:r>
      <w:r w:rsidRPr="000E2CA7">
        <w:rPr>
          <w:snapToGrid w:val="0"/>
        </w:rPr>
        <w:t xml:space="preserve">účtovníctve a postupov účtovania pre podnikateľov. </w:t>
      </w:r>
    </w:p>
    <w:p w:rsidR="00C81150" w:rsidRPr="000E2CA7" w:rsidRDefault="00C81150" w:rsidP="00C81150">
      <w:pPr>
        <w:rPr>
          <w:snapToGrid w:val="0"/>
          <w:sz w:val="14"/>
          <w:szCs w:val="14"/>
        </w:rPr>
      </w:pPr>
    </w:p>
    <w:p w:rsidR="00416D85" w:rsidRPr="000E2CA7" w:rsidRDefault="00416D85" w:rsidP="00416D85">
      <w:r w:rsidRPr="000E2CA7">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0E2CA7" w:rsidRDefault="00416D85" w:rsidP="00C81150">
      <w:pPr>
        <w:rPr>
          <w:snapToGrid w:val="0"/>
          <w:sz w:val="14"/>
          <w:szCs w:val="14"/>
        </w:rPr>
      </w:pPr>
    </w:p>
    <w:p w:rsidR="00C81150" w:rsidRPr="000E2CA7" w:rsidRDefault="00C81150" w:rsidP="00C81150">
      <w:pPr>
        <w:rPr>
          <w:snapToGrid w:val="0"/>
          <w:sz w:val="14"/>
          <w:szCs w:val="14"/>
        </w:rPr>
      </w:pPr>
    </w:p>
    <w:p w:rsidR="00C81150" w:rsidRPr="000E2CA7" w:rsidRDefault="00C81150" w:rsidP="00C81150">
      <w:pPr>
        <w:pStyle w:val="Heading2"/>
      </w:pPr>
      <w:r w:rsidRPr="000E2CA7">
        <w:t>Schválen</w:t>
      </w:r>
      <w:r w:rsidR="00AC79A3" w:rsidRPr="000E2CA7">
        <w:t>ie účtovnej závierky za rok 20</w:t>
      </w:r>
      <w:r w:rsidR="007C4C15" w:rsidRPr="000E2CA7">
        <w:t>1</w:t>
      </w:r>
      <w:r w:rsidR="00BA64AD" w:rsidRPr="000E2CA7">
        <w:t>3</w:t>
      </w:r>
    </w:p>
    <w:p w:rsidR="00AC79A3" w:rsidRPr="000E2CA7" w:rsidRDefault="00AC79A3" w:rsidP="00AC79A3">
      <w:pPr>
        <w:rPr>
          <w:sz w:val="14"/>
          <w:szCs w:val="14"/>
        </w:rPr>
      </w:pPr>
    </w:p>
    <w:p w:rsidR="00626E98" w:rsidRDefault="00626E98" w:rsidP="00626E98">
      <w:r w:rsidRPr="000E2CA7">
        <w:t xml:space="preserve">Dňa </w:t>
      </w:r>
      <w:r w:rsidR="004D3F16">
        <w:t>18.7.</w:t>
      </w:r>
      <w:r w:rsidR="00BA64AD" w:rsidRPr="000E2CA7">
        <w:t>2014</w:t>
      </w:r>
      <w:r w:rsidRPr="000E2CA7">
        <w:t xml:space="preserve"> Spoločník Deloitte </w:t>
      </w:r>
      <w:proofErr w:type="spellStart"/>
      <w:r w:rsidRPr="000E2CA7">
        <w:t>Central</w:t>
      </w:r>
      <w:proofErr w:type="spellEnd"/>
      <w:r w:rsidRPr="000E2CA7">
        <w:t xml:space="preserve"> Europe Holdings Limited schválil účtovnú závierku Spoločnosti za rok 201</w:t>
      </w:r>
      <w:r w:rsidR="00BA64AD" w:rsidRPr="000E2CA7">
        <w:t>3</w:t>
      </w:r>
      <w:r w:rsidRPr="000E2CA7">
        <w:t>, pričom hospodársky výsledok Spoločnosti za rok 201</w:t>
      </w:r>
      <w:r w:rsidR="00BA64AD" w:rsidRPr="000E2CA7">
        <w:t>3</w:t>
      </w:r>
      <w:r w:rsidRPr="000E2CA7">
        <w:t xml:space="preserve"> – strata vo výške </w:t>
      </w:r>
      <w:r w:rsidR="004D3F16">
        <w:t>108,56</w:t>
      </w:r>
      <w:r w:rsidR="007722F9" w:rsidRPr="000E2CA7">
        <w:t> </w:t>
      </w:r>
      <w:r w:rsidRPr="000E2CA7">
        <w:t>EUR sa ponechá na účte neuhradenej strate.</w:t>
      </w:r>
    </w:p>
    <w:p w:rsidR="00A32384" w:rsidRDefault="00A32384" w:rsidP="00626E98"/>
    <w:p w:rsidR="00A32384" w:rsidRDefault="00A32384" w:rsidP="00626E98"/>
    <w:p w:rsidR="00A32384" w:rsidRPr="00642760" w:rsidRDefault="00A32384" w:rsidP="00A32384">
      <w:pPr>
        <w:pStyle w:val="Heading2"/>
      </w:pPr>
      <w:r w:rsidRPr="00642760">
        <w:t>Štruktúra spoločníkov a akcionárov a ich podiel na základnom imaní</w:t>
      </w:r>
    </w:p>
    <w:p w:rsidR="00BA64AD" w:rsidRPr="000E2CA7" w:rsidRDefault="00BA64AD" w:rsidP="00BA64AD">
      <w:pPr>
        <w:rPr>
          <w:snapToGrid w:val="0"/>
          <w:color w:val="000000" w:themeColor="text1"/>
        </w:rPr>
      </w:pPr>
      <w:bookmarkStart w:id="2" w:name="T_structure_of_shareholders2"/>
      <w:bookmarkStart w:id="3" w:name="T_structure_of_shareholders1"/>
      <w:r w:rsidRPr="000E2CA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2122"/>
        <w:gridCol w:w="1559"/>
        <w:gridCol w:w="1304"/>
        <w:gridCol w:w="897"/>
        <w:gridCol w:w="1207"/>
        <w:gridCol w:w="2122"/>
      </w:tblGrid>
      <w:tr w:rsidR="00BA64AD" w:rsidRPr="00BA64AD" w:rsidTr="00BA64AD">
        <w:trPr>
          <w:trHeight w:val="390"/>
        </w:trPr>
        <w:tc>
          <w:tcPr>
            <w:tcW w:w="1998" w:type="pct"/>
            <w:gridSpan w:val="2"/>
            <w:tcBorders>
              <w:top w:val="single" w:sz="8" w:space="0" w:color="auto"/>
              <w:left w:val="nil"/>
              <w:bottom w:val="single" w:sz="4" w:space="0" w:color="auto"/>
              <w:right w:val="nil"/>
            </w:tcBorders>
            <w:shd w:val="clear" w:color="auto" w:fill="auto"/>
            <w:vAlign w:val="center"/>
            <w:hideMark/>
          </w:tcPr>
          <w:p w:rsidR="00BA64AD" w:rsidRPr="00BA64AD" w:rsidRDefault="00BA64AD" w:rsidP="00BA64AD">
            <w:pPr>
              <w:jc w:val="left"/>
              <w:rPr>
                <w:rFonts w:cs="Arial"/>
                <w:b/>
                <w:bCs/>
                <w:i/>
                <w:iCs/>
                <w:sz w:val="15"/>
                <w:szCs w:val="15"/>
              </w:rPr>
            </w:pPr>
            <w:bookmarkStart w:id="4" w:name="RANGE!B19:G24"/>
            <w:r w:rsidRPr="00BA64AD">
              <w:rPr>
                <w:rFonts w:cs="Arial"/>
                <w:b/>
                <w:bCs/>
                <w:i/>
                <w:iCs/>
                <w:sz w:val="15"/>
                <w:szCs w:val="15"/>
              </w:rPr>
              <w:t>Spoločníci/akcionári do dňa zmeny v štruktúre spoločníkov/akcionárov</w:t>
            </w:r>
            <w:bookmarkEnd w:id="4"/>
          </w:p>
        </w:tc>
        <w:tc>
          <w:tcPr>
            <w:tcW w:w="1195" w:type="pct"/>
            <w:gridSpan w:val="2"/>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Podiel na základnom imaní</w:t>
            </w:r>
          </w:p>
        </w:tc>
        <w:tc>
          <w:tcPr>
            <w:tcW w:w="655"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Hlasovacie práva</w:t>
            </w:r>
          </w:p>
        </w:tc>
        <w:tc>
          <w:tcPr>
            <w:tcW w:w="1152" w:type="pct"/>
            <w:vMerge w:val="restar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Iný podiel na ostatných položkách VI ako na základnom imaní v %</w:t>
            </w:r>
          </w:p>
        </w:tc>
      </w:tr>
      <w:tr w:rsidR="00BA64AD" w:rsidRPr="00BA64AD" w:rsidTr="00BA64AD">
        <w:trPr>
          <w:trHeight w:val="195"/>
        </w:trPr>
        <w:tc>
          <w:tcPr>
            <w:tcW w:w="1152" w:type="pct"/>
            <w:tcBorders>
              <w:top w:val="nil"/>
              <w:left w:val="nil"/>
              <w:bottom w:val="nil"/>
              <w:right w:val="nil"/>
            </w:tcBorders>
            <w:shd w:val="clear" w:color="auto" w:fill="auto"/>
            <w:vAlign w:val="center"/>
            <w:hideMark/>
          </w:tcPr>
          <w:p w:rsidR="00BA64AD" w:rsidRPr="00BA64AD" w:rsidRDefault="00BA64AD" w:rsidP="00BA64AD">
            <w:pPr>
              <w:jc w:val="left"/>
              <w:rPr>
                <w:rFonts w:cs="Arial"/>
                <w:b/>
                <w:bCs/>
                <w:i/>
                <w:iCs/>
                <w:sz w:val="15"/>
                <w:szCs w:val="15"/>
              </w:rPr>
            </w:pPr>
            <w:r w:rsidRPr="00BA64AD">
              <w:rPr>
                <w:rFonts w:cs="Arial"/>
                <w:b/>
                <w:bCs/>
                <w:i/>
                <w:iCs/>
                <w:sz w:val="15"/>
                <w:szCs w:val="15"/>
              </w:rPr>
              <w:t>Spoločníci/akcionári</w:t>
            </w:r>
          </w:p>
        </w:tc>
        <w:tc>
          <w:tcPr>
            <w:tcW w:w="846" w:type="pct"/>
            <w:tcBorders>
              <w:top w:val="nil"/>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Dátum zmeny</w:t>
            </w:r>
          </w:p>
        </w:tc>
        <w:tc>
          <w:tcPr>
            <w:tcW w:w="708" w:type="pct"/>
            <w:tcBorders>
              <w:top w:val="single" w:sz="4"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v eurách</w:t>
            </w:r>
          </w:p>
        </w:tc>
        <w:tc>
          <w:tcPr>
            <w:tcW w:w="487" w:type="pct"/>
            <w:tcBorders>
              <w:top w:val="single" w:sz="4"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v %</w:t>
            </w:r>
          </w:p>
        </w:tc>
        <w:tc>
          <w:tcPr>
            <w:tcW w:w="655" w:type="pct"/>
            <w:tcBorders>
              <w:top w:val="nil"/>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v %</w:t>
            </w:r>
          </w:p>
        </w:tc>
        <w:tc>
          <w:tcPr>
            <w:tcW w:w="1152" w:type="pct"/>
            <w:vMerge/>
            <w:tcBorders>
              <w:top w:val="single" w:sz="8" w:space="0" w:color="auto"/>
              <w:left w:val="nil"/>
              <w:bottom w:val="nil"/>
              <w:right w:val="nil"/>
            </w:tcBorders>
            <w:vAlign w:val="center"/>
            <w:hideMark/>
          </w:tcPr>
          <w:p w:rsidR="00BA64AD" w:rsidRPr="00BA64AD" w:rsidRDefault="00BA64AD" w:rsidP="00BA64AD">
            <w:pPr>
              <w:jc w:val="left"/>
              <w:rPr>
                <w:rFonts w:cs="Arial"/>
                <w:b/>
                <w:bCs/>
                <w:i/>
                <w:iCs/>
                <w:sz w:val="15"/>
                <w:szCs w:val="15"/>
              </w:rPr>
            </w:pPr>
          </w:p>
        </w:tc>
      </w:tr>
      <w:tr w:rsidR="00BA64AD" w:rsidRPr="000E2CA7" w:rsidTr="00BA64AD">
        <w:trPr>
          <w:trHeight w:val="390"/>
        </w:trPr>
        <w:tc>
          <w:tcPr>
            <w:tcW w:w="1998" w:type="pct"/>
            <w:gridSpan w:val="2"/>
            <w:tcBorders>
              <w:top w:val="single" w:sz="4" w:space="0" w:color="auto"/>
              <w:left w:val="nil"/>
              <w:bottom w:val="nil"/>
              <w:right w:val="nil"/>
            </w:tcBorders>
            <w:shd w:val="clear" w:color="auto" w:fill="auto"/>
            <w:vAlign w:val="center"/>
            <w:hideMark/>
          </w:tcPr>
          <w:p w:rsidR="00BA64AD" w:rsidRPr="00BA64AD" w:rsidRDefault="00BA64AD" w:rsidP="00BA64AD">
            <w:pPr>
              <w:jc w:val="left"/>
              <w:rPr>
                <w:rFonts w:cs="Arial"/>
                <w:sz w:val="15"/>
                <w:szCs w:val="15"/>
              </w:rPr>
            </w:pPr>
            <w:r w:rsidRPr="00BA64AD">
              <w:rPr>
                <w:rFonts w:cs="Arial"/>
                <w:sz w:val="15"/>
                <w:szCs w:val="15"/>
              </w:rPr>
              <w:t>Deloitte Central Europe Holding Limited</w:t>
            </w:r>
          </w:p>
        </w:tc>
        <w:tc>
          <w:tcPr>
            <w:tcW w:w="708"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5 000 </w:t>
            </w:r>
          </w:p>
        </w:tc>
        <w:tc>
          <w:tcPr>
            <w:tcW w:w="487"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655"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1152"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0E2CA7" w:rsidTr="00BA64AD">
        <w:trPr>
          <w:trHeight w:val="210"/>
        </w:trPr>
        <w:tc>
          <w:tcPr>
            <w:tcW w:w="1998" w:type="pct"/>
            <w:gridSpan w:val="2"/>
            <w:tcBorders>
              <w:top w:val="nil"/>
              <w:left w:val="nil"/>
              <w:bottom w:val="single" w:sz="8" w:space="0" w:color="auto"/>
              <w:right w:val="nil"/>
            </w:tcBorders>
            <w:shd w:val="clear" w:color="auto" w:fill="auto"/>
            <w:vAlign w:val="center"/>
            <w:hideMark/>
          </w:tcPr>
          <w:p w:rsidR="00BA64AD" w:rsidRPr="00BA64AD" w:rsidRDefault="00BA64AD" w:rsidP="00BA64AD">
            <w:pPr>
              <w:jc w:val="left"/>
              <w:rPr>
                <w:rFonts w:cs="Arial"/>
                <w:b/>
                <w:bCs/>
                <w:sz w:val="15"/>
                <w:szCs w:val="15"/>
              </w:rPr>
            </w:pPr>
            <w:r w:rsidRPr="00BA64AD">
              <w:rPr>
                <w:rFonts w:cs="Arial"/>
                <w:b/>
                <w:bCs/>
                <w:sz w:val="15"/>
                <w:szCs w:val="15"/>
              </w:rPr>
              <w:t>Spolu</w:t>
            </w:r>
          </w:p>
        </w:tc>
        <w:tc>
          <w:tcPr>
            <w:tcW w:w="708" w:type="pct"/>
            <w:tcBorders>
              <w:top w:val="single" w:sz="4" w:space="0" w:color="auto"/>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xml:space="preserve">5 000 </w:t>
            </w:r>
          </w:p>
        </w:tc>
        <w:tc>
          <w:tcPr>
            <w:tcW w:w="487" w:type="pct"/>
            <w:tcBorders>
              <w:top w:val="single" w:sz="4" w:space="0" w:color="auto"/>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xml:space="preserve">- </w:t>
            </w:r>
          </w:p>
        </w:tc>
        <w:tc>
          <w:tcPr>
            <w:tcW w:w="655" w:type="pct"/>
            <w:tcBorders>
              <w:top w:val="nil"/>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w:t>
            </w:r>
          </w:p>
        </w:tc>
        <w:tc>
          <w:tcPr>
            <w:tcW w:w="1152" w:type="pct"/>
            <w:tcBorders>
              <w:top w:val="single" w:sz="4" w:space="0" w:color="auto"/>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xml:space="preserve">- </w:t>
            </w:r>
          </w:p>
        </w:tc>
      </w:tr>
    </w:tbl>
    <w:p w:rsidR="00BA64AD" w:rsidRPr="000E2CA7" w:rsidRDefault="00BA64AD" w:rsidP="00BA64AD">
      <w:pPr>
        <w:rPr>
          <w:snapToGrid w:val="0"/>
          <w:color w:val="000000" w:themeColor="text1"/>
        </w:rPr>
      </w:pPr>
    </w:p>
    <w:p w:rsidR="00BA64AD" w:rsidRPr="000E2CA7" w:rsidRDefault="00BA64AD">
      <w:pPr>
        <w:jc w:val="left"/>
        <w:rPr>
          <w:rFonts w:cs="Arial"/>
          <w:b/>
          <w:bCs/>
          <w:caps/>
          <w:kern w:val="32"/>
          <w:sz w:val="18"/>
          <w:szCs w:val="32"/>
          <w:u w:val="single"/>
        </w:rPr>
      </w:pPr>
      <w:bookmarkStart w:id="5" w:name="_Ref150575427"/>
      <w:bookmarkEnd w:id="2"/>
      <w:bookmarkEnd w:id="3"/>
      <w:r w:rsidRPr="000E2CA7">
        <w:br w:type="page"/>
      </w:r>
    </w:p>
    <w:p w:rsidR="00845108" w:rsidRPr="000E2CA7" w:rsidRDefault="00845108" w:rsidP="00C81150">
      <w:pPr>
        <w:pStyle w:val="Heading1"/>
      </w:pPr>
      <w:r w:rsidRPr="000E2CA7">
        <w:lastRenderedPageBreak/>
        <w:t>POUŽITÉ ÚČTOVNÉ ZÁSADY A ÚČTOVNÉ METÓDY</w:t>
      </w:r>
    </w:p>
    <w:bookmarkEnd w:id="5"/>
    <w:p w:rsidR="00C81150" w:rsidRPr="000E2CA7" w:rsidRDefault="00C81150" w:rsidP="00C81150"/>
    <w:p w:rsidR="00BE09FD" w:rsidRPr="000E2CA7" w:rsidRDefault="00C81150" w:rsidP="00BA3F19">
      <w:pPr>
        <w:numPr>
          <w:ilvl w:val="0"/>
          <w:numId w:val="2"/>
        </w:numPr>
        <w:rPr>
          <w:snapToGrid w:val="0"/>
        </w:rPr>
      </w:pPr>
      <w:r w:rsidRPr="000E2CA7">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0E2CA7">
        <w:rPr>
          <w:snapToGrid w:val="0"/>
        </w:rPr>
        <w:t>eurách</w:t>
      </w:r>
      <w:r w:rsidRPr="000E2CA7">
        <w:rPr>
          <w:snapToGrid w:val="0"/>
        </w:rPr>
        <w:t>.</w:t>
      </w:r>
    </w:p>
    <w:p w:rsidR="00BE09FD" w:rsidRPr="000E2CA7" w:rsidRDefault="00BE09FD" w:rsidP="00BE09FD">
      <w:pPr>
        <w:rPr>
          <w:snapToGrid w:val="0"/>
        </w:rPr>
      </w:pPr>
    </w:p>
    <w:p w:rsidR="00BA64AD" w:rsidRPr="000E2CA7" w:rsidRDefault="00BA64AD" w:rsidP="00BA64AD">
      <w:pPr>
        <w:ind w:left="567"/>
      </w:pPr>
      <w:r w:rsidRPr="000E2CA7">
        <w:t>K 31. decembru 2014 sa zmenila štruktúra súvahy a výkazu ziskov a strát. Zmena si vyžiadala aj preradenie položiek v súvahe a výkaze ziskov a strát za predchádzajúce účtovné obdobie podľa novej štruktúry výkazov. Zmena nemala žiadny vplyv na výsledok hospodárenia bežného účtovného obdobia, ani na výsledok hospodárenia minulých rokov.</w:t>
      </w:r>
    </w:p>
    <w:p w:rsidR="00BA64AD" w:rsidRPr="000E2CA7" w:rsidRDefault="00BA64AD" w:rsidP="00BE09FD">
      <w:pPr>
        <w:rPr>
          <w:snapToGrid w:val="0"/>
        </w:rPr>
      </w:pPr>
    </w:p>
    <w:p w:rsidR="00C81150" w:rsidRPr="000E2CA7" w:rsidRDefault="00C81150" w:rsidP="00BA3F19">
      <w:pPr>
        <w:numPr>
          <w:ilvl w:val="0"/>
          <w:numId w:val="2"/>
        </w:numPr>
      </w:pPr>
      <w:r w:rsidRPr="000E2CA7">
        <w:t>Účtovná závierka za rok 20</w:t>
      </w:r>
      <w:r w:rsidR="008C598A" w:rsidRPr="000E2CA7">
        <w:t>1</w:t>
      </w:r>
      <w:r w:rsidR="00BA64AD" w:rsidRPr="000E2CA7">
        <w:t>4</w:t>
      </w:r>
      <w:r w:rsidRPr="000E2CA7">
        <w:t xml:space="preserve"> bola spracovaná za predpokladu nepretržitého pokračovania činnosti. </w:t>
      </w:r>
    </w:p>
    <w:p w:rsidR="00C81150" w:rsidRPr="000E2CA7" w:rsidRDefault="00C81150" w:rsidP="00C81150">
      <w:pPr>
        <w:tabs>
          <w:tab w:val="num" w:pos="540"/>
        </w:tabs>
        <w:ind w:left="540" w:hanging="540"/>
      </w:pPr>
    </w:p>
    <w:p w:rsidR="00C81150" w:rsidRPr="000E2CA7" w:rsidRDefault="00C81150" w:rsidP="00BA3F19">
      <w:pPr>
        <w:numPr>
          <w:ilvl w:val="0"/>
          <w:numId w:val="2"/>
        </w:numPr>
      </w:pPr>
      <w:r w:rsidRPr="000E2CA7">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0E2CA7" w:rsidRDefault="00C81150" w:rsidP="00C81150">
      <w:pPr>
        <w:tabs>
          <w:tab w:val="num" w:pos="540"/>
        </w:tabs>
        <w:ind w:left="540" w:hanging="540"/>
      </w:pPr>
    </w:p>
    <w:p w:rsidR="00C81150" w:rsidRPr="000E2CA7" w:rsidRDefault="00C81150" w:rsidP="00BA3F19">
      <w:pPr>
        <w:numPr>
          <w:ilvl w:val="0"/>
          <w:numId w:val="2"/>
        </w:numPr>
      </w:pPr>
      <w:r w:rsidRPr="000E2CA7">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0E2CA7" w:rsidRDefault="00C81150" w:rsidP="00C81150">
      <w:pPr>
        <w:tabs>
          <w:tab w:val="num" w:pos="540"/>
        </w:tabs>
        <w:ind w:left="540" w:hanging="540"/>
      </w:pPr>
    </w:p>
    <w:p w:rsidR="00C81150" w:rsidRPr="000E2CA7" w:rsidRDefault="00C81150" w:rsidP="00BA3F19">
      <w:pPr>
        <w:numPr>
          <w:ilvl w:val="0"/>
          <w:numId w:val="2"/>
        </w:numPr>
      </w:pPr>
      <w:r w:rsidRPr="000E2CA7">
        <w:t>Moment zaúčtovania výnosov – výnosy sa účtujú pri splnení dodacích podmienok, nakoľko v tomto okamihu prechádzajú na odberateľa významné riziká a vlastnícke práva.</w:t>
      </w:r>
    </w:p>
    <w:p w:rsidR="00C81150" w:rsidRPr="000E2CA7" w:rsidRDefault="00C81150" w:rsidP="00C81150">
      <w:pPr>
        <w:tabs>
          <w:tab w:val="num" w:pos="540"/>
        </w:tabs>
        <w:ind w:left="540" w:hanging="540"/>
      </w:pPr>
    </w:p>
    <w:p w:rsidR="00C81150" w:rsidRPr="000E2CA7" w:rsidRDefault="00C81150" w:rsidP="00BA3F19">
      <w:pPr>
        <w:numPr>
          <w:ilvl w:val="0"/>
          <w:numId w:val="2"/>
        </w:numPr>
      </w:pPr>
      <w:r w:rsidRPr="000E2CA7">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BA3F19" w:rsidRPr="000E2CA7" w:rsidRDefault="00BA3F19">
      <w:pPr>
        <w:jc w:val="left"/>
      </w:pPr>
    </w:p>
    <w:p w:rsidR="00C81150" w:rsidRPr="000E2CA7" w:rsidRDefault="00C81150" w:rsidP="00BA3F19">
      <w:pPr>
        <w:numPr>
          <w:ilvl w:val="0"/>
          <w:numId w:val="2"/>
        </w:numPr>
      </w:pPr>
      <w:r w:rsidRPr="000E2CA7">
        <w:t>Použitie odhadov – zostavenie účtovnej závierky si vyžaduje, aby vedenie spoločnosti vypracovalo odhady a predpoklady, ktoré majú vplyv na vykazované sumy aktív a pasív, uvedenie možných budúcich aktív a pasív k</w:t>
      </w:r>
      <w:r w:rsidR="003B3C94" w:rsidRPr="000E2CA7">
        <w:t> </w:t>
      </w:r>
      <w:r w:rsidRPr="000E2CA7">
        <w:t>dátumu</w:t>
      </w:r>
      <w:r w:rsidR="003B3C94" w:rsidRPr="000E2CA7">
        <w:t>, ku ktorému sa zostavuje</w:t>
      </w:r>
      <w:r w:rsidRPr="000E2CA7">
        <w:t xml:space="preserve"> účtovn</w:t>
      </w:r>
      <w:r w:rsidR="003B3C94" w:rsidRPr="000E2CA7">
        <w:t>á</w:t>
      </w:r>
      <w:r w:rsidRPr="000E2CA7">
        <w:t xml:space="preserve"> závierk</w:t>
      </w:r>
      <w:r w:rsidR="003B3C94" w:rsidRPr="000E2CA7">
        <w:t>a</w:t>
      </w:r>
      <w:r w:rsidRPr="000E2CA7">
        <w:t>, ako aj na vykazovanú výšku výnosov a nákladov počas roka. Skutočné výsledky sa môžu od takýchto odhadov líšiť.</w:t>
      </w:r>
    </w:p>
    <w:p w:rsidR="00C81150" w:rsidRPr="000E2CA7" w:rsidRDefault="00C81150" w:rsidP="00C81150">
      <w:pPr>
        <w:tabs>
          <w:tab w:val="num" w:pos="540"/>
        </w:tabs>
        <w:ind w:left="540" w:hanging="540"/>
      </w:pPr>
    </w:p>
    <w:p w:rsidR="00C81150" w:rsidRPr="000E2CA7" w:rsidRDefault="00C81150" w:rsidP="00BA3F19">
      <w:pPr>
        <w:numPr>
          <w:ilvl w:val="0"/>
          <w:numId w:val="2"/>
        </w:numPr>
      </w:pPr>
      <w:r w:rsidRPr="000E2CA7">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C81150" w:rsidRPr="000E2CA7" w:rsidRDefault="00C81150" w:rsidP="00DB2CCC"/>
    <w:p w:rsidR="0000253C" w:rsidRPr="000E2CA7" w:rsidRDefault="0000253C" w:rsidP="00DB2CCC"/>
    <w:p w:rsidR="00C81150" w:rsidRPr="000E2CA7" w:rsidRDefault="00C81150" w:rsidP="00BA3F19">
      <w:pPr>
        <w:pStyle w:val="Heading2"/>
        <w:numPr>
          <w:ilvl w:val="1"/>
          <w:numId w:val="19"/>
        </w:numPr>
      </w:pPr>
      <w:bookmarkStart w:id="6" w:name="_Ref150575465"/>
      <w:r w:rsidRPr="000E2CA7">
        <w:t>Spôsob ocenenia jednotlivých zložiek majetku a záväzkov – nasledujúce ocenenie</w:t>
      </w:r>
      <w:bookmarkEnd w:id="6"/>
    </w:p>
    <w:p w:rsidR="00C81150" w:rsidRPr="000E2CA7" w:rsidRDefault="00C81150" w:rsidP="00C81150"/>
    <w:p w:rsidR="00C81150" w:rsidRPr="000E2CA7" w:rsidRDefault="00C81150" w:rsidP="00BA3F19">
      <w:pPr>
        <w:numPr>
          <w:ilvl w:val="0"/>
          <w:numId w:val="7"/>
        </w:numPr>
      </w:pPr>
      <w:bookmarkStart w:id="7" w:name="_Ref150575467"/>
      <w:r w:rsidRPr="000E2CA7">
        <w:t>Predpokladané riziká, straty a zníženia hodnoty, ktoré sa týkajú majetku a záväzkov, sa vyjadrujú prostredníctvom rezerv, opravných položiek a odpisov.</w:t>
      </w:r>
      <w:bookmarkEnd w:id="7"/>
      <w:r w:rsidRPr="000E2CA7">
        <w:t xml:space="preserve"> </w:t>
      </w:r>
    </w:p>
    <w:p w:rsidR="00C81150" w:rsidRPr="000E2CA7" w:rsidRDefault="00C81150" w:rsidP="00C81150"/>
    <w:p w:rsidR="00BA3F19" w:rsidRPr="000E2CA7" w:rsidRDefault="00BA3F19" w:rsidP="00BA3F19">
      <w:pPr>
        <w:numPr>
          <w:ilvl w:val="0"/>
          <w:numId w:val="4"/>
        </w:numPr>
        <w:tabs>
          <w:tab w:val="clear" w:pos="539"/>
          <w:tab w:val="num" w:pos="900"/>
        </w:tabs>
        <w:ind w:left="900" w:hanging="360"/>
        <w:rPr>
          <w:snapToGrid w:val="0"/>
          <w:u w:val="single"/>
        </w:rPr>
      </w:pPr>
      <w:r w:rsidRPr="000E2CA7">
        <w:rPr>
          <w:snapToGrid w:val="0"/>
          <w:u w:val="single"/>
        </w:rPr>
        <w:t>Rezervy – účtujú sa v očakávanej výške záväzku.</w:t>
      </w:r>
    </w:p>
    <w:p w:rsidR="00BA3F19" w:rsidRPr="000E2CA7" w:rsidRDefault="00BA3F19" w:rsidP="00BA3F19">
      <w:pPr>
        <w:ind w:left="539"/>
      </w:pPr>
    </w:p>
    <w:p w:rsidR="00BA3F19" w:rsidRPr="000E2CA7" w:rsidRDefault="00BA3F19" w:rsidP="00BA3F19">
      <w:pPr>
        <w:numPr>
          <w:ilvl w:val="0"/>
          <w:numId w:val="4"/>
        </w:numPr>
        <w:tabs>
          <w:tab w:val="clear" w:pos="539"/>
          <w:tab w:val="num" w:pos="900"/>
        </w:tabs>
        <w:ind w:left="900" w:hanging="360"/>
        <w:rPr>
          <w:snapToGrid w:val="0"/>
        </w:rPr>
      </w:pPr>
      <w:r w:rsidRPr="000E2CA7">
        <w:rPr>
          <w:snapToGrid w:val="0"/>
          <w:u w:val="single"/>
        </w:rPr>
        <w:t>Opravné položky</w:t>
      </w:r>
      <w:r w:rsidRPr="000E2CA7">
        <w:rPr>
          <w:snapToGrid w:val="0"/>
        </w:rPr>
        <w:t xml:space="preserve"> – účtujú sa v sume opodstatneného predpokladu zníženia hodnoty majetku oproti jeho oceneniu v účtovníctve, a to:</w:t>
      </w:r>
    </w:p>
    <w:p w:rsidR="00BA3F19" w:rsidRPr="000E2CA7" w:rsidRDefault="00BA3F19" w:rsidP="00BA3F19">
      <w:pPr>
        <w:numPr>
          <w:ilvl w:val="1"/>
          <w:numId w:val="6"/>
        </w:numPr>
        <w:tabs>
          <w:tab w:val="clear" w:pos="851"/>
          <w:tab w:val="num" w:pos="1260"/>
        </w:tabs>
        <w:ind w:left="1260" w:hanging="360"/>
      </w:pPr>
      <w:r w:rsidRPr="000E2CA7">
        <w:rPr>
          <w:snapToGrid w:val="0"/>
        </w:rPr>
        <w:t>k pohľadávkam po lehote splatnosti nad 360 dní 100 %, nad 120 dní 50 %.</w:t>
      </w:r>
    </w:p>
    <w:p w:rsidR="00BA3F19" w:rsidRPr="000E2CA7" w:rsidRDefault="00BA3F19" w:rsidP="00BA3F19">
      <w:pPr>
        <w:ind w:left="539"/>
      </w:pPr>
    </w:p>
    <w:p w:rsidR="00BA3F19" w:rsidRPr="000E2CA7" w:rsidRDefault="00BA3F19" w:rsidP="00BA3F19">
      <w:pPr>
        <w:numPr>
          <w:ilvl w:val="0"/>
          <w:numId w:val="5"/>
        </w:numPr>
        <w:tabs>
          <w:tab w:val="clear" w:pos="539"/>
          <w:tab w:val="num" w:pos="900"/>
        </w:tabs>
        <w:ind w:left="900" w:hanging="360"/>
        <w:rPr>
          <w:snapToGrid w:val="0"/>
        </w:rPr>
      </w:pPr>
      <w:r w:rsidRPr="000E2CA7">
        <w:rPr>
          <w:snapToGrid w:val="0"/>
          <w:u w:val="single"/>
        </w:rPr>
        <w:t xml:space="preserve">Plán odpisov </w:t>
      </w:r>
    </w:p>
    <w:p w:rsidR="00BA3F19" w:rsidRPr="000E2CA7" w:rsidRDefault="00BA3F19" w:rsidP="00BA3F19">
      <w:pPr>
        <w:ind w:left="900"/>
        <w:rPr>
          <w:snapToGrid w:val="0"/>
        </w:rPr>
      </w:pPr>
    </w:p>
    <w:p w:rsidR="00BA3F19" w:rsidRPr="000E2CA7" w:rsidRDefault="00BA3F19" w:rsidP="00BA3F19">
      <w:pPr>
        <w:ind w:left="900"/>
      </w:pPr>
      <w:r w:rsidRPr="000E2CA7">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rsidR="00C81150" w:rsidRPr="000E2CA7" w:rsidRDefault="00C81150" w:rsidP="00C81150"/>
    <w:p w:rsidR="00BA64AD" w:rsidRPr="000E2CA7" w:rsidRDefault="00BA64AD">
      <w:pPr>
        <w:jc w:val="left"/>
      </w:pPr>
      <w:r w:rsidRPr="000E2CA7">
        <w:br w:type="page"/>
      </w:r>
    </w:p>
    <w:p w:rsidR="00BA3F19" w:rsidRPr="000E2CA7" w:rsidRDefault="00BA3F19" w:rsidP="00BA3F19">
      <w:pPr>
        <w:ind w:left="900"/>
      </w:pPr>
      <w:r w:rsidRPr="000E2CA7">
        <w:lastRenderedPageBreak/>
        <w:t>Priemerné životnosti podľa plánu odpisov sú:</w:t>
      </w:r>
    </w:p>
    <w:p w:rsidR="00BA3F19" w:rsidRPr="000E2CA7" w:rsidRDefault="00BA3F19" w:rsidP="00BA3F19">
      <w:pPr>
        <w:ind w:left="539"/>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BA3F19" w:rsidRPr="000E2CA7" w:rsidTr="00626E98">
        <w:tc>
          <w:tcPr>
            <w:tcW w:w="3211" w:type="dxa"/>
            <w:tcBorders>
              <w:top w:val="single" w:sz="8" w:space="0" w:color="auto"/>
              <w:bottom w:val="single" w:sz="4" w:space="0" w:color="auto"/>
            </w:tcBorders>
          </w:tcPr>
          <w:p w:rsidR="00BA3F19" w:rsidRPr="000E2CA7" w:rsidRDefault="00BA3F19" w:rsidP="00626E98">
            <w:pPr>
              <w:jc w:val="left"/>
              <w:rPr>
                <w:b/>
                <w:i/>
                <w:sz w:val="15"/>
                <w:szCs w:val="15"/>
              </w:rPr>
            </w:pPr>
            <w:r w:rsidRPr="000E2CA7">
              <w:rPr>
                <w:b/>
                <w:i/>
                <w:sz w:val="15"/>
                <w:szCs w:val="15"/>
              </w:rPr>
              <w:t>Druh majetku</w:t>
            </w:r>
          </w:p>
        </w:tc>
        <w:tc>
          <w:tcPr>
            <w:tcW w:w="2268" w:type="dxa"/>
            <w:tcBorders>
              <w:top w:val="single" w:sz="8" w:space="0" w:color="auto"/>
              <w:bottom w:val="single" w:sz="4" w:space="0" w:color="auto"/>
            </w:tcBorders>
          </w:tcPr>
          <w:p w:rsidR="00BA3F19" w:rsidRPr="000E2CA7" w:rsidRDefault="00BA3F19" w:rsidP="00626E98">
            <w:pPr>
              <w:jc w:val="center"/>
              <w:rPr>
                <w:b/>
                <w:i/>
                <w:sz w:val="15"/>
                <w:szCs w:val="15"/>
              </w:rPr>
            </w:pPr>
            <w:r w:rsidRPr="000E2CA7">
              <w:rPr>
                <w:b/>
                <w:i/>
                <w:sz w:val="15"/>
                <w:szCs w:val="15"/>
              </w:rPr>
              <w:t>Životnosť</w:t>
            </w:r>
          </w:p>
        </w:tc>
        <w:tc>
          <w:tcPr>
            <w:tcW w:w="2693" w:type="dxa"/>
            <w:tcBorders>
              <w:top w:val="single" w:sz="8" w:space="0" w:color="auto"/>
              <w:bottom w:val="single" w:sz="4" w:space="0" w:color="auto"/>
            </w:tcBorders>
          </w:tcPr>
          <w:p w:rsidR="00BA3F19" w:rsidRPr="000E2CA7" w:rsidRDefault="00BA3F19" w:rsidP="00626E98">
            <w:pPr>
              <w:jc w:val="center"/>
              <w:rPr>
                <w:b/>
                <w:i/>
                <w:sz w:val="15"/>
                <w:szCs w:val="15"/>
              </w:rPr>
            </w:pPr>
            <w:r w:rsidRPr="000E2CA7">
              <w:rPr>
                <w:b/>
                <w:i/>
                <w:sz w:val="15"/>
                <w:szCs w:val="15"/>
              </w:rPr>
              <w:t>Ročná sadzba odpisov</w:t>
            </w:r>
          </w:p>
        </w:tc>
      </w:tr>
      <w:tr w:rsidR="00BA3F19" w:rsidRPr="000E2CA7" w:rsidTr="00626E98">
        <w:tc>
          <w:tcPr>
            <w:tcW w:w="3211" w:type="dxa"/>
            <w:tcBorders>
              <w:top w:val="single" w:sz="4" w:space="0" w:color="auto"/>
            </w:tcBorders>
          </w:tcPr>
          <w:p w:rsidR="00BA3F19" w:rsidRPr="000E2CA7" w:rsidRDefault="00BA3F19" w:rsidP="00626E98">
            <w:pPr>
              <w:rPr>
                <w:b/>
                <w:snapToGrid w:val="0"/>
                <w:sz w:val="15"/>
                <w:szCs w:val="15"/>
              </w:rPr>
            </w:pPr>
            <w:r w:rsidRPr="000E2CA7">
              <w:rPr>
                <w:sz w:val="15"/>
                <w:szCs w:val="15"/>
              </w:rPr>
              <w:t>Budovy a stavby</w:t>
            </w:r>
          </w:p>
        </w:tc>
        <w:tc>
          <w:tcPr>
            <w:tcW w:w="2268" w:type="dxa"/>
            <w:tcBorders>
              <w:top w:val="single" w:sz="4" w:space="0" w:color="auto"/>
            </w:tcBorders>
          </w:tcPr>
          <w:p w:rsidR="00BA3F19" w:rsidRPr="000E2CA7" w:rsidRDefault="00BA3F19" w:rsidP="00626E98">
            <w:pPr>
              <w:jc w:val="center"/>
              <w:rPr>
                <w:b/>
                <w:snapToGrid w:val="0"/>
                <w:sz w:val="15"/>
                <w:szCs w:val="15"/>
              </w:rPr>
            </w:pPr>
            <w:r w:rsidRPr="000E2CA7">
              <w:rPr>
                <w:sz w:val="15"/>
                <w:szCs w:val="15"/>
              </w:rPr>
              <w:t>20 rokov</w:t>
            </w:r>
          </w:p>
        </w:tc>
        <w:tc>
          <w:tcPr>
            <w:tcW w:w="2693" w:type="dxa"/>
            <w:tcBorders>
              <w:top w:val="single" w:sz="4" w:space="0" w:color="auto"/>
            </w:tcBorders>
          </w:tcPr>
          <w:p w:rsidR="00BA3F19" w:rsidRPr="000E2CA7" w:rsidRDefault="00BA3F19" w:rsidP="00626E98">
            <w:pPr>
              <w:jc w:val="center"/>
              <w:rPr>
                <w:b/>
                <w:sz w:val="15"/>
                <w:szCs w:val="15"/>
              </w:rPr>
            </w:pPr>
            <w:r w:rsidRPr="000E2CA7">
              <w:rPr>
                <w:sz w:val="15"/>
                <w:szCs w:val="15"/>
              </w:rPr>
              <w:t>5,0 %</w:t>
            </w:r>
          </w:p>
        </w:tc>
      </w:tr>
      <w:tr w:rsidR="00BA3F19" w:rsidRPr="000E2CA7" w:rsidTr="00626E98">
        <w:tc>
          <w:tcPr>
            <w:tcW w:w="3211" w:type="dxa"/>
          </w:tcPr>
          <w:p w:rsidR="00BA3F19" w:rsidRPr="000E2CA7" w:rsidRDefault="00BA3F19" w:rsidP="00626E98">
            <w:pPr>
              <w:rPr>
                <w:b/>
                <w:snapToGrid w:val="0"/>
                <w:sz w:val="15"/>
                <w:szCs w:val="15"/>
              </w:rPr>
            </w:pPr>
            <w:r w:rsidRPr="000E2CA7">
              <w:rPr>
                <w:sz w:val="15"/>
                <w:szCs w:val="15"/>
              </w:rPr>
              <w:t>Stroje a zariadenia</w:t>
            </w:r>
          </w:p>
        </w:tc>
        <w:tc>
          <w:tcPr>
            <w:tcW w:w="2268" w:type="dxa"/>
          </w:tcPr>
          <w:p w:rsidR="00BA3F19" w:rsidRPr="000E2CA7" w:rsidRDefault="00BA3F19" w:rsidP="00626E98">
            <w:pPr>
              <w:jc w:val="center"/>
              <w:rPr>
                <w:b/>
                <w:snapToGrid w:val="0"/>
                <w:sz w:val="15"/>
                <w:szCs w:val="15"/>
              </w:rPr>
            </w:pPr>
            <w:r w:rsidRPr="000E2CA7">
              <w:rPr>
                <w:sz w:val="15"/>
                <w:szCs w:val="15"/>
              </w:rPr>
              <w:t>6 rokov</w:t>
            </w:r>
          </w:p>
        </w:tc>
        <w:tc>
          <w:tcPr>
            <w:tcW w:w="2693" w:type="dxa"/>
          </w:tcPr>
          <w:p w:rsidR="00BA3F19" w:rsidRPr="000E2CA7" w:rsidRDefault="00BA3F19" w:rsidP="00626E98">
            <w:pPr>
              <w:jc w:val="center"/>
              <w:rPr>
                <w:b/>
                <w:sz w:val="15"/>
                <w:szCs w:val="15"/>
              </w:rPr>
            </w:pPr>
            <w:r w:rsidRPr="000E2CA7">
              <w:rPr>
                <w:sz w:val="15"/>
                <w:szCs w:val="15"/>
              </w:rPr>
              <w:t>16,7 %</w:t>
            </w:r>
          </w:p>
        </w:tc>
      </w:tr>
      <w:tr w:rsidR="00BA3F19" w:rsidRPr="000E2CA7" w:rsidTr="00626E98">
        <w:tc>
          <w:tcPr>
            <w:tcW w:w="3211" w:type="dxa"/>
          </w:tcPr>
          <w:p w:rsidR="00BA3F19" w:rsidRPr="000E2CA7" w:rsidRDefault="00BA3F19" w:rsidP="00626E98">
            <w:pPr>
              <w:rPr>
                <w:b/>
                <w:snapToGrid w:val="0"/>
                <w:sz w:val="15"/>
                <w:szCs w:val="15"/>
              </w:rPr>
            </w:pPr>
            <w:r w:rsidRPr="000E2CA7">
              <w:rPr>
                <w:sz w:val="15"/>
                <w:szCs w:val="15"/>
              </w:rPr>
              <w:t>Dopravné prostriedky</w:t>
            </w:r>
          </w:p>
        </w:tc>
        <w:tc>
          <w:tcPr>
            <w:tcW w:w="2268" w:type="dxa"/>
          </w:tcPr>
          <w:p w:rsidR="00BA3F19" w:rsidRPr="000E2CA7" w:rsidRDefault="00BA3F19" w:rsidP="00626E98">
            <w:pPr>
              <w:jc w:val="center"/>
              <w:rPr>
                <w:b/>
                <w:snapToGrid w:val="0"/>
                <w:sz w:val="15"/>
                <w:szCs w:val="15"/>
              </w:rPr>
            </w:pPr>
            <w:r w:rsidRPr="000E2CA7">
              <w:rPr>
                <w:sz w:val="15"/>
                <w:szCs w:val="15"/>
              </w:rPr>
              <w:t>4 roky</w:t>
            </w:r>
          </w:p>
        </w:tc>
        <w:tc>
          <w:tcPr>
            <w:tcW w:w="2693" w:type="dxa"/>
          </w:tcPr>
          <w:p w:rsidR="00BA3F19" w:rsidRPr="000E2CA7" w:rsidRDefault="00BA3F19" w:rsidP="00626E98">
            <w:pPr>
              <w:jc w:val="center"/>
              <w:rPr>
                <w:b/>
                <w:sz w:val="15"/>
                <w:szCs w:val="15"/>
              </w:rPr>
            </w:pPr>
            <w:r w:rsidRPr="000E2CA7">
              <w:rPr>
                <w:sz w:val="15"/>
                <w:szCs w:val="15"/>
              </w:rPr>
              <w:t>25,0 %</w:t>
            </w:r>
          </w:p>
        </w:tc>
      </w:tr>
      <w:tr w:rsidR="00BA3F19" w:rsidRPr="000E2CA7" w:rsidTr="00626E98">
        <w:tc>
          <w:tcPr>
            <w:tcW w:w="3211" w:type="dxa"/>
          </w:tcPr>
          <w:p w:rsidR="00BA3F19" w:rsidRPr="000E2CA7" w:rsidRDefault="00BA3F19" w:rsidP="00626E98">
            <w:pPr>
              <w:rPr>
                <w:b/>
                <w:snapToGrid w:val="0"/>
                <w:sz w:val="15"/>
                <w:szCs w:val="15"/>
              </w:rPr>
            </w:pPr>
            <w:r w:rsidRPr="000E2CA7">
              <w:rPr>
                <w:sz w:val="15"/>
                <w:szCs w:val="15"/>
              </w:rPr>
              <w:t>Inventár</w:t>
            </w:r>
          </w:p>
        </w:tc>
        <w:tc>
          <w:tcPr>
            <w:tcW w:w="2268" w:type="dxa"/>
          </w:tcPr>
          <w:p w:rsidR="00BA3F19" w:rsidRPr="000E2CA7" w:rsidRDefault="00BA3F19" w:rsidP="00626E98">
            <w:pPr>
              <w:jc w:val="center"/>
              <w:rPr>
                <w:b/>
                <w:snapToGrid w:val="0"/>
                <w:sz w:val="15"/>
                <w:szCs w:val="15"/>
              </w:rPr>
            </w:pPr>
            <w:r w:rsidRPr="000E2CA7">
              <w:rPr>
                <w:sz w:val="15"/>
                <w:szCs w:val="15"/>
              </w:rPr>
              <w:t>6 rokov</w:t>
            </w:r>
          </w:p>
        </w:tc>
        <w:tc>
          <w:tcPr>
            <w:tcW w:w="2693" w:type="dxa"/>
          </w:tcPr>
          <w:p w:rsidR="00BA3F19" w:rsidRPr="000E2CA7" w:rsidRDefault="00BA3F19" w:rsidP="00626E98">
            <w:pPr>
              <w:jc w:val="center"/>
              <w:rPr>
                <w:b/>
                <w:sz w:val="15"/>
                <w:szCs w:val="15"/>
              </w:rPr>
            </w:pPr>
            <w:r w:rsidRPr="000E2CA7">
              <w:rPr>
                <w:sz w:val="15"/>
                <w:szCs w:val="15"/>
              </w:rPr>
              <w:t>16,7 %</w:t>
            </w:r>
          </w:p>
        </w:tc>
      </w:tr>
      <w:tr w:rsidR="00BA3F19" w:rsidRPr="000E2CA7" w:rsidTr="00626E98">
        <w:tc>
          <w:tcPr>
            <w:tcW w:w="3211" w:type="dxa"/>
            <w:tcBorders>
              <w:bottom w:val="single" w:sz="8" w:space="0" w:color="auto"/>
            </w:tcBorders>
          </w:tcPr>
          <w:p w:rsidR="00BA3F19" w:rsidRPr="000E2CA7" w:rsidRDefault="00BA3F19" w:rsidP="00626E98">
            <w:pPr>
              <w:rPr>
                <w:sz w:val="15"/>
                <w:szCs w:val="15"/>
              </w:rPr>
            </w:pPr>
            <w:r w:rsidRPr="000E2CA7">
              <w:rPr>
                <w:sz w:val="15"/>
                <w:szCs w:val="15"/>
              </w:rPr>
              <w:t>Softvér</w:t>
            </w:r>
          </w:p>
        </w:tc>
        <w:tc>
          <w:tcPr>
            <w:tcW w:w="2268" w:type="dxa"/>
            <w:tcBorders>
              <w:bottom w:val="single" w:sz="8" w:space="0" w:color="auto"/>
            </w:tcBorders>
          </w:tcPr>
          <w:p w:rsidR="00BA3F19" w:rsidRPr="000E2CA7" w:rsidRDefault="00BA3F19" w:rsidP="00626E98">
            <w:pPr>
              <w:jc w:val="center"/>
              <w:rPr>
                <w:sz w:val="15"/>
                <w:szCs w:val="15"/>
              </w:rPr>
            </w:pPr>
            <w:r w:rsidRPr="000E2CA7">
              <w:rPr>
                <w:sz w:val="15"/>
                <w:szCs w:val="15"/>
              </w:rPr>
              <w:t>4 roky</w:t>
            </w:r>
          </w:p>
        </w:tc>
        <w:tc>
          <w:tcPr>
            <w:tcW w:w="2693" w:type="dxa"/>
            <w:tcBorders>
              <w:bottom w:val="single" w:sz="8" w:space="0" w:color="auto"/>
            </w:tcBorders>
          </w:tcPr>
          <w:p w:rsidR="00BA3F19" w:rsidRPr="000E2CA7" w:rsidRDefault="00BA3F19" w:rsidP="00626E98">
            <w:pPr>
              <w:jc w:val="center"/>
              <w:rPr>
                <w:sz w:val="15"/>
                <w:szCs w:val="15"/>
              </w:rPr>
            </w:pPr>
            <w:r w:rsidRPr="000E2CA7">
              <w:rPr>
                <w:sz w:val="15"/>
                <w:szCs w:val="15"/>
              </w:rPr>
              <w:t>25,0 %</w:t>
            </w:r>
          </w:p>
        </w:tc>
      </w:tr>
    </w:tbl>
    <w:p w:rsidR="00224555" w:rsidRPr="000E2CA7" w:rsidRDefault="00224555">
      <w:pPr>
        <w:jc w:val="left"/>
      </w:pPr>
    </w:p>
    <w:p w:rsidR="00BA3F19" w:rsidRPr="000E2CA7" w:rsidRDefault="00BA3F19" w:rsidP="00BA3F19">
      <w:pPr>
        <w:numPr>
          <w:ilvl w:val="0"/>
          <w:numId w:val="7"/>
        </w:numPr>
      </w:pPr>
      <w:r w:rsidRPr="000E2CA7">
        <w:t xml:space="preserve">Podiely na základnom imaní v obchodných spoločnostiach sa ponechávajú v pôvodnom ocenení. </w:t>
      </w:r>
    </w:p>
    <w:p w:rsidR="00BA3F19" w:rsidRPr="000E2CA7" w:rsidRDefault="00BA3F19" w:rsidP="00BA3F19"/>
    <w:p w:rsidR="00BA3F19" w:rsidRPr="000E2CA7" w:rsidRDefault="00BA3F19" w:rsidP="00BA3F19">
      <w:pPr>
        <w:numPr>
          <w:ilvl w:val="0"/>
          <w:numId w:val="7"/>
        </w:numPr>
      </w:pPr>
      <w:r w:rsidRPr="000E2CA7">
        <w:t>Cenné papiere určené na obchodovanie a realizovateľné cenné papiere sa oceňujú trhovou cenou.</w:t>
      </w:r>
    </w:p>
    <w:p w:rsidR="00BA3F19" w:rsidRPr="000E2CA7" w:rsidRDefault="00BA3F19" w:rsidP="00BA3F19">
      <w:pPr>
        <w:rPr>
          <w:sz w:val="20"/>
        </w:rPr>
      </w:pPr>
    </w:p>
    <w:p w:rsidR="00BA3F19" w:rsidRPr="000E2CA7" w:rsidRDefault="00BA3F19" w:rsidP="00BA3F19">
      <w:pPr>
        <w:numPr>
          <w:ilvl w:val="0"/>
          <w:numId w:val="7"/>
        </w:numPr>
      </w:pPr>
      <w:r w:rsidRPr="000E2CA7">
        <w:t>Deriváty sa oceňujú trhovou cenou.</w:t>
      </w:r>
    </w:p>
    <w:p w:rsidR="00BA3F19" w:rsidRPr="000E2CA7" w:rsidRDefault="00BA3F19" w:rsidP="00BA3F19">
      <w:pPr>
        <w:rPr>
          <w:sz w:val="20"/>
        </w:rPr>
      </w:pPr>
    </w:p>
    <w:p w:rsidR="00BA3F19" w:rsidRPr="000E2CA7" w:rsidRDefault="00BA3F19" w:rsidP="00BA3F19">
      <w:pPr>
        <w:numPr>
          <w:ilvl w:val="0"/>
          <w:numId w:val="7"/>
        </w:numPr>
      </w:pPr>
      <w:r w:rsidRPr="000E2CA7">
        <w:t>Majetok a záväzky zabezpečené derivátmi sa oceňujú trhovou cenou.</w:t>
      </w:r>
    </w:p>
    <w:p w:rsidR="00D31407" w:rsidRPr="000E2CA7" w:rsidRDefault="00D31407" w:rsidP="00D31407"/>
    <w:p w:rsidR="0000253C" w:rsidRPr="000E2CA7" w:rsidRDefault="0000253C" w:rsidP="0000253C"/>
    <w:p w:rsidR="00C81150" w:rsidRPr="000E2CA7" w:rsidRDefault="00C81150" w:rsidP="00CB407B">
      <w:pPr>
        <w:pStyle w:val="Heading2"/>
      </w:pPr>
      <w:r w:rsidRPr="000E2CA7">
        <w:t>Prepočet údajov v cudzích menách na slovenskú menu</w:t>
      </w:r>
    </w:p>
    <w:p w:rsidR="00C81150" w:rsidRPr="000E2CA7" w:rsidRDefault="00C81150" w:rsidP="00C81150"/>
    <w:p w:rsidR="00C81150" w:rsidRPr="000E2CA7" w:rsidRDefault="00C81150" w:rsidP="00C81150">
      <w:r w:rsidRPr="000E2CA7">
        <w:t xml:space="preserve">Majetok a záväzky vyjadrené v cudzej mene sa prepočítavajú na </w:t>
      </w:r>
      <w:r w:rsidR="006A49A3" w:rsidRPr="000E2CA7">
        <w:t>eurá referenčným výmenným</w:t>
      </w:r>
      <w:r w:rsidRPr="000E2CA7">
        <w:t xml:space="preserve"> kurzom určeným </w:t>
      </w:r>
      <w:r w:rsidR="00487854" w:rsidRPr="000E2CA7">
        <w:t>a vyhláseným Európskou centrálnou bankou (ECB) alebo Národnou bankou Slovenska (</w:t>
      </w:r>
      <w:r w:rsidRPr="000E2CA7">
        <w:t>NBS</w:t>
      </w:r>
      <w:r w:rsidR="00487854" w:rsidRPr="000E2CA7">
        <w:t>)</w:t>
      </w:r>
      <w:r w:rsidRPr="000E2CA7">
        <w:t xml:space="preserve"> </w:t>
      </w:r>
      <w:r w:rsidR="00487854" w:rsidRPr="000E2CA7">
        <w:t xml:space="preserve">v deň predchádzajúci </w:t>
      </w:r>
      <w:r w:rsidRPr="000E2CA7">
        <w:t xml:space="preserve">dňu uskutočnenia účtovného prípadu a </w:t>
      </w:r>
      <w:r w:rsidR="00487854" w:rsidRPr="000E2CA7">
        <w:t>v deň</w:t>
      </w:r>
      <w:r w:rsidR="003B3C94" w:rsidRPr="000E2CA7">
        <w:t>, ku ktorému sa zostavuje účtovná závierka</w:t>
      </w:r>
      <w:r w:rsidRPr="000E2CA7">
        <w:t xml:space="preserve">. </w:t>
      </w:r>
      <w:r w:rsidR="000F2546" w:rsidRPr="000E2CA7">
        <w:t xml:space="preserve">Prijaté a poskytnuté preddavky v cudzej mene sa </w:t>
      </w:r>
      <w:r w:rsidR="006F1C45" w:rsidRPr="000E2CA7">
        <w:t>ku dňu, ku ktorému sa zostavuje účtovná závierka</w:t>
      </w:r>
      <w:r w:rsidR="007D6303" w:rsidRPr="000E2CA7">
        <w:t>,</w:t>
      </w:r>
      <w:r w:rsidR="006F1C45" w:rsidRPr="000E2CA7">
        <w:t xml:space="preserve"> neprepočítavajú. </w:t>
      </w:r>
      <w:r w:rsidRPr="000E2CA7">
        <w:t xml:space="preserve">Pri kúpe a predaji cudzej meny za menu </w:t>
      </w:r>
      <w:r w:rsidR="00487854" w:rsidRPr="000E2CA7">
        <w:t xml:space="preserve">euro a pri prevode peňažných prostriedkov z účtu zriadeného v cudzej mene na účet zriadený v eurách a z účtu zriadeného v eurách na účet zriadený v cudzej mene </w:t>
      </w:r>
      <w:r w:rsidRPr="000E2CA7">
        <w:t>sa použil kurz, za ktorý boli tieto hodnoty nakúpené alebo predané.</w:t>
      </w:r>
      <w:r w:rsidR="006F1C45" w:rsidRPr="000E2CA7">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0E2CA7">
        <w:t xml:space="preserve">referenčný výmenný </w:t>
      </w:r>
      <w:r w:rsidR="00D3184D" w:rsidRPr="000E2CA7">
        <w:t xml:space="preserve">kurz </w:t>
      </w:r>
      <w:r w:rsidR="00487854" w:rsidRPr="000E2CA7">
        <w:t>určený a vyhlásený ECB alebo</w:t>
      </w:r>
      <w:r w:rsidR="006F1C45" w:rsidRPr="000E2CA7">
        <w:t xml:space="preserve"> NBS v deň </w:t>
      </w:r>
      <w:r w:rsidR="00487854" w:rsidRPr="000E2CA7">
        <w:t xml:space="preserve">predchádzajúci dňu </w:t>
      </w:r>
      <w:r w:rsidR="006F1C45" w:rsidRPr="000E2CA7">
        <w:t>vysporiadania obchodu.</w:t>
      </w:r>
    </w:p>
    <w:p w:rsidR="00E3502B" w:rsidRPr="000E2CA7" w:rsidRDefault="00E3502B" w:rsidP="00E3502B"/>
    <w:p w:rsidR="00E3502B" w:rsidRPr="000E2CA7" w:rsidRDefault="00E3502B" w:rsidP="00E3502B"/>
    <w:p w:rsidR="00CB407B" w:rsidRPr="000E2CA7" w:rsidRDefault="00CB407B" w:rsidP="00CB407B">
      <w:pPr>
        <w:pStyle w:val="Heading1"/>
      </w:pPr>
      <w:r w:rsidRPr="000E2CA7">
        <w:t>ÚDAJE VYKÁZANÉ NA STRANE AKTÍV SÚVAHY</w:t>
      </w:r>
    </w:p>
    <w:p w:rsidR="00CB407B" w:rsidRPr="000E2CA7" w:rsidRDefault="00CB407B" w:rsidP="00CB407B">
      <w:pPr>
        <w:rPr>
          <w:b/>
          <w:snapToGrid w:val="0"/>
          <w:u w:val="single"/>
        </w:rPr>
      </w:pPr>
    </w:p>
    <w:p w:rsidR="00CB407B" w:rsidRPr="000E2CA7" w:rsidRDefault="00CB407B" w:rsidP="00CB407B">
      <w:pPr>
        <w:pStyle w:val="Heading2"/>
      </w:pPr>
      <w:r w:rsidRPr="000E2CA7">
        <w:t xml:space="preserve">Dlhodobý nehmotný a hmotný majetok </w:t>
      </w:r>
    </w:p>
    <w:p w:rsidR="00CB407B" w:rsidRPr="000E2CA7" w:rsidRDefault="00CB407B" w:rsidP="00CB407B">
      <w:pPr>
        <w:rPr>
          <w:snapToGrid w:val="0"/>
        </w:rPr>
      </w:pPr>
    </w:p>
    <w:p w:rsidR="00CB407B" w:rsidRPr="000E2CA7" w:rsidRDefault="00CB407B" w:rsidP="00CB407B">
      <w:pPr>
        <w:pStyle w:val="Heading3"/>
      </w:pPr>
      <w:r w:rsidRPr="000E2CA7">
        <w:t xml:space="preserve">Pohyby na účtoch dlhodobého nehmotného majetku, oprávok, opravných položiek a zostatkovej hodnoty </w:t>
      </w:r>
    </w:p>
    <w:p w:rsidR="00CB407B" w:rsidRPr="000E2CA7" w:rsidRDefault="00CB407B" w:rsidP="00CB407B">
      <w:pPr>
        <w:rPr>
          <w:snapToGrid w:val="0"/>
        </w:rPr>
      </w:pPr>
    </w:p>
    <w:p w:rsidR="00626E98" w:rsidRPr="000E2CA7" w:rsidRDefault="00626E98" w:rsidP="00626E98">
      <w:r w:rsidRPr="000E2CA7">
        <w:t>Spoločnosť nevykazuje žiadny dlhodobý nehmotný a hmotný majetok.</w:t>
      </w:r>
    </w:p>
    <w:p w:rsidR="001B30A4" w:rsidRPr="000E2CA7" w:rsidRDefault="001B30A4" w:rsidP="001B30A4">
      <w:pPr>
        <w:rPr>
          <w:snapToGrid w:val="0"/>
        </w:rPr>
      </w:pPr>
    </w:p>
    <w:p w:rsidR="00626E98" w:rsidRPr="000E2CA7" w:rsidRDefault="00626E98">
      <w:pPr>
        <w:jc w:val="left"/>
        <w:rPr>
          <w:rFonts w:cs="Arial"/>
          <w:b/>
          <w:bCs/>
          <w:iCs/>
          <w:szCs w:val="28"/>
        </w:rPr>
      </w:pPr>
    </w:p>
    <w:p w:rsidR="00D5663A" w:rsidRPr="000E2CA7" w:rsidRDefault="00D5663A" w:rsidP="00D5663A">
      <w:pPr>
        <w:pStyle w:val="Heading2"/>
      </w:pPr>
      <w:r w:rsidRPr="000E2CA7">
        <w:t xml:space="preserve">Dlhodobý finančný majetok </w:t>
      </w:r>
    </w:p>
    <w:p w:rsidR="00D5663A" w:rsidRPr="000E2CA7" w:rsidRDefault="00D5663A" w:rsidP="00D5663A">
      <w:pPr>
        <w:rPr>
          <w:snapToGrid w:val="0"/>
          <w:u w:val="single"/>
        </w:rPr>
      </w:pPr>
    </w:p>
    <w:p w:rsidR="00626E98" w:rsidRPr="000E2CA7" w:rsidRDefault="00626E98" w:rsidP="00626E98">
      <w:bookmarkStart w:id="8" w:name="T_noncurrent_financial_assets_2"/>
      <w:r w:rsidRPr="000E2CA7">
        <w:t>Spoločnosť nevykazuje žiadny dlhodobý finančný majetok.</w:t>
      </w:r>
    </w:p>
    <w:p w:rsidR="00626E98" w:rsidRPr="000E2CA7" w:rsidRDefault="00626E98" w:rsidP="00626E98"/>
    <w:bookmarkEnd w:id="8"/>
    <w:p w:rsidR="005A27E3" w:rsidRPr="000E2CA7" w:rsidRDefault="005A27E3">
      <w:pPr>
        <w:jc w:val="left"/>
        <w:rPr>
          <w:rFonts w:cs="Arial"/>
          <w:b/>
          <w:bCs/>
          <w:iCs/>
          <w:szCs w:val="28"/>
        </w:rPr>
      </w:pPr>
    </w:p>
    <w:p w:rsidR="00BA64AD" w:rsidRPr="000E2CA7" w:rsidRDefault="00BA64AD">
      <w:pPr>
        <w:jc w:val="left"/>
        <w:rPr>
          <w:rFonts w:cs="Arial"/>
          <w:b/>
          <w:bCs/>
          <w:iCs/>
          <w:szCs w:val="28"/>
        </w:rPr>
      </w:pPr>
      <w:r w:rsidRPr="000E2CA7">
        <w:br w:type="page"/>
      </w:r>
    </w:p>
    <w:p w:rsidR="00F92BD2" w:rsidRPr="000E2CA7" w:rsidRDefault="00F92BD2" w:rsidP="00F92BD2">
      <w:pPr>
        <w:pStyle w:val="Heading2"/>
      </w:pPr>
      <w:r w:rsidRPr="000E2CA7">
        <w:lastRenderedPageBreak/>
        <w:t xml:space="preserve">Pohľadávky </w:t>
      </w:r>
    </w:p>
    <w:p w:rsidR="00F92BD2" w:rsidRPr="000E2CA7" w:rsidRDefault="00F92BD2" w:rsidP="00F92BD2">
      <w:pPr>
        <w:rPr>
          <w:snapToGrid w:val="0"/>
        </w:rPr>
      </w:pPr>
    </w:p>
    <w:p w:rsidR="00997723" w:rsidRPr="000E2CA7" w:rsidRDefault="00997723" w:rsidP="00997723">
      <w:pPr>
        <w:pStyle w:val="Heading3"/>
      </w:pPr>
      <w:r w:rsidRPr="000E2CA7">
        <w:t>Veková štruktúra pohľadávok</w:t>
      </w:r>
    </w:p>
    <w:p w:rsidR="00997723" w:rsidRPr="000E2CA7" w:rsidRDefault="00997723" w:rsidP="00997723">
      <w:pPr>
        <w:rPr>
          <w:snapToGrid w:val="0"/>
          <w:u w:val="single"/>
        </w:rPr>
      </w:pPr>
    </w:p>
    <w:p w:rsidR="00997723" w:rsidRPr="000E2CA7" w:rsidRDefault="00997723" w:rsidP="00997723">
      <w:pPr>
        <w:rPr>
          <w:snapToGrid w:val="0"/>
          <w:u w:val="single"/>
        </w:rPr>
      </w:pPr>
      <w:r w:rsidRPr="000E2CA7">
        <w:rPr>
          <w:snapToGrid w:val="0"/>
          <w:u w:val="single"/>
        </w:rPr>
        <w:t>31. december 201</w:t>
      </w:r>
      <w:r w:rsidR="00BA64AD" w:rsidRPr="000E2CA7">
        <w:rPr>
          <w:snapToGrid w:val="0"/>
          <w:u w:val="single"/>
        </w:rPr>
        <w:t>4</w:t>
      </w:r>
    </w:p>
    <w:p w:rsidR="00BA64AD" w:rsidRPr="000E2CA7" w:rsidRDefault="00BA64AD" w:rsidP="00997723">
      <w:pPr>
        <w:rPr>
          <w:snapToGrid w:val="0"/>
          <w:u w:val="single"/>
        </w:rPr>
      </w:pPr>
      <w:bookmarkStart w:id="9" w:name="T_receivables_ageing_1"/>
      <w:r w:rsidRPr="000E2CA7">
        <w:rPr>
          <w:snapToGrid w:val="0"/>
          <w:u w:val="single"/>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BA64AD" w:rsidRPr="00BA64AD" w:rsidTr="00BA64AD">
        <w:trPr>
          <w:trHeight w:val="195"/>
        </w:trPr>
        <w:tc>
          <w:tcPr>
            <w:tcW w:w="2810" w:type="pct"/>
            <w:vMerge w:val="restart"/>
            <w:tcBorders>
              <w:top w:val="single" w:sz="8" w:space="0" w:color="auto"/>
              <w:left w:val="nil"/>
              <w:bottom w:val="nil"/>
              <w:right w:val="nil"/>
            </w:tcBorders>
            <w:shd w:val="clear" w:color="auto" w:fill="auto"/>
            <w:noWrap/>
            <w:vAlign w:val="center"/>
            <w:hideMark/>
          </w:tcPr>
          <w:p w:rsidR="00BA64AD" w:rsidRPr="00BA64AD" w:rsidRDefault="00BA64AD" w:rsidP="00BA64AD">
            <w:pPr>
              <w:ind w:left="142" w:hanging="142"/>
              <w:jc w:val="left"/>
              <w:rPr>
                <w:rFonts w:cs="Arial"/>
                <w:b/>
                <w:bCs/>
                <w:i/>
                <w:iCs/>
                <w:sz w:val="15"/>
                <w:szCs w:val="15"/>
              </w:rPr>
            </w:pPr>
            <w:bookmarkStart w:id="10" w:name="RANGE!B11:E29"/>
            <w:r w:rsidRPr="00BA64AD">
              <w:rPr>
                <w:rFonts w:cs="Arial"/>
                <w:b/>
                <w:bCs/>
                <w:i/>
                <w:iCs/>
                <w:sz w:val="15"/>
                <w:szCs w:val="15"/>
              </w:rPr>
              <w:t>Položka</w:t>
            </w:r>
            <w:bookmarkEnd w:id="10"/>
          </w:p>
        </w:tc>
        <w:tc>
          <w:tcPr>
            <w:tcW w:w="1461" w:type="pct"/>
            <w:gridSpan w:val="2"/>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Splatnosť</w:t>
            </w:r>
          </w:p>
        </w:tc>
        <w:tc>
          <w:tcPr>
            <w:tcW w:w="729" w:type="pct"/>
            <w:vMerge w:val="restar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Celkom</w:t>
            </w:r>
          </w:p>
        </w:tc>
      </w:tr>
      <w:tr w:rsidR="00BA64AD" w:rsidRPr="00BA64AD" w:rsidTr="00BA64AD">
        <w:trPr>
          <w:trHeight w:val="390"/>
        </w:trPr>
        <w:tc>
          <w:tcPr>
            <w:tcW w:w="2810" w:type="pct"/>
            <w:vMerge/>
            <w:tcBorders>
              <w:top w:val="single" w:sz="8" w:space="0" w:color="auto"/>
              <w:left w:val="nil"/>
              <w:bottom w:val="nil"/>
              <w:right w:val="nil"/>
            </w:tcBorders>
            <w:vAlign w:val="center"/>
            <w:hideMark/>
          </w:tcPr>
          <w:p w:rsidR="00BA64AD" w:rsidRPr="00BA64AD" w:rsidRDefault="00BA64AD" w:rsidP="00BA64AD">
            <w:pPr>
              <w:ind w:left="142" w:hanging="142"/>
              <w:jc w:val="left"/>
              <w:rPr>
                <w:rFonts w:cs="Arial"/>
                <w:b/>
                <w:bCs/>
                <w:i/>
                <w:iCs/>
                <w:sz w:val="15"/>
                <w:szCs w:val="15"/>
              </w:rPr>
            </w:pPr>
          </w:p>
        </w:tc>
        <w:tc>
          <w:tcPr>
            <w:tcW w:w="730" w:type="pct"/>
            <w:tcBorders>
              <w:top w:val="single" w:sz="4"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v lehote splatnosti</w:t>
            </w:r>
          </w:p>
        </w:tc>
        <w:tc>
          <w:tcPr>
            <w:tcW w:w="730" w:type="pct"/>
            <w:tcBorders>
              <w:top w:val="single" w:sz="4"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po lehote splatnosti</w:t>
            </w:r>
          </w:p>
        </w:tc>
        <w:tc>
          <w:tcPr>
            <w:tcW w:w="729" w:type="pct"/>
            <w:vMerge/>
            <w:tcBorders>
              <w:top w:val="single" w:sz="8" w:space="0" w:color="auto"/>
              <w:left w:val="nil"/>
              <w:bottom w:val="nil"/>
              <w:right w:val="nil"/>
            </w:tcBorders>
            <w:vAlign w:val="center"/>
            <w:hideMark/>
          </w:tcPr>
          <w:p w:rsidR="00BA64AD" w:rsidRPr="00BA64AD" w:rsidRDefault="00BA64AD" w:rsidP="00BA64AD">
            <w:pPr>
              <w:jc w:val="left"/>
              <w:rPr>
                <w:rFonts w:cs="Arial"/>
                <w:b/>
                <w:bCs/>
                <w:i/>
                <w:iCs/>
                <w:sz w:val="15"/>
                <w:szCs w:val="15"/>
              </w:rPr>
            </w:pPr>
          </w:p>
        </w:tc>
      </w:tr>
      <w:tr w:rsidR="00BA64AD" w:rsidRPr="00BA64AD" w:rsidTr="00BA64AD">
        <w:trPr>
          <w:trHeight w:val="195"/>
        </w:trPr>
        <w:tc>
          <w:tcPr>
            <w:tcW w:w="2810" w:type="pct"/>
            <w:tcBorders>
              <w:top w:val="single" w:sz="4" w:space="0" w:color="auto"/>
              <w:left w:val="nil"/>
              <w:bottom w:val="nil"/>
              <w:right w:val="nil"/>
            </w:tcBorders>
            <w:shd w:val="clear" w:color="auto" w:fill="auto"/>
            <w:vAlign w:val="center"/>
            <w:hideMark/>
          </w:tcPr>
          <w:p w:rsidR="00BA64AD" w:rsidRPr="00BA64AD" w:rsidRDefault="00BA64AD" w:rsidP="00BA64AD">
            <w:pPr>
              <w:ind w:left="142" w:hanging="142"/>
              <w:jc w:val="left"/>
              <w:rPr>
                <w:rFonts w:cs="Arial"/>
                <w:b/>
                <w:bCs/>
                <w:i/>
                <w:iCs/>
                <w:sz w:val="15"/>
                <w:szCs w:val="15"/>
              </w:rPr>
            </w:pPr>
            <w:r w:rsidRPr="00BA64AD">
              <w:rPr>
                <w:rFonts w:cs="Arial"/>
                <w:b/>
                <w:bCs/>
                <w:i/>
                <w:iCs/>
                <w:sz w:val="15"/>
                <w:szCs w:val="15"/>
              </w:rPr>
              <w:t>Dlhodobé pohľadávky</w:t>
            </w:r>
          </w:p>
        </w:tc>
        <w:tc>
          <w:tcPr>
            <w:tcW w:w="730"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w:t>
            </w:r>
          </w:p>
        </w:tc>
        <w:tc>
          <w:tcPr>
            <w:tcW w:w="730"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w:t>
            </w:r>
          </w:p>
        </w:tc>
        <w:tc>
          <w:tcPr>
            <w:tcW w:w="729"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w:t>
            </w: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Pohľadávky z obchodného styku</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390"/>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Ostatné pohľadávky v rámci konsolidovaného celku</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Pohľadávky voči spoločníkom, členom a združeniu</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Iné pohľadávky</w:t>
            </w:r>
          </w:p>
        </w:tc>
        <w:tc>
          <w:tcPr>
            <w:tcW w:w="730" w:type="pct"/>
            <w:tcBorders>
              <w:top w:val="nil"/>
              <w:left w:val="nil"/>
              <w:bottom w:val="single" w:sz="4"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30" w:type="pct"/>
            <w:tcBorders>
              <w:top w:val="nil"/>
              <w:left w:val="nil"/>
              <w:bottom w:val="single" w:sz="4"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single" w:sz="4"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b/>
                <w:bCs/>
                <w:sz w:val="15"/>
                <w:szCs w:val="15"/>
              </w:rPr>
            </w:pPr>
            <w:r w:rsidRPr="00BA64AD">
              <w:rPr>
                <w:rFonts w:cs="Arial"/>
                <w:b/>
                <w:bCs/>
                <w:sz w:val="15"/>
                <w:szCs w:val="15"/>
              </w:rPr>
              <w:t>Spolu dlhodobé pohľadávky</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b/>
                <w:bCs/>
                <w:sz w:val="15"/>
                <w:szCs w:val="15"/>
              </w:rPr>
            </w:pPr>
            <w:r w:rsidRPr="00BA64AD">
              <w:rPr>
                <w:rFonts w:cs="Arial"/>
                <w:b/>
                <w:bCs/>
                <w:sz w:val="15"/>
                <w:szCs w:val="15"/>
              </w:rPr>
              <w:t xml:space="preserve">- </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b/>
                <w:bCs/>
                <w:sz w:val="15"/>
                <w:szCs w:val="15"/>
              </w:rPr>
            </w:pPr>
            <w:r w:rsidRPr="00BA64AD">
              <w:rPr>
                <w:rFonts w:cs="Arial"/>
                <w:b/>
                <w:bCs/>
                <w:sz w:val="15"/>
                <w:szCs w:val="15"/>
              </w:rPr>
              <w:t xml:space="preserve">- </w:t>
            </w: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b/>
                <w:bCs/>
                <w:sz w:val="15"/>
                <w:szCs w:val="15"/>
              </w:rPr>
            </w:pPr>
            <w:r w:rsidRPr="00BA64AD">
              <w:rPr>
                <w:rFonts w:cs="Arial"/>
                <w:b/>
                <w:bCs/>
                <w:sz w:val="15"/>
                <w:szCs w:val="15"/>
              </w:rPr>
              <w:t xml:space="preserve">- </w:t>
            </w: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b/>
                <w:bCs/>
                <w:i/>
                <w:iCs/>
                <w:sz w:val="15"/>
                <w:szCs w:val="15"/>
              </w:rPr>
            </w:pPr>
            <w:r w:rsidRPr="00BA64AD">
              <w:rPr>
                <w:rFonts w:cs="Arial"/>
                <w:b/>
                <w:bCs/>
                <w:i/>
                <w:iCs/>
                <w:sz w:val="15"/>
                <w:szCs w:val="15"/>
              </w:rPr>
              <w:t>Krátkodobé pohľadávky</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Pohľadávky z obchodného styku</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85 560 </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85 560 </w:t>
            </w:r>
          </w:p>
        </w:tc>
      </w:tr>
      <w:tr w:rsidR="00BA64AD" w:rsidRPr="00BA64AD" w:rsidTr="00BA64AD">
        <w:trPr>
          <w:trHeight w:val="390"/>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Ostatné pohľadávky v rámci konsolidovaného celku</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Pohľadávky voči spoločníkom, členom a združeniu</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Sociálne poistenie</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Daňové pohľadávky a dotácie</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4 394 </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4 394 </w:t>
            </w: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Iné pohľadávky</w:t>
            </w:r>
          </w:p>
        </w:tc>
        <w:tc>
          <w:tcPr>
            <w:tcW w:w="730" w:type="pct"/>
            <w:tcBorders>
              <w:top w:val="nil"/>
              <w:left w:val="nil"/>
              <w:bottom w:val="single" w:sz="4"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30" w:type="pct"/>
            <w:tcBorders>
              <w:top w:val="nil"/>
              <w:left w:val="nil"/>
              <w:bottom w:val="single" w:sz="4"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single" w:sz="4"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2810" w:type="pct"/>
            <w:tcBorders>
              <w:top w:val="nil"/>
              <w:left w:val="nil"/>
              <w:bottom w:val="single" w:sz="8" w:space="0" w:color="auto"/>
              <w:right w:val="nil"/>
            </w:tcBorders>
            <w:shd w:val="clear" w:color="auto" w:fill="auto"/>
            <w:vAlign w:val="center"/>
            <w:hideMark/>
          </w:tcPr>
          <w:p w:rsidR="00BA64AD" w:rsidRPr="00BA64AD" w:rsidRDefault="00BA64AD" w:rsidP="00BA64AD">
            <w:pPr>
              <w:ind w:left="142" w:hanging="142"/>
              <w:jc w:val="left"/>
              <w:rPr>
                <w:rFonts w:cs="Arial"/>
                <w:b/>
                <w:bCs/>
                <w:sz w:val="15"/>
                <w:szCs w:val="15"/>
              </w:rPr>
            </w:pPr>
            <w:r w:rsidRPr="00BA64AD">
              <w:rPr>
                <w:rFonts w:cs="Arial"/>
                <w:b/>
                <w:bCs/>
                <w:sz w:val="15"/>
                <w:szCs w:val="15"/>
              </w:rPr>
              <w:t>Spolu krátkodobé pohľadávky</w:t>
            </w:r>
          </w:p>
        </w:tc>
        <w:tc>
          <w:tcPr>
            <w:tcW w:w="730"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b/>
                <w:bCs/>
                <w:sz w:val="15"/>
                <w:szCs w:val="15"/>
              </w:rPr>
            </w:pPr>
            <w:r w:rsidRPr="00BA64AD">
              <w:rPr>
                <w:rFonts w:cs="Arial"/>
                <w:b/>
                <w:bCs/>
                <w:sz w:val="15"/>
                <w:szCs w:val="15"/>
              </w:rPr>
              <w:t xml:space="preserve">89 954 </w:t>
            </w:r>
          </w:p>
        </w:tc>
        <w:tc>
          <w:tcPr>
            <w:tcW w:w="730"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b/>
                <w:bCs/>
                <w:sz w:val="15"/>
                <w:szCs w:val="15"/>
              </w:rPr>
            </w:pPr>
            <w:r w:rsidRPr="00BA64AD">
              <w:rPr>
                <w:rFonts w:cs="Arial"/>
                <w:b/>
                <w:bCs/>
                <w:sz w:val="15"/>
                <w:szCs w:val="15"/>
              </w:rPr>
              <w:t xml:space="preserve">- </w:t>
            </w:r>
          </w:p>
        </w:tc>
        <w:tc>
          <w:tcPr>
            <w:tcW w:w="729"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b/>
                <w:bCs/>
                <w:sz w:val="15"/>
                <w:szCs w:val="15"/>
              </w:rPr>
            </w:pPr>
            <w:r w:rsidRPr="00BA64AD">
              <w:rPr>
                <w:rFonts w:cs="Arial"/>
                <w:b/>
                <w:bCs/>
                <w:sz w:val="15"/>
                <w:szCs w:val="15"/>
              </w:rPr>
              <w:t xml:space="preserve">89 954 </w:t>
            </w:r>
          </w:p>
        </w:tc>
      </w:tr>
    </w:tbl>
    <w:p w:rsidR="00997723" w:rsidRPr="000E2CA7" w:rsidRDefault="00997723" w:rsidP="00997723">
      <w:pPr>
        <w:rPr>
          <w:snapToGrid w:val="0"/>
          <w:u w:val="single"/>
        </w:rPr>
      </w:pPr>
    </w:p>
    <w:bookmarkEnd w:id="9"/>
    <w:p w:rsidR="00997723" w:rsidRPr="000E2CA7" w:rsidRDefault="00997723" w:rsidP="00997723">
      <w:pPr>
        <w:rPr>
          <w:snapToGrid w:val="0"/>
          <w:u w:val="single"/>
        </w:rPr>
      </w:pPr>
      <w:r w:rsidRPr="000E2CA7">
        <w:rPr>
          <w:snapToGrid w:val="0"/>
          <w:u w:val="single"/>
        </w:rPr>
        <w:t>31. december 201</w:t>
      </w:r>
      <w:r w:rsidR="00BA64AD" w:rsidRPr="000E2CA7">
        <w:rPr>
          <w:snapToGrid w:val="0"/>
          <w:u w:val="single"/>
        </w:rPr>
        <w:t>3</w:t>
      </w:r>
    </w:p>
    <w:p w:rsidR="00BA64AD" w:rsidRPr="000E2CA7" w:rsidRDefault="00BA64AD" w:rsidP="00997723">
      <w:pPr>
        <w:rPr>
          <w:snapToGrid w:val="0"/>
        </w:rPr>
      </w:pPr>
      <w:bookmarkStart w:id="11" w:name="T_receivables_ageing_2"/>
      <w:r w:rsidRPr="000E2CA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BA64AD" w:rsidRPr="00BA64AD" w:rsidTr="00BA64AD">
        <w:trPr>
          <w:trHeight w:val="195"/>
        </w:trPr>
        <w:tc>
          <w:tcPr>
            <w:tcW w:w="2810" w:type="pct"/>
            <w:vMerge w:val="restart"/>
            <w:tcBorders>
              <w:top w:val="single" w:sz="8" w:space="0" w:color="auto"/>
              <w:left w:val="nil"/>
              <w:bottom w:val="nil"/>
              <w:right w:val="nil"/>
            </w:tcBorders>
            <w:shd w:val="clear" w:color="auto" w:fill="auto"/>
            <w:noWrap/>
            <w:vAlign w:val="center"/>
            <w:hideMark/>
          </w:tcPr>
          <w:p w:rsidR="00BA64AD" w:rsidRPr="00BA64AD" w:rsidRDefault="00BA64AD" w:rsidP="00BA64AD">
            <w:pPr>
              <w:ind w:left="142" w:hanging="142"/>
              <w:jc w:val="left"/>
              <w:rPr>
                <w:rFonts w:cs="Arial"/>
                <w:b/>
                <w:bCs/>
                <w:i/>
                <w:iCs/>
                <w:sz w:val="15"/>
                <w:szCs w:val="15"/>
              </w:rPr>
            </w:pPr>
            <w:bookmarkStart w:id="12" w:name="RANGE!B33:E51"/>
            <w:r w:rsidRPr="00BA64AD">
              <w:rPr>
                <w:rFonts w:cs="Arial"/>
                <w:b/>
                <w:bCs/>
                <w:i/>
                <w:iCs/>
                <w:sz w:val="15"/>
                <w:szCs w:val="15"/>
              </w:rPr>
              <w:t>Položka</w:t>
            </w:r>
            <w:bookmarkEnd w:id="12"/>
          </w:p>
        </w:tc>
        <w:tc>
          <w:tcPr>
            <w:tcW w:w="1461" w:type="pct"/>
            <w:gridSpan w:val="2"/>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Splatnosť</w:t>
            </w:r>
          </w:p>
        </w:tc>
        <w:tc>
          <w:tcPr>
            <w:tcW w:w="729" w:type="pct"/>
            <w:vMerge w:val="restar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Celkom</w:t>
            </w:r>
          </w:p>
        </w:tc>
      </w:tr>
      <w:tr w:rsidR="00BA64AD" w:rsidRPr="00BA64AD" w:rsidTr="00BA64AD">
        <w:trPr>
          <w:trHeight w:val="390"/>
        </w:trPr>
        <w:tc>
          <w:tcPr>
            <w:tcW w:w="2810" w:type="pct"/>
            <w:vMerge/>
            <w:tcBorders>
              <w:top w:val="single" w:sz="8" w:space="0" w:color="auto"/>
              <w:left w:val="nil"/>
              <w:bottom w:val="nil"/>
              <w:right w:val="nil"/>
            </w:tcBorders>
            <w:vAlign w:val="center"/>
            <w:hideMark/>
          </w:tcPr>
          <w:p w:rsidR="00BA64AD" w:rsidRPr="00BA64AD" w:rsidRDefault="00BA64AD" w:rsidP="00BA64AD">
            <w:pPr>
              <w:ind w:left="142" w:hanging="142"/>
              <w:jc w:val="left"/>
              <w:rPr>
                <w:rFonts w:cs="Arial"/>
                <w:b/>
                <w:bCs/>
                <w:i/>
                <w:iCs/>
                <w:sz w:val="15"/>
                <w:szCs w:val="15"/>
              </w:rPr>
            </w:pPr>
          </w:p>
        </w:tc>
        <w:tc>
          <w:tcPr>
            <w:tcW w:w="730" w:type="pct"/>
            <w:tcBorders>
              <w:top w:val="single" w:sz="4"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v lehote splatnosti</w:t>
            </w:r>
          </w:p>
        </w:tc>
        <w:tc>
          <w:tcPr>
            <w:tcW w:w="730" w:type="pct"/>
            <w:tcBorders>
              <w:top w:val="single" w:sz="4"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po lehote splatnosti</w:t>
            </w:r>
          </w:p>
        </w:tc>
        <w:tc>
          <w:tcPr>
            <w:tcW w:w="729" w:type="pct"/>
            <w:vMerge/>
            <w:tcBorders>
              <w:top w:val="single" w:sz="8" w:space="0" w:color="auto"/>
              <w:left w:val="nil"/>
              <w:bottom w:val="nil"/>
              <w:right w:val="nil"/>
            </w:tcBorders>
            <w:vAlign w:val="center"/>
            <w:hideMark/>
          </w:tcPr>
          <w:p w:rsidR="00BA64AD" w:rsidRPr="00BA64AD" w:rsidRDefault="00BA64AD" w:rsidP="00BA64AD">
            <w:pPr>
              <w:jc w:val="left"/>
              <w:rPr>
                <w:rFonts w:cs="Arial"/>
                <w:b/>
                <w:bCs/>
                <w:i/>
                <w:iCs/>
                <w:sz w:val="15"/>
                <w:szCs w:val="15"/>
              </w:rPr>
            </w:pPr>
          </w:p>
        </w:tc>
      </w:tr>
      <w:tr w:rsidR="00BA64AD" w:rsidRPr="00BA64AD" w:rsidTr="00BA64AD">
        <w:trPr>
          <w:trHeight w:val="195"/>
        </w:trPr>
        <w:tc>
          <w:tcPr>
            <w:tcW w:w="2810" w:type="pct"/>
            <w:tcBorders>
              <w:top w:val="single" w:sz="4" w:space="0" w:color="auto"/>
              <w:left w:val="nil"/>
              <w:bottom w:val="nil"/>
              <w:right w:val="nil"/>
            </w:tcBorders>
            <w:shd w:val="clear" w:color="auto" w:fill="auto"/>
            <w:vAlign w:val="center"/>
            <w:hideMark/>
          </w:tcPr>
          <w:p w:rsidR="00BA64AD" w:rsidRPr="00BA64AD" w:rsidRDefault="00BA64AD" w:rsidP="00BA64AD">
            <w:pPr>
              <w:ind w:left="142" w:hanging="142"/>
              <w:jc w:val="left"/>
              <w:rPr>
                <w:rFonts w:cs="Arial"/>
                <w:b/>
                <w:bCs/>
                <w:i/>
                <w:iCs/>
                <w:sz w:val="15"/>
                <w:szCs w:val="15"/>
              </w:rPr>
            </w:pPr>
            <w:r w:rsidRPr="00BA64AD">
              <w:rPr>
                <w:rFonts w:cs="Arial"/>
                <w:b/>
                <w:bCs/>
                <w:i/>
                <w:iCs/>
                <w:sz w:val="15"/>
                <w:szCs w:val="15"/>
              </w:rPr>
              <w:t>Dlhodobé pohľadávky</w:t>
            </w:r>
          </w:p>
        </w:tc>
        <w:tc>
          <w:tcPr>
            <w:tcW w:w="730"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w:t>
            </w:r>
          </w:p>
        </w:tc>
        <w:tc>
          <w:tcPr>
            <w:tcW w:w="730"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w:t>
            </w:r>
          </w:p>
        </w:tc>
        <w:tc>
          <w:tcPr>
            <w:tcW w:w="729"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w:t>
            </w: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Pohľadávky z obchodného styku</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390"/>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Ostatné pohľadávky v rámci konsolidovaného celku</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Pohľadávky voči spoločníkom, členom a združeniu</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Iné pohľadávky</w:t>
            </w:r>
          </w:p>
        </w:tc>
        <w:tc>
          <w:tcPr>
            <w:tcW w:w="730" w:type="pct"/>
            <w:tcBorders>
              <w:top w:val="nil"/>
              <w:left w:val="nil"/>
              <w:bottom w:val="single" w:sz="4"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30" w:type="pct"/>
            <w:tcBorders>
              <w:top w:val="nil"/>
              <w:left w:val="nil"/>
              <w:bottom w:val="single" w:sz="4"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single" w:sz="4"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b/>
                <w:bCs/>
                <w:sz w:val="15"/>
                <w:szCs w:val="15"/>
              </w:rPr>
            </w:pPr>
            <w:r w:rsidRPr="00BA64AD">
              <w:rPr>
                <w:rFonts w:cs="Arial"/>
                <w:b/>
                <w:bCs/>
                <w:sz w:val="15"/>
                <w:szCs w:val="15"/>
              </w:rPr>
              <w:t>Spolu dlhodobé pohľadávky</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b/>
                <w:bCs/>
                <w:sz w:val="15"/>
                <w:szCs w:val="15"/>
              </w:rPr>
            </w:pPr>
            <w:r w:rsidRPr="00BA64AD">
              <w:rPr>
                <w:rFonts w:cs="Arial"/>
                <w:b/>
                <w:bCs/>
                <w:sz w:val="15"/>
                <w:szCs w:val="15"/>
              </w:rPr>
              <w:t xml:space="preserve">- </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b/>
                <w:bCs/>
                <w:sz w:val="15"/>
                <w:szCs w:val="15"/>
              </w:rPr>
            </w:pPr>
            <w:r w:rsidRPr="00BA64AD">
              <w:rPr>
                <w:rFonts w:cs="Arial"/>
                <w:b/>
                <w:bCs/>
                <w:sz w:val="15"/>
                <w:szCs w:val="15"/>
              </w:rPr>
              <w:t xml:space="preserve">- </w:t>
            </w: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b/>
                <w:bCs/>
                <w:sz w:val="15"/>
                <w:szCs w:val="15"/>
              </w:rPr>
            </w:pPr>
            <w:r w:rsidRPr="00BA64AD">
              <w:rPr>
                <w:rFonts w:cs="Arial"/>
                <w:b/>
                <w:bCs/>
                <w:sz w:val="15"/>
                <w:szCs w:val="15"/>
              </w:rPr>
              <w:t xml:space="preserve">- </w:t>
            </w: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b/>
                <w:bCs/>
                <w:i/>
                <w:iCs/>
                <w:sz w:val="15"/>
                <w:szCs w:val="15"/>
              </w:rPr>
            </w:pPr>
            <w:r w:rsidRPr="00BA64AD">
              <w:rPr>
                <w:rFonts w:cs="Arial"/>
                <w:b/>
                <w:bCs/>
                <w:i/>
                <w:iCs/>
                <w:sz w:val="15"/>
                <w:szCs w:val="15"/>
              </w:rPr>
              <w:t>Krátkodobé pohľadávky</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Pohľadávky z obchodného styku</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8 040 </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8 040 </w:t>
            </w:r>
          </w:p>
        </w:tc>
      </w:tr>
      <w:tr w:rsidR="00BA64AD" w:rsidRPr="00BA64AD" w:rsidTr="00BA64AD">
        <w:trPr>
          <w:trHeight w:val="390"/>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Ostatné pohľadávky v rámci konsolidovaného celku</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Pohľadávky voči spoločníkom, členom a združeniu</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Sociálne poistenie</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Daňové pohľadávky a dotácie</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1 299 </w:t>
            </w:r>
          </w:p>
        </w:tc>
        <w:tc>
          <w:tcPr>
            <w:tcW w:w="73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1 299 </w:t>
            </w:r>
          </w:p>
        </w:tc>
      </w:tr>
      <w:tr w:rsidR="00BA64AD" w:rsidRPr="00BA64AD" w:rsidTr="00BA64AD">
        <w:trPr>
          <w:trHeight w:val="195"/>
        </w:trPr>
        <w:tc>
          <w:tcPr>
            <w:tcW w:w="2810"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Iné pohľadávky</w:t>
            </w:r>
          </w:p>
        </w:tc>
        <w:tc>
          <w:tcPr>
            <w:tcW w:w="730" w:type="pct"/>
            <w:tcBorders>
              <w:top w:val="nil"/>
              <w:left w:val="nil"/>
              <w:bottom w:val="single" w:sz="4"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30" w:type="pct"/>
            <w:tcBorders>
              <w:top w:val="nil"/>
              <w:left w:val="nil"/>
              <w:bottom w:val="single" w:sz="4"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29" w:type="pct"/>
            <w:tcBorders>
              <w:top w:val="nil"/>
              <w:left w:val="nil"/>
              <w:bottom w:val="single" w:sz="4"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2810" w:type="pct"/>
            <w:tcBorders>
              <w:top w:val="nil"/>
              <w:left w:val="nil"/>
              <w:bottom w:val="single" w:sz="8" w:space="0" w:color="auto"/>
              <w:right w:val="nil"/>
            </w:tcBorders>
            <w:shd w:val="clear" w:color="auto" w:fill="auto"/>
            <w:vAlign w:val="center"/>
            <w:hideMark/>
          </w:tcPr>
          <w:p w:rsidR="00BA64AD" w:rsidRPr="00BA64AD" w:rsidRDefault="00BA64AD" w:rsidP="00BA64AD">
            <w:pPr>
              <w:ind w:left="142" w:hanging="142"/>
              <w:jc w:val="left"/>
              <w:rPr>
                <w:rFonts w:cs="Arial"/>
                <w:b/>
                <w:bCs/>
                <w:sz w:val="15"/>
                <w:szCs w:val="15"/>
              </w:rPr>
            </w:pPr>
            <w:r w:rsidRPr="00BA64AD">
              <w:rPr>
                <w:rFonts w:cs="Arial"/>
                <w:b/>
                <w:bCs/>
                <w:sz w:val="15"/>
                <w:szCs w:val="15"/>
              </w:rPr>
              <w:t>Spolu krátkodobé pohľadávky</w:t>
            </w:r>
          </w:p>
        </w:tc>
        <w:tc>
          <w:tcPr>
            <w:tcW w:w="730" w:type="pct"/>
            <w:tcBorders>
              <w:top w:val="nil"/>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xml:space="preserve">9 339 </w:t>
            </w:r>
          </w:p>
        </w:tc>
        <w:tc>
          <w:tcPr>
            <w:tcW w:w="730" w:type="pct"/>
            <w:tcBorders>
              <w:top w:val="nil"/>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xml:space="preserve">- </w:t>
            </w:r>
          </w:p>
        </w:tc>
        <w:tc>
          <w:tcPr>
            <w:tcW w:w="729" w:type="pct"/>
            <w:tcBorders>
              <w:top w:val="nil"/>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xml:space="preserve">9 339 </w:t>
            </w:r>
          </w:p>
        </w:tc>
      </w:tr>
    </w:tbl>
    <w:p w:rsidR="00997723" w:rsidRPr="000E2CA7" w:rsidRDefault="00997723" w:rsidP="00997723">
      <w:pPr>
        <w:rPr>
          <w:snapToGrid w:val="0"/>
        </w:rPr>
      </w:pPr>
    </w:p>
    <w:bookmarkEnd w:id="11"/>
    <w:p w:rsidR="00997723" w:rsidRPr="000E2CA7" w:rsidRDefault="00997723" w:rsidP="00997723">
      <w:pPr>
        <w:rPr>
          <w:snapToGrid w:val="0"/>
        </w:rPr>
      </w:pPr>
      <w:r w:rsidRPr="000E2CA7">
        <w:rPr>
          <w:snapToGrid w:val="0"/>
        </w:rPr>
        <w:t xml:space="preserve">Bežná lehota splatnosti pohľadávok je </w:t>
      </w:r>
      <w:r w:rsidR="004F21FD" w:rsidRPr="000E2CA7">
        <w:rPr>
          <w:snapToGrid w:val="0"/>
        </w:rPr>
        <w:t>30</w:t>
      </w:r>
      <w:r w:rsidRPr="000E2CA7">
        <w:rPr>
          <w:snapToGrid w:val="0"/>
        </w:rPr>
        <w:t xml:space="preserve"> dní. </w:t>
      </w:r>
    </w:p>
    <w:p w:rsidR="004F21FD" w:rsidRPr="000E2CA7" w:rsidRDefault="004F21FD" w:rsidP="00997723">
      <w:pPr>
        <w:rPr>
          <w:snapToGrid w:val="0"/>
        </w:rPr>
      </w:pPr>
    </w:p>
    <w:p w:rsidR="00BA64AD" w:rsidRPr="000E2CA7" w:rsidRDefault="00BA64AD">
      <w:pPr>
        <w:jc w:val="left"/>
        <w:rPr>
          <w:rFonts w:cs="Arial"/>
          <w:bCs/>
          <w:szCs w:val="26"/>
          <w:u w:val="single"/>
        </w:rPr>
      </w:pPr>
      <w:r w:rsidRPr="000E2CA7">
        <w:br w:type="page"/>
      </w:r>
    </w:p>
    <w:p w:rsidR="00997723" w:rsidRPr="000E2CA7" w:rsidRDefault="00997723" w:rsidP="00997723">
      <w:pPr>
        <w:pStyle w:val="Heading3"/>
      </w:pPr>
      <w:r w:rsidRPr="000E2CA7">
        <w:lastRenderedPageBreak/>
        <w:t>Pohľadávky podľa zostatkovej doby splatnosti</w:t>
      </w:r>
    </w:p>
    <w:p w:rsidR="00BA64AD" w:rsidRPr="000E2CA7" w:rsidRDefault="00BA64AD" w:rsidP="00530F08">
      <w:pPr>
        <w:rPr>
          <w:bCs/>
          <w:snapToGrid w:val="0"/>
          <w:sz w:val="16"/>
          <w:szCs w:val="16"/>
        </w:rPr>
      </w:pPr>
      <w:bookmarkStart w:id="13" w:name="T_receivables_maturity"/>
      <w:r w:rsidRPr="000E2CA7">
        <w:rPr>
          <w:b/>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165"/>
        <w:gridCol w:w="1559"/>
        <w:gridCol w:w="1487"/>
      </w:tblGrid>
      <w:tr w:rsidR="00BA64AD" w:rsidRPr="00BA64AD" w:rsidTr="00BA64AD">
        <w:trPr>
          <w:trHeight w:val="195"/>
        </w:trPr>
        <w:tc>
          <w:tcPr>
            <w:tcW w:w="3347" w:type="pct"/>
            <w:tcBorders>
              <w:top w:val="single" w:sz="8" w:space="0" w:color="auto"/>
              <w:left w:val="nil"/>
              <w:bottom w:val="nil"/>
              <w:right w:val="nil"/>
            </w:tcBorders>
            <w:shd w:val="clear" w:color="auto" w:fill="auto"/>
            <w:vAlign w:val="center"/>
            <w:hideMark/>
          </w:tcPr>
          <w:p w:rsidR="00BA64AD" w:rsidRPr="00BA64AD" w:rsidRDefault="00BA64AD" w:rsidP="00BA64AD">
            <w:pPr>
              <w:jc w:val="left"/>
              <w:rPr>
                <w:rFonts w:cs="Arial"/>
                <w:b/>
                <w:bCs/>
                <w:i/>
                <w:iCs/>
                <w:sz w:val="15"/>
                <w:szCs w:val="15"/>
              </w:rPr>
            </w:pPr>
            <w:bookmarkStart w:id="14" w:name="RANGE!B9:D18"/>
            <w:r w:rsidRPr="00BA64AD">
              <w:rPr>
                <w:rFonts w:cs="Arial"/>
                <w:b/>
                <w:bCs/>
                <w:i/>
                <w:iCs/>
                <w:sz w:val="15"/>
                <w:szCs w:val="15"/>
              </w:rPr>
              <w:t>Položka</w:t>
            </w:r>
            <w:bookmarkEnd w:id="14"/>
          </w:p>
        </w:tc>
        <w:tc>
          <w:tcPr>
            <w:tcW w:w="846"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31.12.2014</w:t>
            </w:r>
          </w:p>
        </w:tc>
        <w:tc>
          <w:tcPr>
            <w:tcW w:w="807"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31.12.2013</w:t>
            </w:r>
          </w:p>
        </w:tc>
      </w:tr>
      <w:tr w:rsidR="00BA64AD" w:rsidRPr="00BA64AD" w:rsidTr="00BA64AD">
        <w:trPr>
          <w:trHeight w:val="195"/>
        </w:trPr>
        <w:tc>
          <w:tcPr>
            <w:tcW w:w="3347" w:type="pct"/>
            <w:tcBorders>
              <w:top w:val="single" w:sz="4" w:space="0" w:color="auto"/>
              <w:left w:val="nil"/>
              <w:bottom w:val="nil"/>
              <w:right w:val="nil"/>
            </w:tcBorders>
            <w:shd w:val="clear" w:color="auto" w:fill="auto"/>
            <w:vAlign w:val="center"/>
            <w:hideMark/>
          </w:tcPr>
          <w:p w:rsidR="00BA64AD" w:rsidRPr="00BA64AD" w:rsidRDefault="00BA64AD" w:rsidP="00BA64AD">
            <w:pPr>
              <w:jc w:val="left"/>
              <w:rPr>
                <w:rFonts w:cs="Arial"/>
                <w:b/>
                <w:bCs/>
                <w:i/>
                <w:iCs/>
                <w:sz w:val="15"/>
                <w:szCs w:val="15"/>
              </w:rPr>
            </w:pPr>
            <w:r w:rsidRPr="00BA64AD">
              <w:rPr>
                <w:rFonts w:cs="Arial"/>
                <w:b/>
                <w:bCs/>
                <w:i/>
                <w:iCs/>
                <w:sz w:val="15"/>
                <w:szCs w:val="15"/>
              </w:rPr>
              <w:t>Krátkodobé pohľadávky</w:t>
            </w:r>
          </w:p>
        </w:tc>
        <w:tc>
          <w:tcPr>
            <w:tcW w:w="846" w:type="pct"/>
            <w:tcBorders>
              <w:top w:val="single"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w:t>
            </w:r>
          </w:p>
        </w:tc>
        <w:tc>
          <w:tcPr>
            <w:tcW w:w="807" w:type="pct"/>
            <w:tcBorders>
              <w:top w:val="single"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w:t>
            </w:r>
          </w:p>
        </w:tc>
      </w:tr>
      <w:tr w:rsidR="00BA64AD" w:rsidRPr="00BA64AD" w:rsidTr="00BA64AD">
        <w:trPr>
          <w:trHeight w:val="195"/>
        </w:trPr>
        <w:tc>
          <w:tcPr>
            <w:tcW w:w="3347" w:type="pct"/>
            <w:tcBorders>
              <w:top w:val="nil"/>
              <w:left w:val="nil"/>
              <w:bottom w:val="nil"/>
              <w:right w:val="nil"/>
            </w:tcBorders>
            <w:shd w:val="clear" w:color="auto" w:fill="auto"/>
            <w:vAlign w:val="center"/>
            <w:hideMark/>
          </w:tcPr>
          <w:p w:rsidR="00BA64AD" w:rsidRPr="00BA64AD" w:rsidRDefault="00BA64AD" w:rsidP="00BA64AD">
            <w:pPr>
              <w:jc w:val="left"/>
              <w:rPr>
                <w:rFonts w:cs="Arial"/>
                <w:sz w:val="15"/>
                <w:szCs w:val="15"/>
              </w:rPr>
            </w:pPr>
            <w:r w:rsidRPr="00BA64AD">
              <w:rPr>
                <w:rFonts w:cs="Arial"/>
                <w:sz w:val="15"/>
                <w:szCs w:val="15"/>
              </w:rPr>
              <w:t>Pohľadávky po lehote splatnosti</w:t>
            </w:r>
          </w:p>
        </w:tc>
        <w:tc>
          <w:tcPr>
            <w:tcW w:w="846"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807"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347" w:type="pct"/>
            <w:tcBorders>
              <w:top w:val="nil"/>
              <w:left w:val="nil"/>
              <w:bottom w:val="nil"/>
              <w:right w:val="nil"/>
            </w:tcBorders>
            <w:shd w:val="clear" w:color="auto" w:fill="auto"/>
            <w:vAlign w:val="center"/>
            <w:hideMark/>
          </w:tcPr>
          <w:p w:rsidR="00BA64AD" w:rsidRPr="00BA64AD" w:rsidRDefault="00BA64AD" w:rsidP="00BA64AD">
            <w:pPr>
              <w:jc w:val="left"/>
              <w:rPr>
                <w:rFonts w:cs="Arial"/>
                <w:sz w:val="15"/>
                <w:szCs w:val="15"/>
              </w:rPr>
            </w:pPr>
            <w:r w:rsidRPr="00BA64AD">
              <w:rPr>
                <w:rFonts w:cs="Arial"/>
                <w:sz w:val="15"/>
                <w:szCs w:val="15"/>
              </w:rPr>
              <w:t>Pohľadávky so zostatkovou dobou splatnosti do jedného roka</w:t>
            </w:r>
          </w:p>
        </w:tc>
        <w:tc>
          <w:tcPr>
            <w:tcW w:w="846"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89 954 </w:t>
            </w:r>
          </w:p>
        </w:tc>
        <w:tc>
          <w:tcPr>
            <w:tcW w:w="807"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9 339 </w:t>
            </w:r>
          </w:p>
        </w:tc>
      </w:tr>
      <w:tr w:rsidR="00BA64AD" w:rsidRPr="00BA64AD" w:rsidTr="00BA64AD">
        <w:trPr>
          <w:trHeight w:val="195"/>
        </w:trPr>
        <w:tc>
          <w:tcPr>
            <w:tcW w:w="3347" w:type="pct"/>
            <w:tcBorders>
              <w:top w:val="nil"/>
              <w:left w:val="nil"/>
              <w:bottom w:val="nil"/>
              <w:right w:val="nil"/>
            </w:tcBorders>
            <w:shd w:val="clear" w:color="auto" w:fill="auto"/>
            <w:vAlign w:val="center"/>
            <w:hideMark/>
          </w:tcPr>
          <w:p w:rsidR="00BA64AD" w:rsidRPr="00BA64AD" w:rsidRDefault="00BA64AD" w:rsidP="00BA64AD">
            <w:pPr>
              <w:jc w:val="left"/>
              <w:rPr>
                <w:rFonts w:cs="Arial"/>
                <w:b/>
                <w:bCs/>
                <w:sz w:val="15"/>
                <w:szCs w:val="15"/>
              </w:rPr>
            </w:pPr>
            <w:r w:rsidRPr="00BA64AD">
              <w:rPr>
                <w:rFonts w:cs="Arial"/>
                <w:b/>
                <w:bCs/>
                <w:sz w:val="15"/>
                <w:szCs w:val="15"/>
              </w:rPr>
              <w:t>Spolu krátkodobé pohľadávky</w:t>
            </w:r>
          </w:p>
        </w:tc>
        <w:tc>
          <w:tcPr>
            <w:tcW w:w="846"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b/>
                <w:bCs/>
                <w:sz w:val="15"/>
                <w:szCs w:val="15"/>
              </w:rPr>
            </w:pPr>
            <w:r w:rsidRPr="00BA64AD">
              <w:rPr>
                <w:rFonts w:cs="Arial"/>
                <w:b/>
                <w:bCs/>
                <w:sz w:val="15"/>
                <w:szCs w:val="15"/>
              </w:rPr>
              <w:t xml:space="preserve">89 954 </w:t>
            </w:r>
          </w:p>
        </w:tc>
        <w:tc>
          <w:tcPr>
            <w:tcW w:w="807"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b/>
                <w:bCs/>
                <w:sz w:val="15"/>
                <w:szCs w:val="15"/>
              </w:rPr>
            </w:pPr>
            <w:r w:rsidRPr="00BA64AD">
              <w:rPr>
                <w:rFonts w:cs="Arial"/>
                <w:b/>
                <w:bCs/>
                <w:sz w:val="15"/>
                <w:szCs w:val="15"/>
              </w:rPr>
              <w:t xml:space="preserve">9 339 </w:t>
            </w:r>
          </w:p>
        </w:tc>
      </w:tr>
      <w:tr w:rsidR="00BA64AD" w:rsidRPr="00BA64AD" w:rsidTr="00BA64AD">
        <w:trPr>
          <w:trHeight w:val="195"/>
        </w:trPr>
        <w:tc>
          <w:tcPr>
            <w:tcW w:w="3347" w:type="pct"/>
            <w:tcBorders>
              <w:top w:val="nil"/>
              <w:left w:val="nil"/>
              <w:bottom w:val="nil"/>
              <w:right w:val="nil"/>
            </w:tcBorders>
            <w:shd w:val="clear" w:color="auto" w:fill="auto"/>
            <w:vAlign w:val="center"/>
            <w:hideMark/>
          </w:tcPr>
          <w:p w:rsidR="00BA64AD" w:rsidRPr="00BA64AD" w:rsidRDefault="00BA64AD" w:rsidP="00BA64AD">
            <w:pPr>
              <w:jc w:val="left"/>
              <w:rPr>
                <w:rFonts w:cs="Arial"/>
                <w:sz w:val="15"/>
                <w:szCs w:val="15"/>
              </w:rPr>
            </w:pPr>
          </w:p>
        </w:tc>
        <w:tc>
          <w:tcPr>
            <w:tcW w:w="846"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807"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r>
      <w:tr w:rsidR="00BA64AD" w:rsidRPr="00BA64AD" w:rsidTr="00BA64AD">
        <w:trPr>
          <w:trHeight w:val="195"/>
        </w:trPr>
        <w:tc>
          <w:tcPr>
            <w:tcW w:w="3347" w:type="pct"/>
            <w:tcBorders>
              <w:top w:val="nil"/>
              <w:left w:val="nil"/>
              <w:bottom w:val="nil"/>
              <w:right w:val="nil"/>
            </w:tcBorders>
            <w:shd w:val="clear" w:color="auto" w:fill="auto"/>
            <w:vAlign w:val="center"/>
            <w:hideMark/>
          </w:tcPr>
          <w:p w:rsidR="00BA64AD" w:rsidRPr="00BA64AD" w:rsidRDefault="00BA64AD" w:rsidP="00BA64AD">
            <w:pPr>
              <w:jc w:val="left"/>
              <w:rPr>
                <w:rFonts w:cs="Arial"/>
                <w:b/>
                <w:bCs/>
                <w:i/>
                <w:iCs/>
                <w:sz w:val="15"/>
                <w:szCs w:val="15"/>
              </w:rPr>
            </w:pPr>
            <w:r w:rsidRPr="00BA64AD">
              <w:rPr>
                <w:rFonts w:cs="Arial"/>
                <w:b/>
                <w:bCs/>
                <w:i/>
                <w:iCs/>
                <w:sz w:val="15"/>
                <w:szCs w:val="15"/>
              </w:rPr>
              <w:t>Dlhodobé pohľadávky</w:t>
            </w:r>
          </w:p>
        </w:tc>
        <w:tc>
          <w:tcPr>
            <w:tcW w:w="846"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807"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r>
      <w:tr w:rsidR="00BA64AD" w:rsidRPr="00BA64AD" w:rsidTr="00BA64AD">
        <w:trPr>
          <w:trHeight w:val="195"/>
        </w:trPr>
        <w:tc>
          <w:tcPr>
            <w:tcW w:w="3347" w:type="pct"/>
            <w:tcBorders>
              <w:top w:val="nil"/>
              <w:left w:val="nil"/>
              <w:bottom w:val="nil"/>
              <w:right w:val="nil"/>
            </w:tcBorders>
            <w:shd w:val="clear" w:color="auto" w:fill="auto"/>
            <w:vAlign w:val="center"/>
            <w:hideMark/>
          </w:tcPr>
          <w:p w:rsidR="00BA64AD" w:rsidRPr="00BA64AD" w:rsidRDefault="00BA64AD" w:rsidP="00BA64AD">
            <w:pPr>
              <w:jc w:val="left"/>
              <w:rPr>
                <w:rFonts w:cs="Arial"/>
                <w:sz w:val="15"/>
                <w:szCs w:val="15"/>
              </w:rPr>
            </w:pPr>
            <w:r w:rsidRPr="00BA64AD">
              <w:rPr>
                <w:rFonts w:cs="Arial"/>
                <w:sz w:val="15"/>
                <w:szCs w:val="15"/>
              </w:rPr>
              <w:t>Pohľadávky so zostatkovou dobou splatnosti jeden rok až päť rokov</w:t>
            </w:r>
          </w:p>
        </w:tc>
        <w:tc>
          <w:tcPr>
            <w:tcW w:w="846"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807"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347" w:type="pct"/>
            <w:tcBorders>
              <w:top w:val="nil"/>
              <w:left w:val="nil"/>
              <w:bottom w:val="nil"/>
              <w:right w:val="nil"/>
            </w:tcBorders>
            <w:shd w:val="clear" w:color="auto" w:fill="auto"/>
            <w:vAlign w:val="center"/>
            <w:hideMark/>
          </w:tcPr>
          <w:p w:rsidR="00BA64AD" w:rsidRPr="00BA64AD" w:rsidRDefault="00BA64AD" w:rsidP="00BA64AD">
            <w:pPr>
              <w:jc w:val="left"/>
              <w:rPr>
                <w:rFonts w:cs="Arial"/>
                <w:sz w:val="15"/>
                <w:szCs w:val="15"/>
              </w:rPr>
            </w:pPr>
            <w:r w:rsidRPr="00BA64AD">
              <w:rPr>
                <w:rFonts w:cs="Arial"/>
                <w:sz w:val="15"/>
                <w:szCs w:val="15"/>
              </w:rPr>
              <w:t>Pohľadávky so zostatkovou dobou splatnosti dlhšou ako päť rokov</w:t>
            </w:r>
          </w:p>
        </w:tc>
        <w:tc>
          <w:tcPr>
            <w:tcW w:w="846" w:type="pct"/>
            <w:tcBorders>
              <w:top w:val="nil"/>
              <w:left w:val="nil"/>
              <w:bottom w:val="single" w:sz="4"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807" w:type="pct"/>
            <w:tcBorders>
              <w:top w:val="nil"/>
              <w:left w:val="nil"/>
              <w:bottom w:val="single" w:sz="4"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210"/>
        </w:trPr>
        <w:tc>
          <w:tcPr>
            <w:tcW w:w="3347" w:type="pct"/>
            <w:tcBorders>
              <w:top w:val="nil"/>
              <w:left w:val="nil"/>
              <w:bottom w:val="single" w:sz="8" w:space="0" w:color="auto"/>
              <w:right w:val="nil"/>
            </w:tcBorders>
            <w:shd w:val="clear" w:color="auto" w:fill="auto"/>
            <w:vAlign w:val="center"/>
            <w:hideMark/>
          </w:tcPr>
          <w:p w:rsidR="00BA64AD" w:rsidRPr="00BA64AD" w:rsidRDefault="00BA64AD" w:rsidP="00BA64AD">
            <w:pPr>
              <w:jc w:val="left"/>
              <w:rPr>
                <w:rFonts w:cs="Arial"/>
                <w:b/>
                <w:bCs/>
                <w:sz w:val="15"/>
                <w:szCs w:val="15"/>
              </w:rPr>
            </w:pPr>
            <w:r w:rsidRPr="00BA64AD">
              <w:rPr>
                <w:rFonts w:cs="Arial"/>
                <w:b/>
                <w:bCs/>
                <w:sz w:val="15"/>
                <w:szCs w:val="15"/>
              </w:rPr>
              <w:t>Spolu dlhodobé pohľadávky</w:t>
            </w:r>
          </w:p>
        </w:tc>
        <w:tc>
          <w:tcPr>
            <w:tcW w:w="846" w:type="pct"/>
            <w:tcBorders>
              <w:top w:val="nil"/>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xml:space="preserve">- </w:t>
            </w:r>
          </w:p>
        </w:tc>
        <w:tc>
          <w:tcPr>
            <w:tcW w:w="807" w:type="pct"/>
            <w:tcBorders>
              <w:top w:val="nil"/>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xml:space="preserve">- </w:t>
            </w:r>
          </w:p>
        </w:tc>
      </w:tr>
    </w:tbl>
    <w:p w:rsidR="006B7180" w:rsidRPr="000E2CA7" w:rsidRDefault="006B7180" w:rsidP="00530F08">
      <w:pPr>
        <w:rPr>
          <w:bCs/>
          <w:snapToGrid w:val="0"/>
          <w:sz w:val="16"/>
          <w:szCs w:val="16"/>
        </w:rPr>
      </w:pPr>
    </w:p>
    <w:bookmarkEnd w:id="13"/>
    <w:p w:rsidR="00626E98" w:rsidRPr="000E2CA7" w:rsidRDefault="00626E98" w:rsidP="000C1342">
      <w:pPr>
        <w:rPr>
          <w:snapToGrid w:val="0"/>
          <w:u w:val="single"/>
        </w:rPr>
      </w:pPr>
    </w:p>
    <w:p w:rsidR="00BA64AD" w:rsidRPr="000E2CA7" w:rsidRDefault="00BA64AD" w:rsidP="00BA64AD">
      <w:pPr>
        <w:pStyle w:val="Heading2"/>
      </w:pPr>
      <w:r w:rsidRPr="000E2CA7">
        <w:t xml:space="preserve">Finančné účty </w:t>
      </w:r>
    </w:p>
    <w:p w:rsidR="00BA64AD" w:rsidRPr="000E2CA7" w:rsidRDefault="00BA64AD" w:rsidP="00BA64AD">
      <w:pPr>
        <w:rPr>
          <w:snapToGrid w:val="0"/>
        </w:rPr>
      </w:pPr>
    </w:p>
    <w:p w:rsidR="00BA64AD" w:rsidRPr="000E2CA7" w:rsidRDefault="00BA64AD" w:rsidP="00BA64AD">
      <w:pPr>
        <w:pStyle w:val="Heading3"/>
      </w:pPr>
      <w:r w:rsidRPr="000E2CA7">
        <w:t>Spoločnosť má finančný majetok v štruktúre</w:t>
      </w:r>
    </w:p>
    <w:p w:rsidR="00BA64AD" w:rsidRPr="000E2CA7" w:rsidRDefault="00BA64AD" w:rsidP="00BA64AD">
      <w:pPr>
        <w:rPr>
          <w:snapToGrid w:val="0"/>
          <w:sz w:val="10"/>
          <w:szCs w:val="10"/>
        </w:rPr>
      </w:pPr>
      <w:bookmarkStart w:id="15" w:name="T_financial_assets_breakdown_1"/>
      <w:r w:rsidRPr="000E2CA7">
        <w:rPr>
          <w:snapToGrid w:val="0"/>
        </w:rPr>
        <w:t xml:space="preserve"> </w:t>
      </w:r>
    </w:p>
    <w:tbl>
      <w:tblPr>
        <w:tblW w:w="5000" w:type="pct"/>
        <w:tblCellMar>
          <w:left w:w="70" w:type="dxa"/>
          <w:right w:w="70" w:type="dxa"/>
        </w:tblCellMar>
        <w:tblLook w:val="04A0" w:firstRow="1" w:lastRow="0" w:firstColumn="1" w:lastColumn="0" w:noHBand="0" w:noVBand="1"/>
      </w:tblPr>
      <w:tblGrid>
        <w:gridCol w:w="6165"/>
        <w:gridCol w:w="1559"/>
        <w:gridCol w:w="1487"/>
      </w:tblGrid>
      <w:tr w:rsidR="00BA64AD" w:rsidRPr="00BA64AD" w:rsidTr="00BA64AD">
        <w:trPr>
          <w:trHeight w:val="195"/>
        </w:trPr>
        <w:tc>
          <w:tcPr>
            <w:tcW w:w="3347" w:type="pct"/>
            <w:tcBorders>
              <w:top w:val="single" w:sz="8" w:space="0" w:color="auto"/>
              <w:left w:val="nil"/>
              <w:bottom w:val="nil"/>
              <w:right w:val="nil"/>
            </w:tcBorders>
            <w:shd w:val="clear" w:color="auto" w:fill="auto"/>
            <w:vAlign w:val="center"/>
            <w:hideMark/>
          </w:tcPr>
          <w:p w:rsidR="00BA64AD" w:rsidRPr="00BA64AD" w:rsidRDefault="00BA64AD" w:rsidP="00BA64AD">
            <w:pPr>
              <w:rPr>
                <w:rFonts w:cs="Arial"/>
                <w:b/>
                <w:bCs/>
                <w:i/>
                <w:iCs/>
                <w:sz w:val="15"/>
                <w:szCs w:val="15"/>
              </w:rPr>
            </w:pPr>
            <w:bookmarkStart w:id="16" w:name="RANGE!B9:D15"/>
            <w:r w:rsidRPr="00BA64AD">
              <w:rPr>
                <w:rFonts w:cs="Arial"/>
                <w:b/>
                <w:bCs/>
                <w:i/>
                <w:iCs/>
                <w:sz w:val="15"/>
                <w:szCs w:val="15"/>
              </w:rPr>
              <w:t>Položka</w:t>
            </w:r>
            <w:bookmarkEnd w:id="16"/>
          </w:p>
        </w:tc>
        <w:tc>
          <w:tcPr>
            <w:tcW w:w="846"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31.12.2014</w:t>
            </w:r>
          </w:p>
        </w:tc>
        <w:tc>
          <w:tcPr>
            <w:tcW w:w="807"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31.12.2013</w:t>
            </w:r>
          </w:p>
        </w:tc>
      </w:tr>
      <w:tr w:rsidR="00BA64AD" w:rsidRPr="00BA64AD" w:rsidTr="00BA64AD">
        <w:trPr>
          <w:trHeight w:val="195"/>
        </w:trPr>
        <w:tc>
          <w:tcPr>
            <w:tcW w:w="3347" w:type="pct"/>
            <w:tcBorders>
              <w:top w:val="single" w:sz="4" w:space="0" w:color="auto"/>
              <w:left w:val="nil"/>
              <w:bottom w:val="nil"/>
              <w:right w:val="nil"/>
            </w:tcBorders>
            <w:shd w:val="clear" w:color="auto" w:fill="auto"/>
            <w:noWrap/>
            <w:vAlign w:val="center"/>
            <w:hideMark/>
          </w:tcPr>
          <w:p w:rsidR="00BA64AD" w:rsidRPr="00BA64AD" w:rsidRDefault="00BA64AD" w:rsidP="00BA64AD">
            <w:pPr>
              <w:rPr>
                <w:rFonts w:cs="Arial"/>
                <w:b/>
                <w:bCs/>
                <w:sz w:val="15"/>
                <w:szCs w:val="15"/>
              </w:rPr>
            </w:pPr>
            <w:r w:rsidRPr="00BA64AD">
              <w:rPr>
                <w:rFonts w:cs="Arial"/>
                <w:b/>
                <w:bCs/>
                <w:sz w:val="15"/>
                <w:szCs w:val="15"/>
              </w:rPr>
              <w:t>Peňažné prostriedky</w:t>
            </w:r>
          </w:p>
        </w:tc>
        <w:tc>
          <w:tcPr>
            <w:tcW w:w="846" w:type="pct"/>
            <w:tcBorders>
              <w:top w:val="single" w:sz="4" w:space="0" w:color="auto"/>
              <w:left w:val="nil"/>
              <w:bottom w:val="nil"/>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w:t>
            </w:r>
          </w:p>
        </w:tc>
        <w:tc>
          <w:tcPr>
            <w:tcW w:w="807" w:type="pct"/>
            <w:tcBorders>
              <w:top w:val="single" w:sz="4" w:space="0" w:color="auto"/>
              <w:left w:val="nil"/>
              <w:bottom w:val="nil"/>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w:t>
            </w:r>
          </w:p>
        </w:tc>
      </w:tr>
      <w:tr w:rsidR="00BA64AD" w:rsidRPr="00BA64AD" w:rsidTr="00BA64AD">
        <w:trPr>
          <w:trHeight w:val="195"/>
        </w:trPr>
        <w:tc>
          <w:tcPr>
            <w:tcW w:w="3347" w:type="pct"/>
            <w:tcBorders>
              <w:top w:val="nil"/>
              <w:left w:val="nil"/>
              <w:bottom w:val="nil"/>
              <w:right w:val="nil"/>
            </w:tcBorders>
            <w:shd w:val="clear" w:color="auto" w:fill="auto"/>
            <w:noWrap/>
            <w:vAlign w:val="center"/>
            <w:hideMark/>
          </w:tcPr>
          <w:p w:rsidR="00BA64AD" w:rsidRPr="00BA64AD" w:rsidRDefault="00BA64AD" w:rsidP="00BA64AD">
            <w:pPr>
              <w:rPr>
                <w:rFonts w:cs="Arial"/>
                <w:sz w:val="15"/>
                <w:szCs w:val="15"/>
              </w:rPr>
            </w:pPr>
            <w:r w:rsidRPr="00BA64AD">
              <w:rPr>
                <w:rFonts w:cs="Arial"/>
                <w:sz w:val="15"/>
                <w:szCs w:val="15"/>
              </w:rPr>
              <w:t>Pokladnica, ceniny</w:t>
            </w:r>
          </w:p>
        </w:tc>
        <w:tc>
          <w:tcPr>
            <w:tcW w:w="846"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807"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347" w:type="pct"/>
            <w:tcBorders>
              <w:top w:val="nil"/>
              <w:left w:val="nil"/>
              <w:bottom w:val="nil"/>
              <w:right w:val="nil"/>
            </w:tcBorders>
            <w:shd w:val="clear" w:color="auto" w:fill="auto"/>
            <w:noWrap/>
            <w:vAlign w:val="center"/>
            <w:hideMark/>
          </w:tcPr>
          <w:p w:rsidR="00BA64AD" w:rsidRPr="00BA64AD" w:rsidRDefault="00BA64AD" w:rsidP="00BA64AD">
            <w:pPr>
              <w:rPr>
                <w:rFonts w:cs="Arial"/>
                <w:sz w:val="15"/>
                <w:szCs w:val="15"/>
              </w:rPr>
            </w:pPr>
            <w:r w:rsidRPr="00BA64AD">
              <w:rPr>
                <w:rFonts w:cs="Arial"/>
                <w:sz w:val="15"/>
                <w:szCs w:val="15"/>
              </w:rPr>
              <w:t>Bankové účty bežné</w:t>
            </w:r>
          </w:p>
        </w:tc>
        <w:tc>
          <w:tcPr>
            <w:tcW w:w="846"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25 436 </w:t>
            </w:r>
          </w:p>
        </w:tc>
        <w:tc>
          <w:tcPr>
            <w:tcW w:w="807"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22 325 </w:t>
            </w:r>
          </w:p>
        </w:tc>
      </w:tr>
      <w:tr w:rsidR="00BA64AD" w:rsidRPr="00BA64AD" w:rsidTr="00BA64AD">
        <w:trPr>
          <w:trHeight w:val="195"/>
        </w:trPr>
        <w:tc>
          <w:tcPr>
            <w:tcW w:w="3347" w:type="pct"/>
            <w:tcBorders>
              <w:top w:val="nil"/>
              <w:left w:val="nil"/>
              <w:bottom w:val="nil"/>
              <w:right w:val="nil"/>
            </w:tcBorders>
            <w:shd w:val="clear" w:color="auto" w:fill="auto"/>
            <w:noWrap/>
            <w:vAlign w:val="center"/>
            <w:hideMark/>
          </w:tcPr>
          <w:p w:rsidR="00BA64AD" w:rsidRPr="00BA64AD" w:rsidRDefault="00BA64AD" w:rsidP="00BA64AD">
            <w:pPr>
              <w:rPr>
                <w:rFonts w:cs="Arial"/>
                <w:sz w:val="15"/>
                <w:szCs w:val="15"/>
              </w:rPr>
            </w:pPr>
            <w:r w:rsidRPr="00BA64AD">
              <w:rPr>
                <w:rFonts w:cs="Arial"/>
                <w:sz w:val="15"/>
                <w:szCs w:val="15"/>
              </w:rPr>
              <w:t>Bankové účty termínované</w:t>
            </w:r>
          </w:p>
        </w:tc>
        <w:tc>
          <w:tcPr>
            <w:tcW w:w="846"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807"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347" w:type="pct"/>
            <w:tcBorders>
              <w:top w:val="nil"/>
              <w:left w:val="nil"/>
              <w:bottom w:val="nil"/>
              <w:right w:val="nil"/>
            </w:tcBorders>
            <w:shd w:val="clear" w:color="auto" w:fill="auto"/>
            <w:noWrap/>
            <w:vAlign w:val="center"/>
            <w:hideMark/>
          </w:tcPr>
          <w:p w:rsidR="00BA64AD" w:rsidRPr="00BA64AD" w:rsidRDefault="00BA64AD" w:rsidP="00BA64AD">
            <w:pPr>
              <w:rPr>
                <w:rFonts w:cs="Arial"/>
                <w:sz w:val="15"/>
                <w:szCs w:val="15"/>
              </w:rPr>
            </w:pPr>
            <w:r w:rsidRPr="00BA64AD">
              <w:rPr>
                <w:rFonts w:cs="Arial"/>
                <w:sz w:val="15"/>
                <w:szCs w:val="15"/>
              </w:rPr>
              <w:t>Peniaze na ceste</w:t>
            </w:r>
          </w:p>
        </w:tc>
        <w:tc>
          <w:tcPr>
            <w:tcW w:w="846" w:type="pct"/>
            <w:tcBorders>
              <w:top w:val="nil"/>
              <w:left w:val="nil"/>
              <w:bottom w:val="single" w:sz="4" w:space="0" w:color="auto"/>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807" w:type="pct"/>
            <w:tcBorders>
              <w:top w:val="nil"/>
              <w:left w:val="nil"/>
              <w:bottom w:val="single" w:sz="4" w:space="0" w:color="auto"/>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210"/>
        </w:trPr>
        <w:tc>
          <w:tcPr>
            <w:tcW w:w="3347" w:type="pct"/>
            <w:tcBorders>
              <w:top w:val="nil"/>
              <w:left w:val="nil"/>
              <w:bottom w:val="single" w:sz="8" w:space="0" w:color="auto"/>
              <w:right w:val="nil"/>
            </w:tcBorders>
            <w:shd w:val="clear" w:color="auto" w:fill="auto"/>
            <w:noWrap/>
            <w:vAlign w:val="center"/>
            <w:hideMark/>
          </w:tcPr>
          <w:p w:rsidR="00BA64AD" w:rsidRPr="00BA64AD" w:rsidRDefault="00BA64AD" w:rsidP="00BA64AD">
            <w:pPr>
              <w:rPr>
                <w:rFonts w:cs="Arial"/>
                <w:b/>
                <w:bCs/>
                <w:sz w:val="15"/>
                <w:szCs w:val="15"/>
              </w:rPr>
            </w:pPr>
            <w:r w:rsidRPr="00BA64AD">
              <w:rPr>
                <w:rFonts w:cs="Arial"/>
                <w:b/>
                <w:bCs/>
                <w:sz w:val="15"/>
                <w:szCs w:val="15"/>
              </w:rPr>
              <w:t>Spolu</w:t>
            </w:r>
          </w:p>
        </w:tc>
        <w:tc>
          <w:tcPr>
            <w:tcW w:w="846" w:type="pct"/>
            <w:tcBorders>
              <w:top w:val="nil"/>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xml:space="preserve">25 436 </w:t>
            </w:r>
          </w:p>
        </w:tc>
        <w:tc>
          <w:tcPr>
            <w:tcW w:w="807" w:type="pct"/>
            <w:tcBorders>
              <w:top w:val="nil"/>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xml:space="preserve">22 325 </w:t>
            </w:r>
          </w:p>
        </w:tc>
      </w:tr>
    </w:tbl>
    <w:p w:rsidR="00BA64AD" w:rsidRPr="000E2CA7" w:rsidRDefault="00BA64AD" w:rsidP="00BA64AD">
      <w:pPr>
        <w:rPr>
          <w:snapToGrid w:val="0"/>
          <w:sz w:val="10"/>
          <w:szCs w:val="10"/>
        </w:rPr>
      </w:pPr>
    </w:p>
    <w:bookmarkEnd w:id="15"/>
    <w:p w:rsidR="00BA64AD" w:rsidRPr="000E2CA7" w:rsidRDefault="00BA64AD" w:rsidP="000C1342">
      <w:pPr>
        <w:rPr>
          <w:snapToGrid w:val="0"/>
          <w:u w:val="single"/>
        </w:rPr>
      </w:pPr>
    </w:p>
    <w:p w:rsidR="00172B11" w:rsidRPr="000E2CA7" w:rsidRDefault="00172B11" w:rsidP="00172B11">
      <w:pPr>
        <w:pStyle w:val="Heading2"/>
      </w:pPr>
      <w:r w:rsidRPr="000E2CA7">
        <w:t xml:space="preserve">Časové rozlíšenie </w:t>
      </w:r>
    </w:p>
    <w:p w:rsidR="00BA64AD" w:rsidRPr="000E2CA7" w:rsidRDefault="00BA64AD" w:rsidP="00626E98">
      <w:bookmarkStart w:id="17" w:name="T_deferred_expense_accrued_income"/>
      <w:r w:rsidRPr="000E2CA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097"/>
        <w:gridCol w:w="1557"/>
        <w:gridCol w:w="1557"/>
      </w:tblGrid>
      <w:tr w:rsidR="00BA64AD" w:rsidRPr="00BA64AD" w:rsidTr="00BA64AD">
        <w:trPr>
          <w:trHeight w:val="390"/>
        </w:trPr>
        <w:tc>
          <w:tcPr>
            <w:tcW w:w="3310" w:type="pct"/>
            <w:tcBorders>
              <w:top w:val="single" w:sz="8" w:space="0" w:color="auto"/>
              <w:left w:val="nil"/>
              <w:bottom w:val="nil"/>
              <w:right w:val="nil"/>
            </w:tcBorders>
            <w:shd w:val="clear" w:color="auto" w:fill="auto"/>
            <w:vAlign w:val="center"/>
            <w:hideMark/>
          </w:tcPr>
          <w:p w:rsidR="00BA64AD" w:rsidRPr="00BA64AD" w:rsidRDefault="00BA64AD" w:rsidP="00BA64AD">
            <w:pPr>
              <w:rPr>
                <w:rFonts w:cs="Arial"/>
                <w:b/>
                <w:bCs/>
                <w:i/>
                <w:iCs/>
                <w:sz w:val="15"/>
                <w:szCs w:val="15"/>
              </w:rPr>
            </w:pPr>
            <w:bookmarkStart w:id="18" w:name="RANGE!B9:D22"/>
            <w:r w:rsidRPr="00BA64AD">
              <w:rPr>
                <w:rFonts w:cs="Arial"/>
                <w:b/>
                <w:bCs/>
                <w:i/>
                <w:iCs/>
                <w:sz w:val="15"/>
                <w:szCs w:val="15"/>
              </w:rPr>
              <w:t>Položka</w:t>
            </w:r>
            <w:bookmarkEnd w:id="18"/>
          </w:p>
        </w:tc>
        <w:tc>
          <w:tcPr>
            <w:tcW w:w="845"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31.12.2014</w:t>
            </w:r>
          </w:p>
        </w:tc>
        <w:tc>
          <w:tcPr>
            <w:tcW w:w="845"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31.12.2013</w:t>
            </w:r>
          </w:p>
        </w:tc>
      </w:tr>
      <w:tr w:rsidR="00BA64AD" w:rsidRPr="00BA64AD" w:rsidTr="00BA64AD">
        <w:trPr>
          <w:trHeight w:val="195"/>
        </w:trPr>
        <w:tc>
          <w:tcPr>
            <w:tcW w:w="3310" w:type="pct"/>
            <w:tcBorders>
              <w:top w:val="single" w:sz="4" w:space="0" w:color="auto"/>
              <w:left w:val="nil"/>
              <w:bottom w:val="nil"/>
              <w:right w:val="nil"/>
            </w:tcBorders>
            <w:shd w:val="clear" w:color="auto" w:fill="auto"/>
            <w:noWrap/>
            <w:vAlign w:val="center"/>
            <w:hideMark/>
          </w:tcPr>
          <w:p w:rsidR="00BA64AD" w:rsidRPr="00BA64AD" w:rsidRDefault="00BA64AD" w:rsidP="00BA64AD">
            <w:pPr>
              <w:jc w:val="left"/>
              <w:rPr>
                <w:rFonts w:cs="Arial"/>
                <w:sz w:val="15"/>
                <w:szCs w:val="15"/>
              </w:rPr>
            </w:pPr>
            <w:r w:rsidRPr="00BA64AD">
              <w:rPr>
                <w:rFonts w:cs="Arial"/>
                <w:sz w:val="15"/>
                <w:szCs w:val="15"/>
              </w:rPr>
              <w:t>Náklady budúcich období dlhodobé</w:t>
            </w:r>
          </w:p>
        </w:tc>
        <w:tc>
          <w:tcPr>
            <w:tcW w:w="845"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845"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310" w:type="pct"/>
            <w:tcBorders>
              <w:top w:val="dotted" w:sz="4" w:space="0" w:color="auto"/>
              <w:left w:val="nil"/>
              <w:bottom w:val="nil"/>
              <w:right w:val="nil"/>
            </w:tcBorders>
            <w:shd w:val="clear" w:color="auto" w:fill="auto"/>
            <w:noWrap/>
            <w:vAlign w:val="center"/>
            <w:hideMark/>
          </w:tcPr>
          <w:p w:rsidR="00BA64AD" w:rsidRPr="00BA64AD" w:rsidRDefault="00BA64AD" w:rsidP="00BA64AD">
            <w:pPr>
              <w:jc w:val="left"/>
              <w:rPr>
                <w:rFonts w:cs="Arial"/>
                <w:sz w:val="15"/>
                <w:szCs w:val="15"/>
              </w:rPr>
            </w:pPr>
            <w:r w:rsidRPr="00BA64AD">
              <w:rPr>
                <w:rFonts w:cs="Arial"/>
                <w:sz w:val="15"/>
                <w:szCs w:val="15"/>
              </w:rPr>
              <w:t xml:space="preserve">Náklady budúcich období krátkodobé </w:t>
            </w:r>
          </w:p>
        </w:tc>
        <w:tc>
          <w:tcPr>
            <w:tcW w:w="845" w:type="pct"/>
            <w:tcBorders>
              <w:top w:val="dotted"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845" w:type="pct"/>
            <w:tcBorders>
              <w:top w:val="dotted"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310" w:type="pct"/>
            <w:tcBorders>
              <w:top w:val="dotted" w:sz="4" w:space="0" w:color="auto"/>
              <w:left w:val="nil"/>
              <w:bottom w:val="nil"/>
              <w:right w:val="nil"/>
            </w:tcBorders>
            <w:shd w:val="clear" w:color="auto" w:fill="auto"/>
            <w:noWrap/>
            <w:vAlign w:val="center"/>
            <w:hideMark/>
          </w:tcPr>
          <w:p w:rsidR="00BA64AD" w:rsidRPr="00BA64AD" w:rsidRDefault="00BA64AD" w:rsidP="00BA64AD">
            <w:pPr>
              <w:jc w:val="left"/>
              <w:rPr>
                <w:rFonts w:cs="Arial"/>
                <w:sz w:val="15"/>
                <w:szCs w:val="15"/>
              </w:rPr>
            </w:pPr>
            <w:r w:rsidRPr="00BA64AD">
              <w:rPr>
                <w:rFonts w:cs="Arial"/>
                <w:sz w:val="15"/>
                <w:szCs w:val="15"/>
              </w:rPr>
              <w:t>Príjmy budúcich období dlhodobé</w:t>
            </w:r>
          </w:p>
        </w:tc>
        <w:tc>
          <w:tcPr>
            <w:tcW w:w="845" w:type="pct"/>
            <w:tcBorders>
              <w:top w:val="dotted"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845" w:type="pct"/>
            <w:tcBorders>
              <w:top w:val="dotted"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310" w:type="pct"/>
            <w:tcBorders>
              <w:top w:val="dotted" w:sz="4" w:space="0" w:color="auto"/>
              <w:left w:val="nil"/>
              <w:bottom w:val="nil"/>
              <w:right w:val="nil"/>
            </w:tcBorders>
            <w:shd w:val="clear" w:color="auto" w:fill="auto"/>
            <w:noWrap/>
            <w:vAlign w:val="center"/>
            <w:hideMark/>
          </w:tcPr>
          <w:p w:rsidR="00BA64AD" w:rsidRPr="00BA64AD" w:rsidRDefault="00BA64AD" w:rsidP="00BA64AD">
            <w:pPr>
              <w:jc w:val="left"/>
              <w:rPr>
                <w:rFonts w:cs="Arial"/>
                <w:sz w:val="15"/>
                <w:szCs w:val="15"/>
              </w:rPr>
            </w:pPr>
            <w:r w:rsidRPr="00BA64AD">
              <w:rPr>
                <w:rFonts w:cs="Arial"/>
                <w:sz w:val="15"/>
                <w:szCs w:val="15"/>
              </w:rPr>
              <w:t>Príjmy budúcich období krátkodobé</w:t>
            </w:r>
          </w:p>
        </w:tc>
        <w:tc>
          <w:tcPr>
            <w:tcW w:w="845" w:type="pct"/>
            <w:tcBorders>
              <w:top w:val="dotted" w:sz="4" w:space="0" w:color="auto"/>
              <w:left w:val="nil"/>
              <w:bottom w:val="single" w:sz="4"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62 308 </w:t>
            </w:r>
          </w:p>
        </w:tc>
        <w:tc>
          <w:tcPr>
            <w:tcW w:w="845" w:type="pct"/>
            <w:tcBorders>
              <w:top w:val="dotted" w:sz="4" w:space="0" w:color="auto"/>
              <w:left w:val="nil"/>
              <w:bottom w:val="single" w:sz="4"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210"/>
        </w:trPr>
        <w:tc>
          <w:tcPr>
            <w:tcW w:w="3310" w:type="pct"/>
            <w:tcBorders>
              <w:top w:val="nil"/>
              <w:left w:val="nil"/>
              <w:bottom w:val="single" w:sz="8" w:space="0" w:color="auto"/>
              <w:right w:val="nil"/>
            </w:tcBorders>
            <w:shd w:val="clear" w:color="auto" w:fill="auto"/>
            <w:vAlign w:val="center"/>
            <w:hideMark/>
          </w:tcPr>
          <w:p w:rsidR="00BA64AD" w:rsidRPr="00BA64AD" w:rsidRDefault="00BA64AD" w:rsidP="00BA64AD">
            <w:pPr>
              <w:rPr>
                <w:rFonts w:cs="Arial"/>
                <w:b/>
                <w:bCs/>
                <w:sz w:val="15"/>
                <w:szCs w:val="15"/>
              </w:rPr>
            </w:pPr>
            <w:r w:rsidRPr="00BA64AD">
              <w:rPr>
                <w:rFonts w:cs="Arial"/>
                <w:b/>
                <w:bCs/>
                <w:sz w:val="15"/>
                <w:szCs w:val="15"/>
              </w:rPr>
              <w:t>Spolu</w:t>
            </w:r>
          </w:p>
        </w:tc>
        <w:tc>
          <w:tcPr>
            <w:tcW w:w="845" w:type="pct"/>
            <w:tcBorders>
              <w:top w:val="single" w:sz="4" w:space="0" w:color="auto"/>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xml:space="preserve">62 308 </w:t>
            </w:r>
          </w:p>
        </w:tc>
        <w:tc>
          <w:tcPr>
            <w:tcW w:w="845" w:type="pct"/>
            <w:tcBorders>
              <w:top w:val="single" w:sz="4" w:space="0" w:color="auto"/>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xml:space="preserve">- </w:t>
            </w:r>
          </w:p>
        </w:tc>
      </w:tr>
    </w:tbl>
    <w:p w:rsidR="00626E98" w:rsidRPr="000E2CA7" w:rsidRDefault="00626E98" w:rsidP="00626E98"/>
    <w:p w:rsidR="00172B11" w:rsidRPr="000E2CA7" w:rsidRDefault="00172B11" w:rsidP="00172B11"/>
    <w:bookmarkEnd w:id="17"/>
    <w:p w:rsidR="00172B11" w:rsidRPr="000E2CA7" w:rsidRDefault="00172B11" w:rsidP="0074448F">
      <w:pPr>
        <w:pStyle w:val="Heading1"/>
      </w:pPr>
      <w:r w:rsidRPr="000E2CA7">
        <w:t>ÚDAJE VYKÁZANÉ NA STRANE PASÍV SÚVAHY</w:t>
      </w:r>
    </w:p>
    <w:p w:rsidR="00172B11" w:rsidRPr="000E2CA7" w:rsidRDefault="00172B11" w:rsidP="00172B11">
      <w:pPr>
        <w:rPr>
          <w:b/>
          <w:snapToGrid w:val="0"/>
        </w:rPr>
      </w:pPr>
    </w:p>
    <w:p w:rsidR="00172B11" w:rsidRPr="000E2CA7" w:rsidRDefault="00172B11" w:rsidP="0074448F">
      <w:pPr>
        <w:pStyle w:val="Heading2"/>
      </w:pPr>
      <w:r w:rsidRPr="000E2CA7">
        <w:t xml:space="preserve">Vlastné imanie </w:t>
      </w:r>
    </w:p>
    <w:p w:rsidR="00172B11" w:rsidRPr="000E2CA7" w:rsidRDefault="00172B11" w:rsidP="00172B11">
      <w:pPr>
        <w:rPr>
          <w:snapToGrid w:val="0"/>
        </w:rPr>
      </w:pPr>
    </w:p>
    <w:p w:rsidR="00172B11" w:rsidRPr="000E2CA7" w:rsidRDefault="00172B11" w:rsidP="0074448F">
      <w:pPr>
        <w:pStyle w:val="Heading3"/>
      </w:pPr>
      <w:r w:rsidRPr="000E2CA7">
        <w:t>Informácie o vlastnom imaní</w:t>
      </w:r>
    </w:p>
    <w:p w:rsidR="00172B11" w:rsidRPr="000E2CA7" w:rsidRDefault="00172B11" w:rsidP="00172B11"/>
    <w:p w:rsidR="005747D1" w:rsidRPr="000E2CA7" w:rsidRDefault="005747D1" w:rsidP="005747D1">
      <w:pPr>
        <w:rPr>
          <w:rFonts w:cs="Arial"/>
        </w:rPr>
      </w:pPr>
      <w:r w:rsidRPr="000E2CA7">
        <w:rPr>
          <w:rFonts w:cs="Arial"/>
        </w:rPr>
        <w:t>Základné imanie pozostáva zo sumy 5 000 EUR. Základné imanie bolo celé upísané a splatené.</w:t>
      </w:r>
    </w:p>
    <w:p w:rsidR="00774339" w:rsidRPr="000E2CA7" w:rsidRDefault="00774339" w:rsidP="00774339">
      <w:pPr>
        <w:ind w:left="360"/>
        <w:rPr>
          <w:i/>
          <w:snapToGrid w:val="0"/>
          <w:color w:val="FF0000"/>
        </w:rPr>
      </w:pPr>
    </w:p>
    <w:p w:rsidR="0074448F" w:rsidRPr="000E2CA7" w:rsidRDefault="0074448F" w:rsidP="0074448F">
      <w:pPr>
        <w:pStyle w:val="Heading3"/>
      </w:pPr>
      <w:r w:rsidRPr="000E2CA7">
        <w:t>Rozdelenie účtovného zisku ale</w:t>
      </w:r>
      <w:r w:rsidR="00AC79A3" w:rsidRPr="000E2CA7">
        <w:t xml:space="preserve">bo vyrovnanie straty za rok </w:t>
      </w:r>
      <w:r w:rsidR="00D5663A" w:rsidRPr="000E2CA7">
        <w:t>20</w:t>
      </w:r>
      <w:r w:rsidR="003C60C9" w:rsidRPr="000E2CA7">
        <w:t>1</w:t>
      </w:r>
      <w:r w:rsidR="00BA64AD" w:rsidRPr="000E2CA7">
        <w:t>3</w:t>
      </w:r>
    </w:p>
    <w:p w:rsidR="00BA64AD" w:rsidRPr="000E2CA7" w:rsidRDefault="00BA64AD" w:rsidP="0074448F">
      <w:pPr>
        <w:rPr>
          <w:snapToGrid w:val="0"/>
        </w:rPr>
      </w:pPr>
      <w:bookmarkStart w:id="19" w:name="T_distribution_loss_settlement"/>
      <w:r w:rsidRPr="000E2CA7">
        <w:rPr>
          <w:snapToGrid w:val="0"/>
        </w:rPr>
        <w:t xml:space="preserve"> </w:t>
      </w:r>
    </w:p>
    <w:tbl>
      <w:tblPr>
        <w:tblW w:w="5000" w:type="pct"/>
        <w:tblCellMar>
          <w:left w:w="70" w:type="dxa"/>
          <w:right w:w="70" w:type="dxa"/>
        </w:tblCellMar>
        <w:tblLook w:val="04A0" w:firstRow="1" w:lastRow="0" w:firstColumn="1" w:lastColumn="0" w:noHBand="0" w:noVBand="1"/>
      </w:tblPr>
      <w:tblGrid>
        <w:gridCol w:w="7251"/>
        <w:gridCol w:w="1960"/>
      </w:tblGrid>
      <w:tr w:rsidR="00BA64AD" w:rsidRPr="00BA64AD" w:rsidTr="00BA64AD">
        <w:trPr>
          <w:trHeight w:val="195"/>
        </w:trPr>
        <w:tc>
          <w:tcPr>
            <w:tcW w:w="3936" w:type="pct"/>
            <w:tcBorders>
              <w:top w:val="single" w:sz="8" w:space="0" w:color="auto"/>
              <w:left w:val="nil"/>
              <w:bottom w:val="nil"/>
              <w:right w:val="nil"/>
            </w:tcBorders>
            <w:shd w:val="clear" w:color="auto" w:fill="auto"/>
            <w:noWrap/>
            <w:vAlign w:val="center"/>
            <w:hideMark/>
          </w:tcPr>
          <w:p w:rsidR="00BA64AD" w:rsidRPr="00BA64AD" w:rsidRDefault="00BA64AD" w:rsidP="00BA64AD">
            <w:pPr>
              <w:jc w:val="left"/>
              <w:rPr>
                <w:rFonts w:cs="Arial"/>
                <w:b/>
                <w:bCs/>
                <w:i/>
                <w:iCs/>
                <w:sz w:val="15"/>
                <w:szCs w:val="15"/>
              </w:rPr>
            </w:pPr>
            <w:bookmarkStart w:id="20" w:name="RANGE!B24:C34"/>
            <w:r w:rsidRPr="00BA64AD">
              <w:rPr>
                <w:rFonts w:cs="Arial"/>
                <w:b/>
                <w:bCs/>
                <w:i/>
                <w:iCs/>
                <w:sz w:val="15"/>
                <w:szCs w:val="15"/>
              </w:rPr>
              <w:t>Položka</w:t>
            </w:r>
            <w:bookmarkEnd w:id="20"/>
          </w:p>
        </w:tc>
        <w:tc>
          <w:tcPr>
            <w:tcW w:w="1064"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2013</w:t>
            </w:r>
          </w:p>
        </w:tc>
      </w:tr>
      <w:tr w:rsidR="00BA64AD" w:rsidRPr="00BA64AD" w:rsidTr="00BA64AD">
        <w:trPr>
          <w:trHeight w:val="210"/>
        </w:trPr>
        <w:tc>
          <w:tcPr>
            <w:tcW w:w="3936" w:type="pct"/>
            <w:tcBorders>
              <w:top w:val="single" w:sz="4" w:space="0" w:color="auto"/>
              <w:left w:val="nil"/>
              <w:bottom w:val="single" w:sz="8" w:space="0" w:color="auto"/>
              <w:right w:val="nil"/>
            </w:tcBorders>
            <w:shd w:val="clear" w:color="auto" w:fill="auto"/>
            <w:noWrap/>
            <w:vAlign w:val="center"/>
            <w:hideMark/>
          </w:tcPr>
          <w:p w:rsidR="00BA64AD" w:rsidRPr="00BA64AD" w:rsidRDefault="00BA64AD" w:rsidP="00BA64AD">
            <w:pPr>
              <w:rPr>
                <w:rFonts w:cs="Arial"/>
                <w:sz w:val="15"/>
                <w:szCs w:val="15"/>
              </w:rPr>
            </w:pPr>
            <w:r w:rsidRPr="00BA64AD">
              <w:rPr>
                <w:rFonts w:cs="Arial"/>
                <w:sz w:val="15"/>
                <w:szCs w:val="15"/>
              </w:rPr>
              <w:t>Účtovná strata</w:t>
            </w:r>
          </w:p>
        </w:tc>
        <w:tc>
          <w:tcPr>
            <w:tcW w:w="1064" w:type="pct"/>
            <w:tcBorders>
              <w:top w:val="single" w:sz="4" w:space="0" w:color="auto"/>
              <w:left w:val="nil"/>
              <w:bottom w:val="single" w:sz="8" w:space="0" w:color="auto"/>
              <w:right w:val="nil"/>
            </w:tcBorders>
            <w:shd w:val="clear" w:color="auto" w:fill="auto"/>
            <w:vAlign w:val="center"/>
            <w:hideMark/>
          </w:tcPr>
          <w:p w:rsidR="00BA64AD" w:rsidRPr="00BA64AD" w:rsidRDefault="00BA64AD" w:rsidP="00BA64AD">
            <w:pPr>
              <w:ind w:right="-57"/>
              <w:jc w:val="right"/>
              <w:rPr>
                <w:rFonts w:cs="Arial"/>
                <w:sz w:val="15"/>
                <w:szCs w:val="15"/>
              </w:rPr>
            </w:pPr>
            <w:r w:rsidRPr="00BA64AD">
              <w:rPr>
                <w:rFonts w:cs="Arial"/>
                <w:sz w:val="15"/>
                <w:szCs w:val="15"/>
              </w:rPr>
              <w:t>(109)</w:t>
            </w:r>
          </w:p>
        </w:tc>
      </w:tr>
      <w:tr w:rsidR="00BA64AD" w:rsidRPr="00BA64AD" w:rsidTr="00BA64AD">
        <w:trPr>
          <w:trHeight w:val="210"/>
        </w:trPr>
        <w:tc>
          <w:tcPr>
            <w:tcW w:w="3936" w:type="pct"/>
            <w:tcBorders>
              <w:top w:val="nil"/>
              <w:left w:val="nil"/>
              <w:bottom w:val="single" w:sz="8" w:space="0" w:color="auto"/>
              <w:right w:val="nil"/>
            </w:tcBorders>
            <w:shd w:val="clear" w:color="auto" w:fill="auto"/>
            <w:noWrap/>
            <w:vAlign w:val="center"/>
            <w:hideMark/>
          </w:tcPr>
          <w:p w:rsidR="00BA64AD" w:rsidRPr="00BA64AD" w:rsidRDefault="00BA64AD" w:rsidP="00BA64AD">
            <w:pPr>
              <w:rPr>
                <w:rFonts w:cs="Arial"/>
                <w:sz w:val="15"/>
                <w:szCs w:val="15"/>
              </w:rPr>
            </w:pPr>
            <w:r w:rsidRPr="00BA64AD">
              <w:rPr>
                <w:rFonts w:cs="Arial"/>
                <w:sz w:val="15"/>
                <w:szCs w:val="15"/>
              </w:rPr>
              <w:t> </w:t>
            </w:r>
          </w:p>
        </w:tc>
        <w:tc>
          <w:tcPr>
            <w:tcW w:w="1064" w:type="pct"/>
            <w:tcBorders>
              <w:top w:val="nil"/>
              <w:left w:val="nil"/>
              <w:bottom w:val="single" w:sz="8" w:space="0" w:color="auto"/>
              <w:right w:val="nil"/>
            </w:tcBorders>
            <w:shd w:val="clear" w:color="auto" w:fill="auto"/>
            <w:vAlign w:val="center"/>
            <w:hideMark/>
          </w:tcPr>
          <w:p w:rsidR="00BA64AD" w:rsidRPr="00BA64AD" w:rsidRDefault="00BA64AD" w:rsidP="00BA64AD">
            <w:pPr>
              <w:jc w:val="center"/>
              <w:rPr>
                <w:rFonts w:cs="Arial"/>
                <w:sz w:val="15"/>
                <w:szCs w:val="15"/>
              </w:rPr>
            </w:pPr>
            <w:r w:rsidRPr="00BA64AD">
              <w:rPr>
                <w:rFonts w:cs="Arial"/>
                <w:sz w:val="15"/>
                <w:szCs w:val="15"/>
              </w:rPr>
              <w:t> </w:t>
            </w:r>
          </w:p>
        </w:tc>
      </w:tr>
      <w:tr w:rsidR="00BA64AD" w:rsidRPr="00BA64AD" w:rsidTr="00BA64AD">
        <w:trPr>
          <w:trHeight w:val="195"/>
        </w:trPr>
        <w:tc>
          <w:tcPr>
            <w:tcW w:w="3936" w:type="pct"/>
            <w:tcBorders>
              <w:top w:val="nil"/>
              <w:left w:val="nil"/>
              <w:bottom w:val="nil"/>
              <w:right w:val="nil"/>
            </w:tcBorders>
            <w:shd w:val="clear" w:color="auto" w:fill="auto"/>
            <w:noWrap/>
            <w:vAlign w:val="center"/>
            <w:hideMark/>
          </w:tcPr>
          <w:p w:rsidR="00BA64AD" w:rsidRPr="00BA64AD" w:rsidRDefault="00BA64AD" w:rsidP="00BA64AD">
            <w:pPr>
              <w:rPr>
                <w:rFonts w:cs="Arial"/>
                <w:b/>
                <w:bCs/>
                <w:i/>
                <w:iCs/>
                <w:sz w:val="15"/>
                <w:szCs w:val="15"/>
              </w:rPr>
            </w:pPr>
            <w:r w:rsidRPr="00BA64AD">
              <w:rPr>
                <w:rFonts w:cs="Arial"/>
                <w:b/>
                <w:bCs/>
                <w:i/>
                <w:iCs/>
                <w:sz w:val="15"/>
                <w:szCs w:val="15"/>
              </w:rPr>
              <w:t>Vysporiadanie účtovnej straty</w:t>
            </w:r>
          </w:p>
        </w:tc>
        <w:tc>
          <w:tcPr>
            <w:tcW w:w="1064" w:type="pct"/>
            <w:tcBorders>
              <w:top w:val="nil"/>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2014</w:t>
            </w:r>
          </w:p>
        </w:tc>
      </w:tr>
      <w:tr w:rsidR="00BA64AD" w:rsidRPr="00BA64AD" w:rsidTr="00BA64AD">
        <w:trPr>
          <w:trHeight w:val="195"/>
        </w:trPr>
        <w:tc>
          <w:tcPr>
            <w:tcW w:w="3936" w:type="pct"/>
            <w:tcBorders>
              <w:top w:val="single" w:sz="4" w:space="0" w:color="auto"/>
              <w:left w:val="nil"/>
              <w:bottom w:val="nil"/>
              <w:right w:val="nil"/>
            </w:tcBorders>
            <w:shd w:val="clear" w:color="auto" w:fill="auto"/>
            <w:noWrap/>
            <w:vAlign w:val="center"/>
            <w:hideMark/>
          </w:tcPr>
          <w:p w:rsidR="00BA64AD" w:rsidRPr="00BA64AD" w:rsidRDefault="00BA64AD" w:rsidP="00BA64AD">
            <w:pPr>
              <w:rPr>
                <w:rFonts w:cs="Arial"/>
                <w:sz w:val="15"/>
                <w:szCs w:val="15"/>
              </w:rPr>
            </w:pPr>
            <w:r w:rsidRPr="00BA64AD">
              <w:rPr>
                <w:rFonts w:cs="Arial"/>
                <w:sz w:val="15"/>
                <w:szCs w:val="15"/>
              </w:rPr>
              <w:t>Zo zákonného rezervného fondu</w:t>
            </w:r>
          </w:p>
        </w:tc>
        <w:tc>
          <w:tcPr>
            <w:tcW w:w="1064" w:type="pct"/>
            <w:tcBorders>
              <w:top w:val="single"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936" w:type="pct"/>
            <w:tcBorders>
              <w:top w:val="nil"/>
              <w:left w:val="nil"/>
              <w:bottom w:val="nil"/>
              <w:right w:val="nil"/>
            </w:tcBorders>
            <w:shd w:val="clear" w:color="auto" w:fill="auto"/>
            <w:noWrap/>
            <w:vAlign w:val="center"/>
            <w:hideMark/>
          </w:tcPr>
          <w:p w:rsidR="00BA64AD" w:rsidRPr="00BA64AD" w:rsidRDefault="00BA64AD" w:rsidP="00BA64AD">
            <w:pPr>
              <w:rPr>
                <w:rFonts w:cs="Arial"/>
                <w:sz w:val="15"/>
                <w:szCs w:val="15"/>
              </w:rPr>
            </w:pPr>
            <w:r w:rsidRPr="00BA64AD">
              <w:rPr>
                <w:rFonts w:cs="Arial"/>
                <w:sz w:val="15"/>
                <w:szCs w:val="15"/>
              </w:rPr>
              <w:t>Zo štatutárnych a ostatných fondov</w:t>
            </w:r>
          </w:p>
        </w:tc>
        <w:tc>
          <w:tcPr>
            <w:tcW w:w="1064"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936" w:type="pct"/>
            <w:tcBorders>
              <w:top w:val="nil"/>
              <w:left w:val="nil"/>
              <w:bottom w:val="nil"/>
              <w:right w:val="nil"/>
            </w:tcBorders>
            <w:shd w:val="clear" w:color="auto" w:fill="auto"/>
            <w:noWrap/>
            <w:vAlign w:val="center"/>
            <w:hideMark/>
          </w:tcPr>
          <w:p w:rsidR="00BA64AD" w:rsidRPr="00BA64AD" w:rsidRDefault="00BA64AD" w:rsidP="00BA64AD">
            <w:pPr>
              <w:rPr>
                <w:rFonts w:cs="Arial"/>
                <w:sz w:val="15"/>
                <w:szCs w:val="15"/>
              </w:rPr>
            </w:pPr>
            <w:r w:rsidRPr="00BA64AD">
              <w:rPr>
                <w:rFonts w:cs="Arial"/>
                <w:sz w:val="15"/>
                <w:szCs w:val="15"/>
              </w:rPr>
              <w:t>Z nerozdeleného zisku minulých rokov</w:t>
            </w:r>
          </w:p>
        </w:tc>
        <w:tc>
          <w:tcPr>
            <w:tcW w:w="1064" w:type="pct"/>
            <w:tcBorders>
              <w:top w:val="nil"/>
              <w:left w:val="nil"/>
              <w:bottom w:val="nil"/>
              <w:right w:val="nil"/>
            </w:tcBorders>
            <w:shd w:val="clear" w:color="auto" w:fill="auto"/>
            <w:vAlign w:val="center"/>
            <w:hideMark/>
          </w:tcPr>
          <w:p w:rsidR="00BA64AD" w:rsidRPr="00BA64AD" w:rsidRDefault="00BA64AD" w:rsidP="00BA64AD">
            <w:pPr>
              <w:ind w:right="-57"/>
              <w:jc w:val="right"/>
              <w:rPr>
                <w:rFonts w:cs="Arial"/>
                <w:sz w:val="15"/>
                <w:szCs w:val="15"/>
              </w:rPr>
            </w:pPr>
            <w:r w:rsidRPr="00BA64AD">
              <w:rPr>
                <w:rFonts w:cs="Arial"/>
                <w:sz w:val="15"/>
                <w:szCs w:val="15"/>
              </w:rPr>
              <w:t>(109)</w:t>
            </w:r>
          </w:p>
        </w:tc>
      </w:tr>
      <w:tr w:rsidR="00BA64AD" w:rsidRPr="00BA64AD" w:rsidTr="00BA64AD">
        <w:trPr>
          <w:trHeight w:val="195"/>
        </w:trPr>
        <w:tc>
          <w:tcPr>
            <w:tcW w:w="3936" w:type="pct"/>
            <w:tcBorders>
              <w:top w:val="nil"/>
              <w:left w:val="nil"/>
              <w:bottom w:val="nil"/>
              <w:right w:val="nil"/>
            </w:tcBorders>
            <w:shd w:val="clear" w:color="auto" w:fill="auto"/>
            <w:noWrap/>
            <w:vAlign w:val="center"/>
            <w:hideMark/>
          </w:tcPr>
          <w:p w:rsidR="00BA64AD" w:rsidRPr="00BA64AD" w:rsidRDefault="00BA64AD" w:rsidP="00BA64AD">
            <w:pPr>
              <w:rPr>
                <w:rFonts w:cs="Arial"/>
                <w:sz w:val="15"/>
                <w:szCs w:val="15"/>
              </w:rPr>
            </w:pPr>
            <w:r w:rsidRPr="00BA64AD">
              <w:rPr>
                <w:rFonts w:cs="Arial"/>
                <w:sz w:val="15"/>
                <w:szCs w:val="15"/>
              </w:rPr>
              <w:t>Úhrada straty spoločníkmi</w:t>
            </w:r>
          </w:p>
        </w:tc>
        <w:tc>
          <w:tcPr>
            <w:tcW w:w="1064"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936" w:type="pct"/>
            <w:tcBorders>
              <w:top w:val="nil"/>
              <w:left w:val="nil"/>
              <w:bottom w:val="nil"/>
              <w:right w:val="nil"/>
            </w:tcBorders>
            <w:shd w:val="clear" w:color="auto" w:fill="auto"/>
            <w:noWrap/>
            <w:vAlign w:val="center"/>
            <w:hideMark/>
          </w:tcPr>
          <w:p w:rsidR="00BA64AD" w:rsidRPr="00BA64AD" w:rsidRDefault="00BA64AD" w:rsidP="00BA64AD">
            <w:pPr>
              <w:rPr>
                <w:rFonts w:cs="Arial"/>
                <w:sz w:val="15"/>
                <w:szCs w:val="15"/>
              </w:rPr>
            </w:pPr>
            <w:r w:rsidRPr="00BA64AD">
              <w:rPr>
                <w:rFonts w:cs="Arial"/>
                <w:sz w:val="15"/>
                <w:szCs w:val="15"/>
              </w:rPr>
              <w:t>Prevod do neuhradenej straty minulých rokov</w:t>
            </w:r>
          </w:p>
        </w:tc>
        <w:tc>
          <w:tcPr>
            <w:tcW w:w="1064"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936" w:type="pct"/>
            <w:tcBorders>
              <w:top w:val="nil"/>
              <w:left w:val="nil"/>
              <w:bottom w:val="nil"/>
              <w:right w:val="nil"/>
            </w:tcBorders>
            <w:shd w:val="clear" w:color="auto" w:fill="auto"/>
            <w:noWrap/>
            <w:vAlign w:val="center"/>
            <w:hideMark/>
          </w:tcPr>
          <w:p w:rsidR="00BA64AD" w:rsidRPr="00BA64AD" w:rsidRDefault="00BA64AD" w:rsidP="00BA64AD">
            <w:pPr>
              <w:rPr>
                <w:rFonts w:cs="Arial"/>
                <w:sz w:val="15"/>
                <w:szCs w:val="15"/>
              </w:rPr>
            </w:pPr>
            <w:r w:rsidRPr="00BA64AD">
              <w:rPr>
                <w:rFonts w:cs="Arial"/>
                <w:sz w:val="15"/>
                <w:szCs w:val="15"/>
              </w:rPr>
              <w:t xml:space="preserve">Iné </w:t>
            </w:r>
          </w:p>
        </w:tc>
        <w:tc>
          <w:tcPr>
            <w:tcW w:w="1064" w:type="pct"/>
            <w:tcBorders>
              <w:top w:val="nil"/>
              <w:left w:val="nil"/>
              <w:bottom w:val="single" w:sz="4" w:space="0" w:color="auto"/>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210"/>
        </w:trPr>
        <w:tc>
          <w:tcPr>
            <w:tcW w:w="3936" w:type="pct"/>
            <w:tcBorders>
              <w:top w:val="nil"/>
              <w:left w:val="nil"/>
              <w:bottom w:val="single" w:sz="8" w:space="0" w:color="auto"/>
              <w:right w:val="nil"/>
            </w:tcBorders>
            <w:shd w:val="clear" w:color="auto" w:fill="auto"/>
            <w:noWrap/>
            <w:vAlign w:val="center"/>
            <w:hideMark/>
          </w:tcPr>
          <w:p w:rsidR="00BA64AD" w:rsidRPr="00BA64AD" w:rsidRDefault="00BA64AD" w:rsidP="00BA64AD">
            <w:pPr>
              <w:rPr>
                <w:rFonts w:cs="Arial"/>
                <w:b/>
                <w:bCs/>
                <w:sz w:val="15"/>
                <w:szCs w:val="15"/>
              </w:rPr>
            </w:pPr>
            <w:r w:rsidRPr="00BA64AD">
              <w:rPr>
                <w:rFonts w:cs="Arial"/>
                <w:b/>
                <w:bCs/>
                <w:sz w:val="15"/>
                <w:szCs w:val="15"/>
              </w:rPr>
              <w:t>Spolu</w:t>
            </w:r>
          </w:p>
        </w:tc>
        <w:tc>
          <w:tcPr>
            <w:tcW w:w="1064" w:type="pct"/>
            <w:tcBorders>
              <w:top w:val="nil"/>
              <w:left w:val="nil"/>
              <w:bottom w:val="single" w:sz="8" w:space="0" w:color="auto"/>
              <w:right w:val="nil"/>
            </w:tcBorders>
            <w:shd w:val="clear" w:color="auto" w:fill="auto"/>
            <w:vAlign w:val="center"/>
            <w:hideMark/>
          </w:tcPr>
          <w:p w:rsidR="00BA64AD" w:rsidRPr="00BA64AD" w:rsidRDefault="00BA64AD" w:rsidP="00BA64AD">
            <w:pPr>
              <w:ind w:right="-57"/>
              <w:jc w:val="right"/>
              <w:rPr>
                <w:rFonts w:cs="Arial"/>
                <w:b/>
                <w:bCs/>
                <w:sz w:val="15"/>
                <w:szCs w:val="15"/>
              </w:rPr>
            </w:pPr>
            <w:r w:rsidRPr="00BA64AD">
              <w:rPr>
                <w:rFonts w:cs="Arial"/>
                <w:b/>
                <w:bCs/>
                <w:sz w:val="15"/>
                <w:szCs w:val="15"/>
              </w:rPr>
              <w:t>(109)</w:t>
            </w:r>
          </w:p>
        </w:tc>
      </w:tr>
    </w:tbl>
    <w:p w:rsidR="0013020B" w:rsidRPr="000E2CA7" w:rsidRDefault="0013020B" w:rsidP="0074448F">
      <w:pPr>
        <w:rPr>
          <w:snapToGrid w:val="0"/>
        </w:rPr>
      </w:pPr>
    </w:p>
    <w:bookmarkEnd w:id="19"/>
    <w:p w:rsidR="0074448F" w:rsidRPr="000E2CA7" w:rsidRDefault="0074448F" w:rsidP="0074448F">
      <w:pPr>
        <w:rPr>
          <w:snapToGrid w:val="0"/>
        </w:rPr>
      </w:pPr>
    </w:p>
    <w:p w:rsidR="0074448F" w:rsidRPr="000E2CA7" w:rsidRDefault="0074448F" w:rsidP="0074448F">
      <w:pPr>
        <w:pStyle w:val="Heading2"/>
      </w:pPr>
      <w:r w:rsidRPr="000E2CA7">
        <w:t xml:space="preserve">Rezervy </w:t>
      </w:r>
    </w:p>
    <w:p w:rsidR="0074448F" w:rsidRPr="000E2CA7" w:rsidRDefault="0074448F" w:rsidP="0074448F">
      <w:pPr>
        <w:rPr>
          <w:snapToGrid w:val="0"/>
        </w:rPr>
      </w:pPr>
    </w:p>
    <w:p w:rsidR="005747D1" w:rsidRPr="000E2CA7" w:rsidRDefault="005747D1" w:rsidP="005747D1">
      <w:pPr>
        <w:rPr>
          <w:rFonts w:cs="Arial"/>
        </w:rPr>
      </w:pPr>
      <w:r w:rsidRPr="000E2CA7">
        <w:rPr>
          <w:rFonts w:cs="Arial"/>
        </w:rPr>
        <w:t>Spoločnosť netvorila žiadnu rezervu v roku 201</w:t>
      </w:r>
      <w:r w:rsidR="00BA64AD" w:rsidRPr="000E2CA7">
        <w:rPr>
          <w:rFonts w:cs="Arial"/>
        </w:rPr>
        <w:t>3</w:t>
      </w:r>
      <w:r w:rsidRPr="000E2CA7">
        <w:rPr>
          <w:rFonts w:cs="Arial"/>
        </w:rPr>
        <w:t xml:space="preserve"> a 201</w:t>
      </w:r>
      <w:r w:rsidR="00BA64AD" w:rsidRPr="000E2CA7">
        <w:rPr>
          <w:rFonts w:cs="Arial"/>
        </w:rPr>
        <w:t>4</w:t>
      </w:r>
      <w:r w:rsidRPr="000E2CA7">
        <w:rPr>
          <w:rFonts w:cs="Arial"/>
        </w:rPr>
        <w:t>.</w:t>
      </w:r>
    </w:p>
    <w:p w:rsidR="00BA64AD" w:rsidRPr="000E2CA7" w:rsidRDefault="00BA64AD">
      <w:pPr>
        <w:jc w:val="left"/>
        <w:rPr>
          <w:rFonts w:cs="Arial"/>
          <w:b/>
          <w:bCs/>
          <w:iCs/>
          <w:szCs w:val="28"/>
        </w:rPr>
      </w:pPr>
      <w:r w:rsidRPr="000E2CA7">
        <w:br w:type="page"/>
      </w:r>
    </w:p>
    <w:p w:rsidR="0074448F" w:rsidRPr="000E2CA7" w:rsidRDefault="0074448F" w:rsidP="008711DF">
      <w:pPr>
        <w:pStyle w:val="Heading2"/>
      </w:pPr>
      <w:r w:rsidRPr="000E2CA7">
        <w:lastRenderedPageBreak/>
        <w:t xml:space="preserve">Záväzky </w:t>
      </w:r>
    </w:p>
    <w:p w:rsidR="0074448F" w:rsidRPr="000E2CA7" w:rsidRDefault="0074448F" w:rsidP="0074448F">
      <w:pPr>
        <w:rPr>
          <w:snapToGrid w:val="0"/>
        </w:rPr>
      </w:pPr>
    </w:p>
    <w:p w:rsidR="008B77F4" w:rsidRPr="000E2CA7" w:rsidRDefault="008B77F4" w:rsidP="008B77F4">
      <w:pPr>
        <w:pStyle w:val="Heading3"/>
      </w:pPr>
      <w:r w:rsidRPr="000E2CA7">
        <w:t>Výška záväzkov do lehoty a po lehote splatnosti vrátane skupiny</w:t>
      </w:r>
      <w:r w:rsidR="006B0885" w:rsidRPr="000E2CA7">
        <w:t xml:space="preserve"> a záväzky podľa zostatkovej doby splatnosti</w:t>
      </w:r>
    </w:p>
    <w:p w:rsidR="00BA64AD" w:rsidRPr="000E2CA7" w:rsidRDefault="00BA64AD" w:rsidP="008711DF">
      <w:bookmarkStart w:id="21" w:name="T_payables_maturity"/>
      <w:r w:rsidRPr="000E2CA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306"/>
        <w:gridCol w:w="1463"/>
        <w:gridCol w:w="1442"/>
      </w:tblGrid>
      <w:tr w:rsidR="00BA64AD" w:rsidRPr="00BA64AD" w:rsidTr="00BA64AD">
        <w:trPr>
          <w:trHeight w:val="195"/>
        </w:trPr>
        <w:tc>
          <w:tcPr>
            <w:tcW w:w="3423" w:type="pct"/>
            <w:tcBorders>
              <w:top w:val="single" w:sz="8" w:space="0" w:color="auto"/>
              <w:left w:val="nil"/>
              <w:bottom w:val="nil"/>
              <w:right w:val="nil"/>
            </w:tcBorders>
            <w:shd w:val="clear" w:color="auto" w:fill="auto"/>
            <w:vAlign w:val="center"/>
            <w:hideMark/>
          </w:tcPr>
          <w:p w:rsidR="00BA64AD" w:rsidRPr="00BA64AD" w:rsidRDefault="00BA64AD" w:rsidP="00BA64AD">
            <w:pPr>
              <w:jc w:val="left"/>
              <w:rPr>
                <w:rFonts w:cs="Arial"/>
                <w:b/>
                <w:bCs/>
                <w:i/>
                <w:iCs/>
                <w:sz w:val="15"/>
                <w:szCs w:val="15"/>
              </w:rPr>
            </w:pPr>
            <w:r w:rsidRPr="00BA64AD">
              <w:rPr>
                <w:rFonts w:cs="Arial"/>
                <w:b/>
                <w:bCs/>
                <w:i/>
                <w:iCs/>
                <w:sz w:val="15"/>
                <w:szCs w:val="15"/>
              </w:rPr>
              <w:t>Položka</w:t>
            </w:r>
          </w:p>
        </w:tc>
        <w:tc>
          <w:tcPr>
            <w:tcW w:w="794"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31.12.2014</w:t>
            </w:r>
          </w:p>
        </w:tc>
        <w:tc>
          <w:tcPr>
            <w:tcW w:w="783"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31.12.2013</w:t>
            </w:r>
          </w:p>
        </w:tc>
      </w:tr>
      <w:tr w:rsidR="00BA64AD" w:rsidRPr="00BA64AD" w:rsidTr="00BA64AD">
        <w:trPr>
          <w:trHeight w:val="195"/>
        </w:trPr>
        <w:tc>
          <w:tcPr>
            <w:tcW w:w="3423" w:type="pct"/>
            <w:tcBorders>
              <w:top w:val="single" w:sz="4" w:space="0" w:color="auto"/>
              <w:left w:val="nil"/>
              <w:bottom w:val="nil"/>
              <w:right w:val="nil"/>
            </w:tcBorders>
            <w:shd w:val="clear" w:color="auto" w:fill="auto"/>
            <w:vAlign w:val="center"/>
            <w:hideMark/>
          </w:tcPr>
          <w:p w:rsidR="00BA64AD" w:rsidRPr="00BA64AD" w:rsidRDefault="00BA64AD" w:rsidP="00BA64AD">
            <w:pPr>
              <w:rPr>
                <w:rFonts w:cs="Arial"/>
                <w:b/>
                <w:bCs/>
                <w:i/>
                <w:iCs/>
                <w:sz w:val="15"/>
                <w:szCs w:val="15"/>
              </w:rPr>
            </w:pPr>
            <w:r w:rsidRPr="00BA64AD">
              <w:rPr>
                <w:rFonts w:cs="Arial"/>
                <w:b/>
                <w:bCs/>
                <w:i/>
                <w:iCs/>
                <w:sz w:val="15"/>
                <w:szCs w:val="15"/>
              </w:rPr>
              <w:t>Dlhodobé záväzky:</w:t>
            </w:r>
          </w:p>
        </w:tc>
        <w:tc>
          <w:tcPr>
            <w:tcW w:w="794"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w:t>
            </w:r>
          </w:p>
        </w:tc>
        <w:tc>
          <w:tcPr>
            <w:tcW w:w="783"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w:t>
            </w:r>
          </w:p>
        </w:tc>
      </w:tr>
      <w:tr w:rsidR="00BA64AD" w:rsidRPr="00BA64AD" w:rsidTr="00BA64AD">
        <w:trPr>
          <w:trHeight w:val="180"/>
        </w:trPr>
        <w:tc>
          <w:tcPr>
            <w:tcW w:w="3423" w:type="pct"/>
            <w:tcBorders>
              <w:top w:val="nil"/>
              <w:left w:val="nil"/>
              <w:bottom w:val="nil"/>
              <w:right w:val="nil"/>
            </w:tcBorders>
            <w:shd w:val="clear" w:color="auto" w:fill="auto"/>
            <w:vAlign w:val="center"/>
            <w:hideMark/>
          </w:tcPr>
          <w:p w:rsidR="00BA64AD" w:rsidRPr="00BA64AD" w:rsidRDefault="00BA64AD" w:rsidP="00BA64AD">
            <w:pPr>
              <w:jc w:val="left"/>
              <w:rPr>
                <w:rFonts w:cs="Arial"/>
                <w:sz w:val="15"/>
                <w:szCs w:val="15"/>
              </w:rPr>
            </w:pPr>
            <w:r w:rsidRPr="00BA64AD">
              <w:rPr>
                <w:rFonts w:cs="Arial"/>
                <w:sz w:val="15"/>
                <w:szCs w:val="15"/>
              </w:rPr>
              <w:t>Záväzky so zostatkovou dobou splatnosti nad päť rokov</w:t>
            </w:r>
          </w:p>
        </w:tc>
        <w:tc>
          <w:tcPr>
            <w:tcW w:w="79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8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80"/>
        </w:trPr>
        <w:tc>
          <w:tcPr>
            <w:tcW w:w="3423" w:type="pct"/>
            <w:tcBorders>
              <w:top w:val="nil"/>
              <w:left w:val="nil"/>
              <w:bottom w:val="nil"/>
              <w:right w:val="nil"/>
            </w:tcBorders>
            <w:shd w:val="clear" w:color="auto" w:fill="auto"/>
            <w:vAlign w:val="center"/>
            <w:hideMark/>
          </w:tcPr>
          <w:p w:rsidR="00BA64AD" w:rsidRPr="00BA64AD" w:rsidRDefault="00BA64AD" w:rsidP="00BA64AD">
            <w:pPr>
              <w:jc w:val="left"/>
              <w:rPr>
                <w:rFonts w:cs="Arial"/>
                <w:sz w:val="15"/>
                <w:szCs w:val="15"/>
              </w:rPr>
            </w:pPr>
            <w:r w:rsidRPr="00BA64AD">
              <w:rPr>
                <w:rFonts w:cs="Arial"/>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83" w:type="pct"/>
            <w:tcBorders>
              <w:top w:val="nil"/>
              <w:left w:val="nil"/>
              <w:bottom w:val="single" w:sz="4"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423" w:type="pct"/>
            <w:tcBorders>
              <w:top w:val="nil"/>
              <w:left w:val="nil"/>
              <w:bottom w:val="nil"/>
              <w:right w:val="nil"/>
            </w:tcBorders>
            <w:shd w:val="clear" w:color="auto" w:fill="auto"/>
            <w:vAlign w:val="center"/>
            <w:hideMark/>
          </w:tcPr>
          <w:p w:rsidR="00BA64AD" w:rsidRPr="00BA64AD" w:rsidRDefault="00BA64AD" w:rsidP="00BA64AD">
            <w:pPr>
              <w:rPr>
                <w:rFonts w:cs="Arial"/>
                <w:b/>
                <w:bCs/>
                <w:sz w:val="15"/>
                <w:szCs w:val="15"/>
              </w:rPr>
            </w:pPr>
            <w:r w:rsidRPr="00BA64AD">
              <w:rPr>
                <w:rFonts w:cs="Arial"/>
                <w:b/>
                <w:bCs/>
                <w:sz w:val="15"/>
                <w:szCs w:val="15"/>
              </w:rPr>
              <w:t>Spolu dlhodobé záväzky</w:t>
            </w:r>
          </w:p>
        </w:tc>
        <w:tc>
          <w:tcPr>
            <w:tcW w:w="794" w:type="pct"/>
            <w:tcBorders>
              <w:top w:val="nil"/>
              <w:left w:val="nil"/>
              <w:bottom w:val="nil"/>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xml:space="preserve">- </w:t>
            </w:r>
          </w:p>
        </w:tc>
        <w:tc>
          <w:tcPr>
            <w:tcW w:w="783" w:type="pct"/>
            <w:tcBorders>
              <w:top w:val="nil"/>
              <w:left w:val="nil"/>
              <w:bottom w:val="nil"/>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xml:space="preserve">- </w:t>
            </w:r>
          </w:p>
        </w:tc>
      </w:tr>
      <w:tr w:rsidR="00BA64AD" w:rsidRPr="00BA64AD" w:rsidTr="00BA64AD">
        <w:trPr>
          <w:trHeight w:val="195"/>
        </w:trPr>
        <w:tc>
          <w:tcPr>
            <w:tcW w:w="3423" w:type="pct"/>
            <w:tcBorders>
              <w:top w:val="nil"/>
              <w:left w:val="nil"/>
              <w:bottom w:val="nil"/>
              <w:right w:val="nil"/>
            </w:tcBorders>
            <w:shd w:val="clear" w:color="auto" w:fill="auto"/>
            <w:vAlign w:val="center"/>
            <w:hideMark/>
          </w:tcPr>
          <w:p w:rsidR="00BA64AD" w:rsidRPr="00BA64AD" w:rsidRDefault="00BA64AD" w:rsidP="00BA64AD">
            <w:pPr>
              <w:rPr>
                <w:rFonts w:cs="Arial"/>
                <w:sz w:val="15"/>
                <w:szCs w:val="15"/>
              </w:rPr>
            </w:pPr>
          </w:p>
        </w:tc>
        <w:tc>
          <w:tcPr>
            <w:tcW w:w="79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78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r>
      <w:tr w:rsidR="00BA64AD" w:rsidRPr="00BA64AD" w:rsidTr="00BA64AD">
        <w:trPr>
          <w:trHeight w:val="195"/>
        </w:trPr>
        <w:tc>
          <w:tcPr>
            <w:tcW w:w="3423" w:type="pct"/>
            <w:tcBorders>
              <w:top w:val="nil"/>
              <w:left w:val="nil"/>
              <w:bottom w:val="nil"/>
              <w:right w:val="nil"/>
            </w:tcBorders>
            <w:shd w:val="clear" w:color="auto" w:fill="auto"/>
            <w:vAlign w:val="center"/>
            <w:hideMark/>
          </w:tcPr>
          <w:p w:rsidR="00BA64AD" w:rsidRPr="00BA64AD" w:rsidRDefault="00BA64AD" w:rsidP="00BA64AD">
            <w:pPr>
              <w:rPr>
                <w:rFonts w:cs="Arial"/>
                <w:b/>
                <w:bCs/>
                <w:i/>
                <w:iCs/>
                <w:sz w:val="15"/>
                <w:szCs w:val="15"/>
              </w:rPr>
            </w:pPr>
            <w:r w:rsidRPr="00BA64AD">
              <w:rPr>
                <w:rFonts w:cs="Arial"/>
                <w:b/>
                <w:bCs/>
                <w:i/>
                <w:iCs/>
                <w:sz w:val="15"/>
                <w:szCs w:val="15"/>
              </w:rPr>
              <w:t>Krátkodobé záväzky:</w:t>
            </w:r>
          </w:p>
        </w:tc>
        <w:tc>
          <w:tcPr>
            <w:tcW w:w="79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78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r>
      <w:tr w:rsidR="00BA64AD" w:rsidRPr="00BA64AD" w:rsidTr="00BA64AD">
        <w:trPr>
          <w:trHeight w:val="240"/>
        </w:trPr>
        <w:tc>
          <w:tcPr>
            <w:tcW w:w="3423" w:type="pct"/>
            <w:tcBorders>
              <w:top w:val="nil"/>
              <w:left w:val="nil"/>
              <w:bottom w:val="nil"/>
              <w:right w:val="nil"/>
            </w:tcBorders>
            <w:shd w:val="clear" w:color="auto" w:fill="auto"/>
            <w:vAlign w:val="center"/>
            <w:hideMark/>
          </w:tcPr>
          <w:p w:rsidR="00BA64AD" w:rsidRPr="00BA64AD" w:rsidRDefault="00BA64AD" w:rsidP="00BA64AD">
            <w:pPr>
              <w:rPr>
                <w:rFonts w:cs="Arial"/>
                <w:sz w:val="15"/>
                <w:szCs w:val="15"/>
              </w:rPr>
            </w:pPr>
            <w:r w:rsidRPr="00BA64AD">
              <w:rPr>
                <w:rFonts w:cs="Arial"/>
                <w:sz w:val="15"/>
                <w:szCs w:val="15"/>
              </w:rPr>
              <w:t>Záväzky so zostatkovou dobou splatnosti do jedného roka vrátane</w:t>
            </w:r>
          </w:p>
        </w:tc>
        <w:tc>
          <w:tcPr>
            <w:tcW w:w="79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189 980 </w:t>
            </w:r>
          </w:p>
        </w:tc>
        <w:tc>
          <w:tcPr>
            <w:tcW w:w="78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27 763 </w:t>
            </w:r>
          </w:p>
        </w:tc>
      </w:tr>
      <w:tr w:rsidR="00BA64AD" w:rsidRPr="00BA64AD" w:rsidTr="00BA64AD">
        <w:trPr>
          <w:trHeight w:val="195"/>
        </w:trPr>
        <w:tc>
          <w:tcPr>
            <w:tcW w:w="3423" w:type="pct"/>
            <w:tcBorders>
              <w:top w:val="nil"/>
              <w:left w:val="nil"/>
              <w:bottom w:val="nil"/>
              <w:right w:val="nil"/>
            </w:tcBorders>
            <w:shd w:val="clear" w:color="auto" w:fill="auto"/>
            <w:vAlign w:val="center"/>
            <w:hideMark/>
          </w:tcPr>
          <w:p w:rsidR="00BA64AD" w:rsidRPr="00BA64AD" w:rsidRDefault="00BA64AD" w:rsidP="00BA64AD">
            <w:pPr>
              <w:jc w:val="left"/>
              <w:rPr>
                <w:rFonts w:cs="Arial"/>
                <w:sz w:val="15"/>
                <w:szCs w:val="15"/>
              </w:rPr>
            </w:pPr>
            <w:r w:rsidRPr="00BA64AD">
              <w:rPr>
                <w:rFonts w:cs="Arial"/>
                <w:sz w:val="15"/>
                <w:szCs w:val="15"/>
              </w:rPr>
              <w:t>Záväzky po lehote splatnosti</w:t>
            </w:r>
          </w:p>
        </w:tc>
        <w:tc>
          <w:tcPr>
            <w:tcW w:w="794" w:type="pct"/>
            <w:tcBorders>
              <w:top w:val="nil"/>
              <w:left w:val="nil"/>
              <w:bottom w:val="single" w:sz="4"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19 030 </w:t>
            </w:r>
          </w:p>
        </w:tc>
        <w:tc>
          <w:tcPr>
            <w:tcW w:w="783" w:type="pct"/>
            <w:tcBorders>
              <w:top w:val="nil"/>
              <w:left w:val="nil"/>
              <w:bottom w:val="single" w:sz="4"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210"/>
        </w:trPr>
        <w:tc>
          <w:tcPr>
            <w:tcW w:w="3423" w:type="pct"/>
            <w:tcBorders>
              <w:top w:val="nil"/>
              <w:left w:val="nil"/>
              <w:bottom w:val="single" w:sz="8" w:space="0" w:color="auto"/>
              <w:right w:val="nil"/>
            </w:tcBorders>
            <w:shd w:val="clear" w:color="auto" w:fill="auto"/>
            <w:vAlign w:val="center"/>
            <w:hideMark/>
          </w:tcPr>
          <w:p w:rsidR="00BA64AD" w:rsidRPr="00BA64AD" w:rsidRDefault="00BA64AD" w:rsidP="00BA64AD">
            <w:pPr>
              <w:rPr>
                <w:rFonts w:cs="Arial"/>
                <w:b/>
                <w:bCs/>
                <w:sz w:val="15"/>
                <w:szCs w:val="15"/>
              </w:rPr>
            </w:pPr>
            <w:r w:rsidRPr="00BA64AD">
              <w:rPr>
                <w:rFonts w:cs="Arial"/>
                <w:b/>
                <w:bCs/>
                <w:sz w:val="15"/>
                <w:szCs w:val="15"/>
              </w:rPr>
              <w:t>Spolu krátkodobé záväzky</w:t>
            </w:r>
          </w:p>
        </w:tc>
        <w:tc>
          <w:tcPr>
            <w:tcW w:w="794" w:type="pct"/>
            <w:tcBorders>
              <w:top w:val="nil"/>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xml:space="preserve">209 010 </w:t>
            </w:r>
          </w:p>
        </w:tc>
        <w:tc>
          <w:tcPr>
            <w:tcW w:w="783" w:type="pct"/>
            <w:tcBorders>
              <w:top w:val="nil"/>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xml:space="preserve">27 763 </w:t>
            </w:r>
          </w:p>
        </w:tc>
      </w:tr>
    </w:tbl>
    <w:p w:rsidR="00E11848" w:rsidRPr="000E2CA7" w:rsidRDefault="00E11848" w:rsidP="008711DF"/>
    <w:bookmarkEnd w:id="21"/>
    <w:p w:rsidR="005D55FF" w:rsidRPr="000E2CA7" w:rsidRDefault="005D55FF" w:rsidP="005D55FF"/>
    <w:p w:rsidR="00B52CAC" w:rsidRPr="000E2CA7" w:rsidRDefault="00B52CAC" w:rsidP="00B52CAC">
      <w:pPr>
        <w:pStyle w:val="Heading1"/>
      </w:pPr>
      <w:r w:rsidRPr="000E2CA7">
        <w:t>Výnosy</w:t>
      </w:r>
    </w:p>
    <w:p w:rsidR="00B52CAC" w:rsidRPr="000E2CA7" w:rsidRDefault="00B52CAC" w:rsidP="00B52CAC">
      <w:pPr>
        <w:rPr>
          <w:sz w:val="14"/>
        </w:rPr>
      </w:pPr>
    </w:p>
    <w:p w:rsidR="00B52CAC" w:rsidRPr="000E2CA7" w:rsidRDefault="00B52CAC" w:rsidP="00B52CAC">
      <w:pPr>
        <w:pStyle w:val="Heading2"/>
      </w:pPr>
      <w:r w:rsidRPr="000E2CA7">
        <w:t>Výnosy z hospodárskej činnosti</w:t>
      </w:r>
    </w:p>
    <w:p w:rsidR="00B52CAC" w:rsidRPr="000E2CA7" w:rsidRDefault="00B52CAC" w:rsidP="00B52CAC">
      <w:pPr>
        <w:rPr>
          <w:b/>
          <w:snapToGrid w:val="0"/>
          <w:sz w:val="14"/>
        </w:rPr>
      </w:pPr>
    </w:p>
    <w:p w:rsidR="00B52CAC" w:rsidRPr="000E2CA7" w:rsidRDefault="00B52CAC" w:rsidP="00B52CAC">
      <w:pPr>
        <w:pStyle w:val="Heading3"/>
      </w:pPr>
      <w:r w:rsidRPr="000E2CA7">
        <w:t>Tržby z predaja tovaru, vlastných výrobkov a služieb (r. 01, 05 výkazu ziskov a strát)</w:t>
      </w:r>
    </w:p>
    <w:p w:rsidR="00B52CAC" w:rsidRPr="000E2CA7" w:rsidRDefault="00B52CAC" w:rsidP="002F78A4">
      <w:pPr>
        <w:rPr>
          <w:sz w:val="14"/>
        </w:rPr>
      </w:pPr>
    </w:p>
    <w:p w:rsidR="003E168C" w:rsidRPr="000E2CA7" w:rsidRDefault="003E168C" w:rsidP="003E168C">
      <w:pPr>
        <w:rPr>
          <w:snapToGrid w:val="0"/>
        </w:rPr>
      </w:pPr>
      <w:r w:rsidRPr="000E2CA7">
        <w:rPr>
          <w:snapToGrid w:val="0"/>
        </w:rPr>
        <w:t>Tržby za vlastné výkony a tovar podľa typov výrobkov a</w:t>
      </w:r>
      <w:r w:rsidR="00EB2CFC" w:rsidRPr="000E2CA7">
        <w:rPr>
          <w:snapToGrid w:val="0"/>
        </w:rPr>
        <w:t> </w:t>
      </w:r>
      <w:r w:rsidRPr="000E2CA7">
        <w:rPr>
          <w:snapToGrid w:val="0"/>
        </w:rPr>
        <w:t>služieb</w:t>
      </w:r>
      <w:r w:rsidR="00EB2CFC" w:rsidRPr="000E2CA7">
        <w:rPr>
          <w:snapToGrid w:val="0"/>
        </w:rPr>
        <w:t xml:space="preserve"> a podľa hlavných oblastí odbytu</w:t>
      </w:r>
      <w:r w:rsidRPr="000E2CA7">
        <w:rPr>
          <w:snapToGrid w:val="0"/>
        </w:rPr>
        <w:t>:</w:t>
      </w:r>
    </w:p>
    <w:p w:rsidR="00BA64AD" w:rsidRPr="000E2CA7" w:rsidRDefault="00BA64AD" w:rsidP="002F78A4">
      <w:pPr>
        <w:rPr>
          <w:sz w:val="14"/>
        </w:rPr>
      </w:pPr>
      <w:bookmarkStart w:id="22" w:name="T_revenues"/>
      <w:r w:rsidRPr="000E2CA7">
        <w:rPr>
          <w:snapToGrid w:val="0"/>
          <w:sz w:val="14"/>
        </w:rPr>
        <w:t xml:space="preserve"> </w:t>
      </w:r>
    </w:p>
    <w:tbl>
      <w:tblPr>
        <w:tblW w:w="5000" w:type="pct"/>
        <w:tblCellMar>
          <w:left w:w="70" w:type="dxa"/>
          <w:right w:w="70" w:type="dxa"/>
        </w:tblCellMar>
        <w:tblLook w:val="04A0" w:firstRow="1" w:lastRow="0" w:firstColumn="1" w:lastColumn="0" w:noHBand="0" w:noVBand="1"/>
      </w:tblPr>
      <w:tblGrid>
        <w:gridCol w:w="1938"/>
        <w:gridCol w:w="910"/>
        <w:gridCol w:w="910"/>
        <w:gridCol w:w="910"/>
        <w:gridCol w:w="910"/>
        <w:gridCol w:w="910"/>
        <w:gridCol w:w="910"/>
        <w:gridCol w:w="910"/>
        <w:gridCol w:w="903"/>
      </w:tblGrid>
      <w:tr w:rsidR="00BA64AD" w:rsidRPr="00BA64AD" w:rsidTr="00BA64AD">
        <w:trPr>
          <w:trHeight w:val="615"/>
        </w:trPr>
        <w:tc>
          <w:tcPr>
            <w:tcW w:w="1052" w:type="pct"/>
            <w:vMerge w:val="restart"/>
            <w:tcBorders>
              <w:top w:val="single" w:sz="8" w:space="0" w:color="auto"/>
              <w:left w:val="nil"/>
              <w:bottom w:val="nil"/>
              <w:right w:val="nil"/>
            </w:tcBorders>
            <w:shd w:val="clear" w:color="auto" w:fill="auto"/>
            <w:vAlign w:val="center"/>
            <w:hideMark/>
          </w:tcPr>
          <w:p w:rsidR="00BA64AD" w:rsidRPr="00BA64AD" w:rsidRDefault="00BA64AD" w:rsidP="00BA64AD">
            <w:pPr>
              <w:jc w:val="left"/>
              <w:rPr>
                <w:rFonts w:cs="Arial"/>
                <w:b/>
                <w:bCs/>
                <w:i/>
                <w:iCs/>
                <w:sz w:val="15"/>
                <w:szCs w:val="15"/>
              </w:rPr>
            </w:pPr>
            <w:bookmarkStart w:id="23" w:name="RANGE!B9:J16"/>
            <w:r w:rsidRPr="00BA64AD">
              <w:rPr>
                <w:rFonts w:cs="Arial"/>
                <w:b/>
                <w:bCs/>
                <w:i/>
                <w:iCs/>
                <w:sz w:val="15"/>
                <w:szCs w:val="15"/>
              </w:rPr>
              <w:t>Oblasť odbytu</w:t>
            </w:r>
            <w:bookmarkEnd w:id="23"/>
          </w:p>
        </w:tc>
        <w:tc>
          <w:tcPr>
            <w:tcW w:w="988" w:type="pct"/>
            <w:gridSpan w:val="2"/>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Služby</w:t>
            </w:r>
          </w:p>
        </w:tc>
        <w:tc>
          <w:tcPr>
            <w:tcW w:w="988" w:type="pct"/>
            <w:gridSpan w:val="2"/>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Služby</w:t>
            </w:r>
          </w:p>
        </w:tc>
        <w:tc>
          <w:tcPr>
            <w:tcW w:w="988" w:type="pct"/>
            <w:gridSpan w:val="2"/>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Služby</w:t>
            </w:r>
          </w:p>
        </w:tc>
        <w:tc>
          <w:tcPr>
            <w:tcW w:w="984" w:type="pct"/>
            <w:gridSpan w:val="2"/>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Celkom</w:t>
            </w:r>
          </w:p>
        </w:tc>
      </w:tr>
      <w:tr w:rsidR="00BA64AD" w:rsidRPr="00BA64AD" w:rsidTr="00BA64AD">
        <w:trPr>
          <w:trHeight w:val="195"/>
        </w:trPr>
        <w:tc>
          <w:tcPr>
            <w:tcW w:w="1052" w:type="pct"/>
            <w:vMerge/>
            <w:tcBorders>
              <w:top w:val="single" w:sz="8" w:space="0" w:color="auto"/>
              <w:left w:val="nil"/>
              <w:bottom w:val="nil"/>
              <w:right w:val="nil"/>
            </w:tcBorders>
            <w:shd w:val="clear" w:color="auto" w:fill="auto"/>
            <w:vAlign w:val="center"/>
            <w:hideMark/>
          </w:tcPr>
          <w:p w:rsidR="00BA64AD" w:rsidRPr="00BA64AD" w:rsidRDefault="00BA64AD" w:rsidP="00BA64AD">
            <w:pPr>
              <w:jc w:val="left"/>
              <w:rPr>
                <w:rFonts w:cs="Arial"/>
                <w:b/>
                <w:bCs/>
                <w:i/>
                <w:iCs/>
                <w:sz w:val="15"/>
                <w:szCs w:val="15"/>
              </w:rPr>
            </w:pPr>
          </w:p>
        </w:tc>
        <w:tc>
          <w:tcPr>
            <w:tcW w:w="494" w:type="pct"/>
            <w:tcBorders>
              <w:top w:val="single" w:sz="4"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2014</w:t>
            </w:r>
          </w:p>
        </w:tc>
        <w:tc>
          <w:tcPr>
            <w:tcW w:w="494" w:type="pct"/>
            <w:tcBorders>
              <w:top w:val="single" w:sz="4"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2013</w:t>
            </w:r>
          </w:p>
        </w:tc>
        <w:tc>
          <w:tcPr>
            <w:tcW w:w="494" w:type="pct"/>
            <w:tcBorders>
              <w:top w:val="single" w:sz="4"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2014</w:t>
            </w:r>
          </w:p>
        </w:tc>
        <w:tc>
          <w:tcPr>
            <w:tcW w:w="494" w:type="pct"/>
            <w:tcBorders>
              <w:top w:val="single" w:sz="4"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2013</w:t>
            </w:r>
          </w:p>
        </w:tc>
        <w:tc>
          <w:tcPr>
            <w:tcW w:w="494" w:type="pct"/>
            <w:tcBorders>
              <w:top w:val="single" w:sz="4"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2014</w:t>
            </w:r>
          </w:p>
        </w:tc>
        <w:tc>
          <w:tcPr>
            <w:tcW w:w="494" w:type="pct"/>
            <w:tcBorders>
              <w:top w:val="single" w:sz="4"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2013</w:t>
            </w:r>
          </w:p>
        </w:tc>
        <w:tc>
          <w:tcPr>
            <w:tcW w:w="494" w:type="pct"/>
            <w:tcBorders>
              <w:top w:val="single" w:sz="4"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2014</w:t>
            </w:r>
          </w:p>
        </w:tc>
        <w:tc>
          <w:tcPr>
            <w:tcW w:w="490" w:type="pct"/>
            <w:tcBorders>
              <w:top w:val="single" w:sz="4"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2013</w:t>
            </w:r>
          </w:p>
        </w:tc>
      </w:tr>
      <w:tr w:rsidR="00BA64AD" w:rsidRPr="00BA64AD" w:rsidTr="00BA64AD">
        <w:trPr>
          <w:trHeight w:val="195"/>
        </w:trPr>
        <w:tc>
          <w:tcPr>
            <w:tcW w:w="1052" w:type="pct"/>
            <w:tcBorders>
              <w:top w:val="single" w:sz="4" w:space="0" w:color="auto"/>
              <w:left w:val="nil"/>
              <w:bottom w:val="nil"/>
              <w:right w:val="nil"/>
            </w:tcBorders>
            <w:shd w:val="clear" w:color="auto" w:fill="auto"/>
            <w:vAlign w:val="center"/>
            <w:hideMark/>
          </w:tcPr>
          <w:p w:rsidR="00BA64AD" w:rsidRPr="00BA64AD" w:rsidRDefault="00BA64AD" w:rsidP="00BA64AD">
            <w:pPr>
              <w:jc w:val="left"/>
              <w:rPr>
                <w:rFonts w:cs="Arial"/>
                <w:sz w:val="15"/>
                <w:szCs w:val="15"/>
              </w:rPr>
            </w:pPr>
            <w:r w:rsidRPr="00BA64AD">
              <w:rPr>
                <w:rFonts w:cs="Arial"/>
                <w:sz w:val="15"/>
                <w:szCs w:val="15"/>
              </w:rPr>
              <w:t>Slovensko</w:t>
            </w:r>
          </w:p>
        </w:tc>
        <w:tc>
          <w:tcPr>
            <w:tcW w:w="494" w:type="pct"/>
            <w:tcBorders>
              <w:top w:val="single"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109 700</w:t>
            </w:r>
          </w:p>
        </w:tc>
        <w:tc>
          <w:tcPr>
            <w:tcW w:w="494" w:type="pct"/>
            <w:tcBorders>
              <w:top w:val="single"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30 200</w:t>
            </w:r>
          </w:p>
        </w:tc>
        <w:tc>
          <w:tcPr>
            <w:tcW w:w="494" w:type="pct"/>
            <w:tcBorders>
              <w:top w:val="single"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w:t>
            </w:r>
          </w:p>
        </w:tc>
        <w:tc>
          <w:tcPr>
            <w:tcW w:w="494" w:type="pct"/>
            <w:tcBorders>
              <w:top w:val="single"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w:t>
            </w:r>
          </w:p>
        </w:tc>
        <w:tc>
          <w:tcPr>
            <w:tcW w:w="494" w:type="pct"/>
            <w:tcBorders>
              <w:top w:val="single"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w:t>
            </w:r>
          </w:p>
        </w:tc>
        <w:tc>
          <w:tcPr>
            <w:tcW w:w="494" w:type="pct"/>
            <w:tcBorders>
              <w:top w:val="single"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w:t>
            </w:r>
          </w:p>
        </w:tc>
        <w:tc>
          <w:tcPr>
            <w:tcW w:w="494" w:type="pct"/>
            <w:tcBorders>
              <w:top w:val="single"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109 700</w:t>
            </w:r>
          </w:p>
        </w:tc>
        <w:tc>
          <w:tcPr>
            <w:tcW w:w="490" w:type="pct"/>
            <w:tcBorders>
              <w:top w:val="single"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30 200</w:t>
            </w:r>
          </w:p>
        </w:tc>
      </w:tr>
      <w:tr w:rsidR="00BA64AD" w:rsidRPr="00BA64AD" w:rsidTr="00BA64AD">
        <w:trPr>
          <w:trHeight w:val="390"/>
        </w:trPr>
        <w:tc>
          <w:tcPr>
            <w:tcW w:w="1052"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Zahraničie celkom, z toho:</w:t>
            </w:r>
          </w:p>
        </w:tc>
        <w:tc>
          <w:tcPr>
            <w:tcW w:w="494"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5 652</w:t>
            </w:r>
          </w:p>
        </w:tc>
        <w:tc>
          <w:tcPr>
            <w:tcW w:w="494"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w:t>
            </w:r>
          </w:p>
        </w:tc>
        <w:tc>
          <w:tcPr>
            <w:tcW w:w="494"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w:t>
            </w:r>
          </w:p>
        </w:tc>
        <w:tc>
          <w:tcPr>
            <w:tcW w:w="494"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w:t>
            </w:r>
          </w:p>
        </w:tc>
        <w:tc>
          <w:tcPr>
            <w:tcW w:w="494"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w:t>
            </w:r>
          </w:p>
        </w:tc>
        <w:tc>
          <w:tcPr>
            <w:tcW w:w="494"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w:t>
            </w:r>
          </w:p>
        </w:tc>
        <w:tc>
          <w:tcPr>
            <w:tcW w:w="494"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5 652</w:t>
            </w:r>
          </w:p>
        </w:tc>
        <w:tc>
          <w:tcPr>
            <w:tcW w:w="490"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rPr>
          <w:trHeight w:val="195"/>
        </w:trPr>
        <w:tc>
          <w:tcPr>
            <w:tcW w:w="1052" w:type="pct"/>
            <w:tcBorders>
              <w:top w:val="nil"/>
              <w:left w:val="nil"/>
              <w:bottom w:val="nil"/>
              <w:right w:val="nil"/>
            </w:tcBorders>
            <w:shd w:val="clear" w:color="auto" w:fill="auto"/>
            <w:vAlign w:val="center"/>
            <w:hideMark/>
          </w:tcPr>
          <w:p w:rsidR="00BA64AD" w:rsidRPr="00BA64AD" w:rsidRDefault="00BA64AD" w:rsidP="00BA64AD">
            <w:pPr>
              <w:ind w:left="426" w:hanging="142"/>
              <w:jc w:val="left"/>
              <w:rPr>
                <w:rFonts w:cs="Arial"/>
                <w:i/>
                <w:iCs/>
                <w:sz w:val="15"/>
                <w:szCs w:val="15"/>
              </w:rPr>
            </w:pPr>
            <w:r w:rsidRPr="00BA64AD">
              <w:rPr>
                <w:rFonts w:cs="Arial"/>
                <w:i/>
                <w:iCs/>
                <w:sz w:val="15"/>
                <w:szCs w:val="15"/>
              </w:rPr>
              <w:t>USA</w:t>
            </w:r>
          </w:p>
        </w:tc>
        <w:tc>
          <w:tcPr>
            <w:tcW w:w="494" w:type="pct"/>
            <w:tcBorders>
              <w:top w:val="nil"/>
              <w:left w:val="nil"/>
              <w:bottom w:val="nil"/>
              <w:right w:val="nil"/>
            </w:tcBorders>
            <w:shd w:val="clear" w:color="auto" w:fill="auto"/>
            <w:vAlign w:val="center"/>
            <w:hideMark/>
          </w:tcPr>
          <w:p w:rsidR="00BA64AD" w:rsidRPr="00BA64AD" w:rsidRDefault="00BA64AD" w:rsidP="00BA64AD">
            <w:pPr>
              <w:jc w:val="right"/>
              <w:rPr>
                <w:rFonts w:cs="Arial"/>
                <w:i/>
                <w:iCs/>
                <w:sz w:val="15"/>
                <w:szCs w:val="15"/>
              </w:rPr>
            </w:pPr>
            <w:r w:rsidRPr="00BA64AD">
              <w:rPr>
                <w:rFonts w:cs="Arial"/>
                <w:i/>
                <w:iCs/>
                <w:sz w:val="15"/>
                <w:szCs w:val="15"/>
              </w:rPr>
              <w:t>5 652</w:t>
            </w:r>
          </w:p>
        </w:tc>
        <w:tc>
          <w:tcPr>
            <w:tcW w:w="494" w:type="pct"/>
            <w:tcBorders>
              <w:top w:val="nil"/>
              <w:left w:val="nil"/>
              <w:bottom w:val="nil"/>
              <w:right w:val="nil"/>
            </w:tcBorders>
            <w:shd w:val="clear" w:color="auto" w:fill="auto"/>
            <w:vAlign w:val="center"/>
            <w:hideMark/>
          </w:tcPr>
          <w:p w:rsidR="00BA64AD" w:rsidRPr="00BA64AD" w:rsidRDefault="00BA64AD" w:rsidP="00BA64AD">
            <w:pPr>
              <w:jc w:val="right"/>
              <w:rPr>
                <w:rFonts w:cs="Arial"/>
                <w:i/>
                <w:iCs/>
                <w:sz w:val="15"/>
                <w:szCs w:val="15"/>
              </w:rPr>
            </w:pPr>
            <w:r w:rsidRPr="00BA64AD">
              <w:rPr>
                <w:rFonts w:cs="Arial"/>
                <w:i/>
                <w:iCs/>
                <w:sz w:val="15"/>
                <w:szCs w:val="15"/>
              </w:rPr>
              <w:t>-</w:t>
            </w:r>
          </w:p>
        </w:tc>
        <w:tc>
          <w:tcPr>
            <w:tcW w:w="494" w:type="pct"/>
            <w:tcBorders>
              <w:top w:val="nil"/>
              <w:left w:val="nil"/>
              <w:bottom w:val="nil"/>
              <w:right w:val="nil"/>
            </w:tcBorders>
            <w:shd w:val="clear" w:color="auto" w:fill="auto"/>
            <w:vAlign w:val="center"/>
            <w:hideMark/>
          </w:tcPr>
          <w:p w:rsidR="00BA64AD" w:rsidRPr="00BA64AD" w:rsidRDefault="00BA64AD" w:rsidP="00BA64AD">
            <w:pPr>
              <w:jc w:val="right"/>
              <w:rPr>
                <w:rFonts w:cs="Arial"/>
                <w:i/>
                <w:iCs/>
                <w:sz w:val="15"/>
                <w:szCs w:val="15"/>
              </w:rPr>
            </w:pPr>
            <w:r w:rsidRPr="00BA64AD">
              <w:rPr>
                <w:rFonts w:cs="Arial"/>
                <w:i/>
                <w:iCs/>
                <w:sz w:val="15"/>
                <w:szCs w:val="15"/>
              </w:rPr>
              <w:t>-</w:t>
            </w:r>
          </w:p>
        </w:tc>
        <w:tc>
          <w:tcPr>
            <w:tcW w:w="494" w:type="pct"/>
            <w:tcBorders>
              <w:top w:val="nil"/>
              <w:left w:val="nil"/>
              <w:bottom w:val="nil"/>
              <w:right w:val="nil"/>
            </w:tcBorders>
            <w:shd w:val="clear" w:color="auto" w:fill="auto"/>
            <w:vAlign w:val="center"/>
            <w:hideMark/>
          </w:tcPr>
          <w:p w:rsidR="00BA64AD" w:rsidRPr="00BA64AD" w:rsidRDefault="00BA64AD" w:rsidP="00BA64AD">
            <w:pPr>
              <w:jc w:val="right"/>
              <w:rPr>
                <w:rFonts w:cs="Arial"/>
                <w:i/>
                <w:iCs/>
                <w:sz w:val="15"/>
                <w:szCs w:val="15"/>
              </w:rPr>
            </w:pPr>
            <w:r w:rsidRPr="00BA64AD">
              <w:rPr>
                <w:rFonts w:cs="Arial"/>
                <w:i/>
                <w:iCs/>
                <w:sz w:val="15"/>
                <w:szCs w:val="15"/>
              </w:rPr>
              <w:t>-</w:t>
            </w:r>
          </w:p>
        </w:tc>
        <w:tc>
          <w:tcPr>
            <w:tcW w:w="494" w:type="pct"/>
            <w:tcBorders>
              <w:top w:val="nil"/>
              <w:left w:val="nil"/>
              <w:bottom w:val="nil"/>
              <w:right w:val="nil"/>
            </w:tcBorders>
            <w:shd w:val="clear" w:color="auto" w:fill="auto"/>
            <w:vAlign w:val="center"/>
            <w:hideMark/>
          </w:tcPr>
          <w:p w:rsidR="00BA64AD" w:rsidRPr="00BA64AD" w:rsidRDefault="00BA64AD" w:rsidP="00BA64AD">
            <w:pPr>
              <w:jc w:val="right"/>
              <w:rPr>
                <w:rFonts w:cs="Arial"/>
                <w:i/>
                <w:iCs/>
                <w:sz w:val="15"/>
                <w:szCs w:val="15"/>
              </w:rPr>
            </w:pPr>
            <w:r w:rsidRPr="00BA64AD">
              <w:rPr>
                <w:rFonts w:cs="Arial"/>
                <w:i/>
                <w:iCs/>
                <w:sz w:val="15"/>
                <w:szCs w:val="15"/>
              </w:rPr>
              <w:t>-</w:t>
            </w:r>
          </w:p>
        </w:tc>
        <w:tc>
          <w:tcPr>
            <w:tcW w:w="494" w:type="pct"/>
            <w:tcBorders>
              <w:top w:val="nil"/>
              <w:left w:val="nil"/>
              <w:bottom w:val="nil"/>
              <w:right w:val="nil"/>
            </w:tcBorders>
            <w:shd w:val="clear" w:color="auto" w:fill="auto"/>
            <w:vAlign w:val="center"/>
            <w:hideMark/>
          </w:tcPr>
          <w:p w:rsidR="00BA64AD" w:rsidRPr="00BA64AD" w:rsidRDefault="00BA64AD" w:rsidP="00BA64AD">
            <w:pPr>
              <w:jc w:val="right"/>
              <w:rPr>
                <w:rFonts w:cs="Arial"/>
                <w:i/>
                <w:iCs/>
                <w:sz w:val="15"/>
                <w:szCs w:val="15"/>
              </w:rPr>
            </w:pPr>
            <w:r w:rsidRPr="00BA64AD">
              <w:rPr>
                <w:rFonts w:cs="Arial"/>
                <w:i/>
                <w:iCs/>
                <w:sz w:val="15"/>
                <w:szCs w:val="15"/>
              </w:rPr>
              <w:t>-</w:t>
            </w:r>
          </w:p>
        </w:tc>
        <w:tc>
          <w:tcPr>
            <w:tcW w:w="494"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5 652</w:t>
            </w:r>
          </w:p>
        </w:tc>
        <w:tc>
          <w:tcPr>
            <w:tcW w:w="49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w:t>
            </w:r>
          </w:p>
        </w:tc>
      </w:tr>
      <w:tr w:rsidR="00BA64AD" w:rsidRPr="00BA64AD" w:rsidTr="00BA64AD">
        <w:trPr>
          <w:trHeight w:val="210"/>
        </w:trPr>
        <w:tc>
          <w:tcPr>
            <w:tcW w:w="1052" w:type="pct"/>
            <w:tcBorders>
              <w:top w:val="nil"/>
              <w:left w:val="nil"/>
              <w:bottom w:val="single" w:sz="8" w:space="0" w:color="auto"/>
              <w:right w:val="nil"/>
            </w:tcBorders>
            <w:shd w:val="clear" w:color="auto" w:fill="auto"/>
            <w:vAlign w:val="center"/>
            <w:hideMark/>
          </w:tcPr>
          <w:p w:rsidR="00BA64AD" w:rsidRPr="00BA64AD" w:rsidRDefault="00BA64AD" w:rsidP="00BA64AD">
            <w:pPr>
              <w:jc w:val="left"/>
              <w:rPr>
                <w:rFonts w:cs="Arial"/>
                <w:b/>
                <w:bCs/>
                <w:sz w:val="15"/>
                <w:szCs w:val="15"/>
              </w:rPr>
            </w:pPr>
            <w:r w:rsidRPr="00BA64AD">
              <w:rPr>
                <w:rFonts w:cs="Arial"/>
                <w:b/>
                <w:bCs/>
                <w:sz w:val="15"/>
                <w:szCs w:val="15"/>
              </w:rPr>
              <w:t>Spolu</w:t>
            </w:r>
          </w:p>
        </w:tc>
        <w:tc>
          <w:tcPr>
            <w:tcW w:w="494" w:type="pct"/>
            <w:tcBorders>
              <w:top w:val="nil"/>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115 352</w:t>
            </w:r>
          </w:p>
        </w:tc>
        <w:tc>
          <w:tcPr>
            <w:tcW w:w="494" w:type="pct"/>
            <w:tcBorders>
              <w:top w:val="nil"/>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30 200</w:t>
            </w:r>
          </w:p>
        </w:tc>
        <w:tc>
          <w:tcPr>
            <w:tcW w:w="494" w:type="pct"/>
            <w:tcBorders>
              <w:top w:val="nil"/>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w:t>
            </w:r>
          </w:p>
        </w:tc>
        <w:tc>
          <w:tcPr>
            <w:tcW w:w="494" w:type="pct"/>
            <w:tcBorders>
              <w:top w:val="nil"/>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w:t>
            </w:r>
          </w:p>
        </w:tc>
        <w:tc>
          <w:tcPr>
            <w:tcW w:w="494" w:type="pct"/>
            <w:tcBorders>
              <w:top w:val="nil"/>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w:t>
            </w:r>
          </w:p>
        </w:tc>
        <w:tc>
          <w:tcPr>
            <w:tcW w:w="494" w:type="pct"/>
            <w:tcBorders>
              <w:top w:val="nil"/>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w:t>
            </w:r>
          </w:p>
        </w:tc>
        <w:tc>
          <w:tcPr>
            <w:tcW w:w="494" w:type="pct"/>
            <w:tcBorders>
              <w:top w:val="nil"/>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115 352</w:t>
            </w:r>
          </w:p>
        </w:tc>
        <w:tc>
          <w:tcPr>
            <w:tcW w:w="490" w:type="pct"/>
            <w:tcBorders>
              <w:top w:val="nil"/>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30 200</w:t>
            </w:r>
          </w:p>
        </w:tc>
      </w:tr>
    </w:tbl>
    <w:p w:rsidR="003E168C" w:rsidRPr="000E2CA7" w:rsidRDefault="003E168C" w:rsidP="002F78A4">
      <w:pPr>
        <w:rPr>
          <w:sz w:val="14"/>
        </w:rPr>
      </w:pPr>
    </w:p>
    <w:bookmarkEnd w:id="22"/>
    <w:p w:rsidR="000923F2" w:rsidRPr="000E2CA7" w:rsidRDefault="004C2171" w:rsidP="009E172B">
      <w:r w:rsidRPr="000E2CA7">
        <w:t>Čistý obrat podľa § 19 ods. 1 písm. a) druhého bodu zákona</w:t>
      </w:r>
    </w:p>
    <w:p w:rsidR="00BA64AD" w:rsidRPr="000E2CA7" w:rsidRDefault="00BA64AD" w:rsidP="009E172B">
      <w:bookmarkStart w:id="24" w:name="T_net_turnover"/>
      <w:r w:rsidRPr="000E2CA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181"/>
        <w:gridCol w:w="1516"/>
        <w:gridCol w:w="1514"/>
      </w:tblGrid>
      <w:tr w:rsidR="00BA64AD" w:rsidRPr="00BA64AD" w:rsidTr="00BA64AD">
        <w:trPr>
          <w:trHeight w:val="195"/>
        </w:trPr>
        <w:tc>
          <w:tcPr>
            <w:tcW w:w="3355" w:type="pct"/>
            <w:tcBorders>
              <w:top w:val="single" w:sz="8" w:space="0" w:color="auto"/>
              <w:left w:val="nil"/>
              <w:bottom w:val="nil"/>
              <w:right w:val="nil"/>
            </w:tcBorders>
            <w:shd w:val="clear" w:color="auto" w:fill="auto"/>
            <w:vAlign w:val="center"/>
            <w:hideMark/>
          </w:tcPr>
          <w:p w:rsidR="00BA64AD" w:rsidRPr="00BA64AD" w:rsidRDefault="00BA64AD" w:rsidP="00BA64AD">
            <w:pPr>
              <w:rPr>
                <w:rFonts w:cs="Arial"/>
                <w:b/>
                <w:bCs/>
                <w:i/>
                <w:iCs/>
                <w:sz w:val="15"/>
                <w:szCs w:val="15"/>
              </w:rPr>
            </w:pPr>
            <w:bookmarkStart w:id="25" w:name="RANGE!B9:D16"/>
            <w:r w:rsidRPr="00BA64AD">
              <w:rPr>
                <w:rFonts w:cs="Arial"/>
                <w:b/>
                <w:bCs/>
                <w:i/>
                <w:iCs/>
                <w:sz w:val="15"/>
                <w:szCs w:val="15"/>
              </w:rPr>
              <w:t>Položka</w:t>
            </w:r>
            <w:bookmarkEnd w:id="25"/>
          </w:p>
        </w:tc>
        <w:tc>
          <w:tcPr>
            <w:tcW w:w="823"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2014</w:t>
            </w:r>
          </w:p>
        </w:tc>
        <w:tc>
          <w:tcPr>
            <w:tcW w:w="823"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2013</w:t>
            </w:r>
          </w:p>
        </w:tc>
      </w:tr>
      <w:tr w:rsidR="00BA64AD" w:rsidRPr="00BA64AD" w:rsidTr="00BA64AD">
        <w:trPr>
          <w:trHeight w:val="195"/>
        </w:trPr>
        <w:tc>
          <w:tcPr>
            <w:tcW w:w="3355" w:type="pct"/>
            <w:tcBorders>
              <w:top w:val="single" w:sz="4" w:space="0" w:color="auto"/>
              <w:left w:val="nil"/>
              <w:bottom w:val="nil"/>
              <w:right w:val="nil"/>
            </w:tcBorders>
            <w:shd w:val="clear" w:color="auto" w:fill="auto"/>
            <w:vAlign w:val="center"/>
            <w:hideMark/>
          </w:tcPr>
          <w:p w:rsidR="00BA64AD" w:rsidRPr="00BA64AD" w:rsidRDefault="00BA64AD" w:rsidP="00BA64AD">
            <w:pPr>
              <w:rPr>
                <w:rFonts w:cs="Arial"/>
                <w:sz w:val="15"/>
                <w:szCs w:val="15"/>
              </w:rPr>
            </w:pPr>
            <w:r w:rsidRPr="00BA64AD">
              <w:rPr>
                <w:rFonts w:cs="Arial"/>
                <w:sz w:val="15"/>
                <w:szCs w:val="15"/>
              </w:rPr>
              <w:t>Tržby za vlastné výrobky</w:t>
            </w:r>
          </w:p>
        </w:tc>
        <w:tc>
          <w:tcPr>
            <w:tcW w:w="823" w:type="pct"/>
            <w:tcBorders>
              <w:top w:val="single"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823" w:type="pct"/>
            <w:tcBorders>
              <w:top w:val="single"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355" w:type="pct"/>
            <w:tcBorders>
              <w:top w:val="nil"/>
              <w:left w:val="nil"/>
              <w:bottom w:val="nil"/>
              <w:right w:val="nil"/>
            </w:tcBorders>
            <w:shd w:val="clear" w:color="auto" w:fill="auto"/>
            <w:vAlign w:val="center"/>
            <w:hideMark/>
          </w:tcPr>
          <w:p w:rsidR="00BA64AD" w:rsidRPr="00BA64AD" w:rsidRDefault="00BA64AD" w:rsidP="00BA64AD">
            <w:pPr>
              <w:rPr>
                <w:rFonts w:cs="Arial"/>
                <w:sz w:val="15"/>
                <w:szCs w:val="15"/>
              </w:rPr>
            </w:pPr>
            <w:r w:rsidRPr="00BA64AD">
              <w:rPr>
                <w:rFonts w:cs="Arial"/>
                <w:sz w:val="15"/>
                <w:szCs w:val="15"/>
              </w:rPr>
              <w:t>Tržby z predaja služieb</w:t>
            </w:r>
          </w:p>
        </w:tc>
        <w:tc>
          <w:tcPr>
            <w:tcW w:w="823"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115 352 </w:t>
            </w:r>
          </w:p>
        </w:tc>
        <w:tc>
          <w:tcPr>
            <w:tcW w:w="823"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30 200 </w:t>
            </w:r>
          </w:p>
        </w:tc>
      </w:tr>
      <w:tr w:rsidR="00BA64AD" w:rsidRPr="00BA64AD" w:rsidTr="00BA64AD">
        <w:trPr>
          <w:trHeight w:val="195"/>
        </w:trPr>
        <w:tc>
          <w:tcPr>
            <w:tcW w:w="3355" w:type="pct"/>
            <w:tcBorders>
              <w:top w:val="nil"/>
              <w:left w:val="nil"/>
              <w:bottom w:val="nil"/>
              <w:right w:val="nil"/>
            </w:tcBorders>
            <w:shd w:val="clear" w:color="auto" w:fill="auto"/>
            <w:vAlign w:val="center"/>
            <w:hideMark/>
          </w:tcPr>
          <w:p w:rsidR="00BA64AD" w:rsidRPr="00BA64AD" w:rsidRDefault="00BA64AD" w:rsidP="00BA64AD">
            <w:pPr>
              <w:rPr>
                <w:rFonts w:cs="Arial"/>
                <w:sz w:val="15"/>
                <w:szCs w:val="15"/>
              </w:rPr>
            </w:pPr>
            <w:r w:rsidRPr="00BA64AD">
              <w:rPr>
                <w:rFonts w:cs="Arial"/>
                <w:sz w:val="15"/>
                <w:szCs w:val="15"/>
              </w:rPr>
              <w:t>Tržby za tovar</w:t>
            </w:r>
          </w:p>
        </w:tc>
        <w:tc>
          <w:tcPr>
            <w:tcW w:w="823"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823"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355" w:type="pct"/>
            <w:tcBorders>
              <w:top w:val="nil"/>
              <w:left w:val="nil"/>
              <w:bottom w:val="nil"/>
              <w:right w:val="nil"/>
            </w:tcBorders>
            <w:shd w:val="clear" w:color="auto" w:fill="auto"/>
            <w:vAlign w:val="center"/>
            <w:hideMark/>
          </w:tcPr>
          <w:p w:rsidR="00BA64AD" w:rsidRPr="00BA64AD" w:rsidRDefault="00BA64AD" w:rsidP="00BA64AD">
            <w:pPr>
              <w:rPr>
                <w:rFonts w:cs="Arial"/>
                <w:sz w:val="15"/>
                <w:szCs w:val="15"/>
              </w:rPr>
            </w:pPr>
            <w:r w:rsidRPr="00BA64AD">
              <w:rPr>
                <w:rFonts w:cs="Arial"/>
                <w:sz w:val="15"/>
                <w:szCs w:val="15"/>
              </w:rPr>
              <w:t>Výnosy zo zákazky</w:t>
            </w:r>
          </w:p>
        </w:tc>
        <w:tc>
          <w:tcPr>
            <w:tcW w:w="823"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823"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355" w:type="pct"/>
            <w:tcBorders>
              <w:top w:val="nil"/>
              <w:left w:val="nil"/>
              <w:bottom w:val="nil"/>
              <w:right w:val="nil"/>
            </w:tcBorders>
            <w:shd w:val="clear" w:color="auto" w:fill="auto"/>
            <w:vAlign w:val="center"/>
            <w:hideMark/>
          </w:tcPr>
          <w:p w:rsidR="00BA64AD" w:rsidRPr="00BA64AD" w:rsidRDefault="00BA64AD" w:rsidP="00BA64AD">
            <w:pPr>
              <w:rPr>
                <w:rFonts w:cs="Arial"/>
                <w:sz w:val="15"/>
                <w:szCs w:val="15"/>
              </w:rPr>
            </w:pPr>
            <w:r w:rsidRPr="00BA64AD">
              <w:rPr>
                <w:rFonts w:cs="Arial"/>
                <w:sz w:val="15"/>
                <w:szCs w:val="15"/>
              </w:rPr>
              <w:t>Výnosy z nehnuteľnosti na predaj</w:t>
            </w:r>
          </w:p>
        </w:tc>
        <w:tc>
          <w:tcPr>
            <w:tcW w:w="823"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823"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355" w:type="pct"/>
            <w:tcBorders>
              <w:top w:val="nil"/>
              <w:left w:val="nil"/>
              <w:bottom w:val="nil"/>
              <w:right w:val="nil"/>
            </w:tcBorders>
            <w:shd w:val="clear" w:color="auto" w:fill="auto"/>
            <w:vAlign w:val="center"/>
            <w:hideMark/>
          </w:tcPr>
          <w:p w:rsidR="00BA64AD" w:rsidRPr="00BA64AD" w:rsidRDefault="00BA64AD" w:rsidP="00BA64AD">
            <w:pPr>
              <w:rPr>
                <w:rFonts w:cs="Arial"/>
                <w:sz w:val="15"/>
                <w:szCs w:val="15"/>
              </w:rPr>
            </w:pPr>
            <w:r w:rsidRPr="00BA64AD">
              <w:rPr>
                <w:rFonts w:cs="Arial"/>
                <w:sz w:val="15"/>
                <w:szCs w:val="15"/>
              </w:rPr>
              <w:t>Iné výnosy súvisiace s bežnou činnosťou</w:t>
            </w:r>
          </w:p>
        </w:tc>
        <w:tc>
          <w:tcPr>
            <w:tcW w:w="823" w:type="pct"/>
            <w:tcBorders>
              <w:top w:val="nil"/>
              <w:left w:val="nil"/>
              <w:bottom w:val="single" w:sz="4" w:space="0" w:color="auto"/>
              <w:right w:val="nil"/>
            </w:tcBorders>
            <w:shd w:val="clear" w:color="auto" w:fill="auto"/>
            <w:vAlign w:val="center"/>
            <w:hideMark/>
          </w:tcPr>
          <w:p w:rsidR="00BA64AD" w:rsidRPr="00BA64AD" w:rsidRDefault="00BA64AD" w:rsidP="00BA64AD">
            <w:pPr>
              <w:jc w:val="right"/>
              <w:rPr>
                <w:rFonts w:cs="Arial"/>
                <w:sz w:val="15"/>
                <w:szCs w:val="15"/>
              </w:rPr>
            </w:pPr>
            <w:r w:rsidRPr="000E2CA7">
              <w:rPr>
                <w:rFonts w:cs="Arial"/>
                <w:sz w:val="15"/>
                <w:szCs w:val="15"/>
              </w:rPr>
              <w:t>-</w:t>
            </w:r>
          </w:p>
        </w:tc>
        <w:tc>
          <w:tcPr>
            <w:tcW w:w="823" w:type="pct"/>
            <w:tcBorders>
              <w:top w:val="nil"/>
              <w:left w:val="nil"/>
              <w:bottom w:val="single" w:sz="4" w:space="0" w:color="auto"/>
              <w:right w:val="nil"/>
            </w:tcBorders>
            <w:shd w:val="clear" w:color="auto" w:fill="auto"/>
            <w:vAlign w:val="center"/>
            <w:hideMark/>
          </w:tcPr>
          <w:p w:rsidR="00BA64AD" w:rsidRPr="00BA64AD" w:rsidRDefault="00BA64AD" w:rsidP="00BA64AD">
            <w:pPr>
              <w:jc w:val="right"/>
              <w:rPr>
                <w:rFonts w:cs="Arial"/>
                <w:sz w:val="15"/>
                <w:szCs w:val="15"/>
              </w:rPr>
            </w:pPr>
            <w:r w:rsidRPr="000E2CA7">
              <w:rPr>
                <w:rFonts w:cs="Arial"/>
                <w:sz w:val="15"/>
                <w:szCs w:val="15"/>
              </w:rPr>
              <w:t>-</w:t>
            </w:r>
          </w:p>
        </w:tc>
      </w:tr>
      <w:tr w:rsidR="00BA64AD" w:rsidRPr="00BA64AD" w:rsidTr="00BA64AD">
        <w:trPr>
          <w:trHeight w:val="210"/>
        </w:trPr>
        <w:tc>
          <w:tcPr>
            <w:tcW w:w="3355" w:type="pct"/>
            <w:tcBorders>
              <w:top w:val="nil"/>
              <w:left w:val="nil"/>
              <w:bottom w:val="single" w:sz="8" w:space="0" w:color="auto"/>
              <w:right w:val="nil"/>
            </w:tcBorders>
            <w:shd w:val="clear" w:color="auto" w:fill="auto"/>
            <w:vAlign w:val="center"/>
            <w:hideMark/>
          </w:tcPr>
          <w:p w:rsidR="00BA64AD" w:rsidRPr="00BA64AD" w:rsidRDefault="00BA64AD" w:rsidP="00BA64AD">
            <w:pPr>
              <w:rPr>
                <w:rFonts w:cs="Arial"/>
                <w:b/>
                <w:bCs/>
                <w:sz w:val="15"/>
                <w:szCs w:val="15"/>
              </w:rPr>
            </w:pPr>
            <w:r w:rsidRPr="00BA64AD">
              <w:rPr>
                <w:rFonts w:cs="Arial"/>
                <w:b/>
                <w:bCs/>
                <w:sz w:val="15"/>
                <w:szCs w:val="15"/>
              </w:rPr>
              <w:t>Čistý obrat celkom</w:t>
            </w:r>
          </w:p>
        </w:tc>
        <w:tc>
          <w:tcPr>
            <w:tcW w:w="823" w:type="pct"/>
            <w:tcBorders>
              <w:top w:val="nil"/>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xml:space="preserve">115 352 </w:t>
            </w:r>
          </w:p>
        </w:tc>
        <w:tc>
          <w:tcPr>
            <w:tcW w:w="823" w:type="pct"/>
            <w:tcBorders>
              <w:top w:val="nil"/>
              <w:left w:val="nil"/>
              <w:bottom w:val="single" w:sz="8"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xml:space="preserve">30 200 </w:t>
            </w:r>
          </w:p>
        </w:tc>
      </w:tr>
    </w:tbl>
    <w:p w:rsidR="000923F2" w:rsidRPr="000E2CA7" w:rsidRDefault="000923F2" w:rsidP="009E172B"/>
    <w:bookmarkEnd w:id="24"/>
    <w:p w:rsidR="00BA64AD" w:rsidRPr="000E2CA7" w:rsidRDefault="00BA64AD" w:rsidP="00BA64AD">
      <w:pPr>
        <w:pStyle w:val="Heading3"/>
      </w:pPr>
      <w:r w:rsidRPr="000E2CA7">
        <w:t>Výnosy pri aktivácii nákladov a výnosy z hospodárskej činnosti, finančné výnosy a výnosy výnimočného rozsahu alebo výskytu</w:t>
      </w:r>
    </w:p>
    <w:p w:rsidR="00BA64AD" w:rsidRPr="000E2CA7" w:rsidRDefault="00BA64AD" w:rsidP="00BA64AD">
      <w:pPr>
        <w:rPr>
          <w:snapToGrid w:val="0"/>
        </w:rPr>
      </w:pPr>
      <w:bookmarkStart w:id="26" w:name="T_revenues_other"/>
      <w:r w:rsidRPr="000E2CA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307"/>
        <w:gridCol w:w="1417"/>
        <w:gridCol w:w="1487"/>
      </w:tblGrid>
      <w:tr w:rsidR="00BA64AD" w:rsidRPr="00BA64AD" w:rsidTr="00BA64AD">
        <w:trPr>
          <w:trHeight w:val="195"/>
        </w:trPr>
        <w:tc>
          <w:tcPr>
            <w:tcW w:w="3424" w:type="pct"/>
            <w:tcBorders>
              <w:top w:val="single" w:sz="8" w:space="0" w:color="auto"/>
              <w:left w:val="nil"/>
              <w:bottom w:val="nil"/>
              <w:right w:val="nil"/>
            </w:tcBorders>
            <w:shd w:val="clear" w:color="auto" w:fill="auto"/>
            <w:vAlign w:val="center"/>
            <w:hideMark/>
          </w:tcPr>
          <w:p w:rsidR="00BA64AD" w:rsidRPr="00BA64AD" w:rsidRDefault="00BA64AD" w:rsidP="00BA64AD">
            <w:pPr>
              <w:jc w:val="left"/>
              <w:rPr>
                <w:rFonts w:cs="Arial"/>
                <w:b/>
                <w:bCs/>
                <w:i/>
                <w:iCs/>
                <w:sz w:val="15"/>
                <w:szCs w:val="15"/>
              </w:rPr>
            </w:pPr>
            <w:bookmarkStart w:id="27" w:name="RANGE!B9:D25"/>
            <w:r w:rsidRPr="00BA64AD">
              <w:rPr>
                <w:rFonts w:cs="Arial"/>
                <w:b/>
                <w:bCs/>
                <w:i/>
                <w:iCs/>
                <w:sz w:val="15"/>
                <w:szCs w:val="15"/>
              </w:rPr>
              <w:t>Položka</w:t>
            </w:r>
            <w:bookmarkEnd w:id="27"/>
          </w:p>
        </w:tc>
        <w:tc>
          <w:tcPr>
            <w:tcW w:w="769"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2014</w:t>
            </w:r>
          </w:p>
        </w:tc>
        <w:tc>
          <w:tcPr>
            <w:tcW w:w="807"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2013</w:t>
            </w:r>
          </w:p>
        </w:tc>
      </w:tr>
      <w:tr w:rsidR="00BA64AD" w:rsidRPr="00BA64AD" w:rsidTr="00BA64AD">
        <w:trPr>
          <w:trHeight w:val="195"/>
        </w:trPr>
        <w:tc>
          <w:tcPr>
            <w:tcW w:w="3424" w:type="pct"/>
            <w:tcBorders>
              <w:top w:val="single" w:sz="4" w:space="0" w:color="auto"/>
              <w:left w:val="nil"/>
              <w:bottom w:val="nil"/>
              <w:right w:val="nil"/>
            </w:tcBorders>
            <w:shd w:val="clear" w:color="auto" w:fill="auto"/>
            <w:vAlign w:val="center"/>
            <w:hideMark/>
          </w:tcPr>
          <w:p w:rsidR="00BA64AD" w:rsidRPr="00BA64AD" w:rsidRDefault="00BA64AD" w:rsidP="00BA64AD">
            <w:pPr>
              <w:jc w:val="left"/>
              <w:rPr>
                <w:rFonts w:cs="Arial"/>
                <w:sz w:val="15"/>
                <w:szCs w:val="15"/>
              </w:rPr>
            </w:pPr>
            <w:r w:rsidRPr="00BA64AD">
              <w:rPr>
                <w:rFonts w:cs="Arial"/>
                <w:sz w:val="15"/>
                <w:szCs w:val="15"/>
              </w:rPr>
              <w:t>Významné položky pri aktivácii nákladov</w:t>
            </w:r>
          </w:p>
        </w:tc>
        <w:tc>
          <w:tcPr>
            <w:tcW w:w="769" w:type="pct"/>
            <w:tcBorders>
              <w:top w:val="single"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807" w:type="pct"/>
            <w:tcBorders>
              <w:top w:val="single"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424" w:type="pct"/>
            <w:tcBorders>
              <w:top w:val="dotted" w:sz="4" w:space="0" w:color="auto"/>
              <w:left w:val="nil"/>
              <w:bottom w:val="nil"/>
              <w:right w:val="nil"/>
            </w:tcBorders>
            <w:shd w:val="clear" w:color="auto" w:fill="auto"/>
            <w:vAlign w:val="center"/>
            <w:hideMark/>
          </w:tcPr>
          <w:p w:rsidR="00BA64AD" w:rsidRPr="00BA64AD" w:rsidRDefault="00BA64AD" w:rsidP="00BA64AD">
            <w:pPr>
              <w:jc w:val="left"/>
              <w:rPr>
                <w:rFonts w:cs="Arial"/>
                <w:sz w:val="15"/>
                <w:szCs w:val="15"/>
              </w:rPr>
            </w:pPr>
            <w:r w:rsidRPr="00BA64AD">
              <w:rPr>
                <w:rFonts w:cs="Arial"/>
                <w:sz w:val="15"/>
                <w:szCs w:val="15"/>
              </w:rPr>
              <w:t>Ostatné významné položky výnosov z hospodárskej činnosti, z toho:</w:t>
            </w:r>
          </w:p>
        </w:tc>
        <w:tc>
          <w:tcPr>
            <w:tcW w:w="769" w:type="pct"/>
            <w:tcBorders>
              <w:top w:val="dotted"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807" w:type="pct"/>
            <w:tcBorders>
              <w:top w:val="dotted"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424" w:type="pct"/>
            <w:tcBorders>
              <w:top w:val="dotted" w:sz="4" w:space="0" w:color="auto"/>
              <w:left w:val="nil"/>
              <w:bottom w:val="nil"/>
              <w:right w:val="nil"/>
            </w:tcBorders>
            <w:shd w:val="clear" w:color="auto" w:fill="auto"/>
            <w:vAlign w:val="center"/>
            <w:hideMark/>
          </w:tcPr>
          <w:p w:rsidR="00BA64AD" w:rsidRPr="00BA64AD" w:rsidRDefault="00BA64AD" w:rsidP="00BA64AD">
            <w:pPr>
              <w:jc w:val="left"/>
              <w:rPr>
                <w:rFonts w:cs="Arial"/>
                <w:sz w:val="15"/>
                <w:szCs w:val="15"/>
              </w:rPr>
            </w:pPr>
            <w:r w:rsidRPr="00BA64AD">
              <w:rPr>
                <w:rFonts w:cs="Arial"/>
                <w:sz w:val="15"/>
                <w:szCs w:val="15"/>
              </w:rPr>
              <w:t>Finančné výnosy, z toho:</w:t>
            </w:r>
          </w:p>
        </w:tc>
        <w:tc>
          <w:tcPr>
            <w:tcW w:w="769" w:type="pct"/>
            <w:tcBorders>
              <w:top w:val="dotted" w:sz="4" w:space="0" w:color="auto"/>
              <w:left w:val="nil"/>
              <w:bottom w:val="nil"/>
              <w:right w:val="nil"/>
            </w:tcBorders>
            <w:shd w:val="clear" w:color="auto" w:fill="auto"/>
            <w:vAlign w:val="center"/>
            <w:hideMark/>
          </w:tcPr>
          <w:p w:rsidR="00BA64AD" w:rsidRPr="00BA64AD" w:rsidRDefault="00BA64AD" w:rsidP="00BA64AD">
            <w:pPr>
              <w:jc w:val="right"/>
              <w:rPr>
                <w:rFonts w:cs="Arial"/>
                <w:i/>
                <w:iCs/>
                <w:sz w:val="15"/>
                <w:szCs w:val="15"/>
              </w:rPr>
            </w:pPr>
            <w:r w:rsidRPr="00BA64AD">
              <w:rPr>
                <w:rFonts w:cs="Arial"/>
                <w:i/>
                <w:iCs/>
                <w:sz w:val="15"/>
                <w:szCs w:val="15"/>
              </w:rPr>
              <w:t xml:space="preserve">332 </w:t>
            </w:r>
          </w:p>
        </w:tc>
        <w:tc>
          <w:tcPr>
            <w:tcW w:w="807" w:type="pct"/>
            <w:tcBorders>
              <w:top w:val="dotted" w:sz="4" w:space="0" w:color="auto"/>
              <w:left w:val="nil"/>
              <w:bottom w:val="nil"/>
              <w:right w:val="nil"/>
            </w:tcBorders>
            <w:shd w:val="clear" w:color="auto" w:fill="auto"/>
            <w:vAlign w:val="center"/>
            <w:hideMark/>
          </w:tcPr>
          <w:p w:rsidR="00BA64AD" w:rsidRPr="00BA64AD" w:rsidRDefault="00BA64AD" w:rsidP="00BA64AD">
            <w:pPr>
              <w:jc w:val="right"/>
              <w:rPr>
                <w:rFonts w:cs="Arial"/>
                <w:i/>
                <w:iCs/>
                <w:sz w:val="15"/>
                <w:szCs w:val="15"/>
              </w:rPr>
            </w:pPr>
            <w:r w:rsidRPr="00BA64AD">
              <w:rPr>
                <w:rFonts w:cs="Arial"/>
                <w:i/>
                <w:iCs/>
                <w:sz w:val="15"/>
                <w:szCs w:val="15"/>
              </w:rPr>
              <w:t xml:space="preserve">- </w:t>
            </w:r>
          </w:p>
        </w:tc>
      </w:tr>
      <w:tr w:rsidR="00BA64AD" w:rsidRPr="00BA64AD" w:rsidTr="00BA64AD">
        <w:trPr>
          <w:trHeight w:val="195"/>
        </w:trPr>
        <w:tc>
          <w:tcPr>
            <w:tcW w:w="3424" w:type="pct"/>
            <w:tcBorders>
              <w:top w:val="nil"/>
              <w:left w:val="nil"/>
              <w:bottom w:val="nil"/>
              <w:right w:val="nil"/>
            </w:tcBorders>
            <w:shd w:val="clear" w:color="auto" w:fill="auto"/>
            <w:vAlign w:val="center"/>
            <w:hideMark/>
          </w:tcPr>
          <w:p w:rsidR="00BA64AD" w:rsidRPr="00BA64AD" w:rsidRDefault="00BA64AD" w:rsidP="00BA64AD">
            <w:pPr>
              <w:ind w:firstLineChars="100" w:firstLine="150"/>
              <w:jc w:val="left"/>
              <w:rPr>
                <w:rFonts w:cs="Arial"/>
                <w:i/>
                <w:iCs/>
                <w:sz w:val="15"/>
                <w:szCs w:val="15"/>
              </w:rPr>
            </w:pPr>
            <w:r w:rsidRPr="00BA64AD">
              <w:rPr>
                <w:rFonts w:cs="Arial"/>
                <w:i/>
                <w:iCs/>
                <w:sz w:val="15"/>
                <w:szCs w:val="15"/>
              </w:rPr>
              <w:t>Kurzové zisky, z toho:</w:t>
            </w:r>
          </w:p>
        </w:tc>
        <w:tc>
          <w:tcPr>
            <w:tcW w:w="769"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332 </w:t>
            </w:r>
          </w:p>
        </w:tc>
        <w:tc>
          <w:tcPr>
            <w:tcW w:w="807"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424" w:type="pct"/>
            <w:tcBorders>
              <w:top w:val="nil"/>
              <w:left w:val="nil"/>
              <w:bottom w:val="nil"/>
              <w:right w:val="nil"/>
            </w:tcBorders>
            <w:shd w:val="clear" w:color="auto" w:fill="auto"/>
            <w:vAlign w:val="center"/>
            <w:hideMark/>
          </w:tcPr>
          <w:p w:rsidR="00BA64AD" w:rsidRPr="00BA64AD" w:rsidRDefault="00BA64AD" w:rsidP="00BA64AD">
            <w:pPr>
              <w:ind w:firstLineChars="200" w:firstLine="300"/>
              <w:jc w:val="left"/>
              <w:rPr>
                <w:rFonts w:cs="Arial"/>
                <w:i/>
                <w:iCs/>
                <w:sz w:val="15"/>
                <w:szCs w:val="15"/>
              </w:rPr>
            </w:pPr>
            <w:r w:rsidRPr="00BA64AD">
              <w:rPr>
                <w:rFonts w:cs="Arial"/>
                <w:i/>
                <w:iCs/>
                <w:sz w:val="15"/>
                <w:szCs w:val="15"/>
              </w:rPr>
              <w:t>kurzové zisky ku dňu, ku ktorému sa zostavuje účtovná závierka</w:t>
            </w:r>
          </w:p>
        </w:tc>
        <w:tc>
          <w:tcPr>
            <w:tcW w:w="769"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332 </w:t>
            </w:r>
          </w:p>
        </w:tc>
        <w:tc>
          <w:tcPr>
            <w:tcW w:w="807"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424" w:type="pct"/>
            <w:tcBorders>
              <w:top w:val="nil"/>
              <w:left w:val="nil"/>
              <w:bottom w:val="dotted" w:sz="4" w:space="0" w:color="auto"/>
              <w:right w:val="nil"/>
            </w:tcBorders>
            <w:shd w:val="clear" w:color="auto" w:fill="auto"/>
            <w:vAlign w:val="center"/>
            <w:hideMark/>
          </w:tcPr>
          <w:p w:rsidR="00BA64AD" w:rsidRPr="00BA64AD" w:rsidRDefault="00BA64AD" w:rsidP="00BA64AD">
            <w:pPr>
              <w:ind w:firstLineChars="100" w:firstLine="150"/>
              <w:jc w:val="left"/>
              <w:rPr>
                <w:rFonts w:cs="Arial"/>
                <w:i/>
                <w:iCs/>
                <w:sz w:val="15"/>
                <w:szCs w:val="15"/>
              </w:rPr>
            </w:pPr>
            <w:r w:rsidRPr="00BA64AD">
              <w:rPr>
                <w:rFonts w:cs="Arial"/>
                <w:i/>
                <w:iCs/>
                <w:sz w:val="15"/>
                <w:szCs w:val="15"/>
              </w:rPr>
              <w:t>Ostatné významné položky finančných výnosov, z toho:</w:t>
            </w:r>
          </w:p>
        </w:tc>
        <w:tc>
          <w:tcPr>
            <w:tcW w:w="769" w:type="pct"/>
            <w:tcBorders>
              <w:top w:val="nil"/>
              <w:left w:val="nil"/>
              <w:bottom w:val="dotted" w:sz="4" w:space="0" w:color="auto"/>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807" w:type="pct"/>
            <w:tcBorders>
              <w:top w:val="nil"/>
              <w:left w:val="nil"/>
              <w:bottom w:val="dotted" w:sz="4" w:space="0" w:color="auto"/>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424" w:type="pct"/>
            <w:tcBorders>
              <w:top w:val="dotted" w:sz="4" w:space="0" w:color="auto"/>
              <w:left w:val="nil"/>
              <w:bottom w:val="single" w:sz="8" w:space="0" w:color="auto"/>
              <w:right w:val="nil"/>
            </w:tcBorders>
            <w:shd w:val="clear" w:color="auto" w:fill="auto"/>
            <w:vAlign w:val="center"/>
            <w:hideMark/>
          </w:tcPr>
          <w:p w:rsidR="00BA64AD" w:rsidRPr="00BA64AD" w:rsidRDefault="00BA64AD" w:rsidP="00BA64AD">
            <w:pPr>
              <w:jc w:val="left"/>
              <w:rPr>
                <w:rFonts w:cs="Arial"/>
                <w:sz w:val="15"/>
                <w:szCs w:val="15"/>
              </w:rPr>
            </w:pPr>
            <w:r w:rsidRPr="00BA64AD">
              <w:rPr>
                <w:rFonts w:cs="Arial"/>
                <w:sz w:val="15"/>
                <w:szCs w:val="15"/>
              </w:rPr>
              <w:t>Výnosy výnimočného rozsahu alebo výskytu</w:t>
            </w:r>
          </w:p>
        </w:tc>
        <w:tc>
          <w:tcPr>
            <w:tcW w:w="769" w:type="pct"/>
            <w:tcBorders>
              <w:top w:val="dotted" w:sz="4" w:space="0" w:color="auto"/>
              <w:left w:val="nil"/>
              <w:bottom w:val="single" w:sz="8" w:space="0" w:color="auto"/>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807" w:type="pct"/>
            <w:tcBorders>
              <w:top w:val="dotted" w:sz="4" w:space="0" w:color="auto"/>
              <w:left w:val="nil"/>
              <w:bottom w:val="single" w:sz="8" w:space="0" w:color="auto"/>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bl>
    <w:p w:rsidR="00BA64AD" w:rsidRPr="000E2CA7" w:rsidRDefault="00BA64AD" w:rsidP="00BA64AD">
      <w:pPr>
        <w:rPr>
          <w:snapToGrid w:val="0"/>
        </w:rPr>
      </w:pPr>
    </w:p>
    <w:bookmarkEnd w:id="26"/>
    <w:p w:rsidR="00634E56" w:rsidRPr="000E2CA7" w:rsidRDefault="00634E56" w:rsidP="00634E56">
      <w:pPr>
        <w:rPr>
          <w:snapToGrid w:val="0"/>
        </w:rPr>
      </w:pPr>
    </w:p>
    <w:p w:rsidR="00BA64AD" w:rsidRPr="000E2CA7" w:rsidRDefault="00BA64AD">
      <w:pPr>
        <w:jc w:val="left"/>
        <w:rPr>
          <w:rFonts w:cs="Arial"/>
          <w:b/>
          <w:bCs/>
          <w:caps/>
          <w:kern w:val="32"/>
          <w:sz w:val="18"/>
          <w:szCs w:val="32"/>
          <w:u w:val="single"/>
        </w:rPr>
      </w:pPr>
      <w:r w:rsidRPr="000E2CA7">
        <w:br w:type="page"/>
      </w:r>
    </w:p>
    <w:p w:rsidR="001E2635" w:rsidRPr="000E2CA7" w:rsidRDefault="001E2635" w:rsidP="001E2635">
      <w:pPr>
        <w:pStyle w:val="Heading1"/>
      </w:pPr>
      <w:r w:rsidRPr="000E2CA7">
        <w:lastRenderedPageBreak/>
        <w:t>NÁKLADY</w:t>
      </w:r>
    </w:p>
    <w:p w:rsidR="001E2635" w:rsidRPr="000E2CA7" w:rsidRDefault="001E2635" w:rsidP="001E2635">
      <w:pPr>
        <w:rPr>
          <w:snapToGrid w:val="0"/>
        </w:rPr>
      </w:pPr>
    </w:p>
    <w:p w:rsidR="001E2635" w:rsidRPr="000E2CA7" w:rsidRDefault="001E2635" w:rsidP="001E2635">
      <w:pPr>
        <w:pStyle w:val="Heading2"/>
      </w:pPr>
      <w:r w:rsidRPr="000E2CA7">
        <w:t>Náklady z hospodárskej činnosti</w:t>
      </w:r>
    </w:p>
    <w:p w:rsidR="001E2635" w:rsidRPr="000E2CA7" w:rsidRDefault="001E2635" w:rsidP="001E2635">
      <w:pPr>
        <w:rPr>
          <w:snapToGrid w:val="0"/>
        </w:rPr>
      </w:pPr>
    </w:p>
    <w:p w:rsidR="00BA64AD" w:rsidRPr="000E2CA7" w:rsidRDefault="00BA64AD" w:rsidP="00BA64AD">
      <w:pPr>
        <w:pStyle w:val="Heading3"/>
      </w:pPr>
      <w:bookmarkStart w:id="28" w:name="T_costs"/>
      <w:r w:rsidRPr="000E2CA7">
        <w:t>Náklady za služby, ostatné náklady z hospodárskej činnosti, finančné náklady a náklady výnimočného rozsahu alebo výskytu</w:t>
      </w:r>
    </w:p>
    <w:p w:rsidR="00BA64AD" w:rsidRPr="000E2CA7" w:rsidRDefault="00BA64AD" w:rsidP="001E2635">
      <w:r w:rsidRPr="000E2CA7">
        <w:t xml:space="preserve"> </w:t>
      </w:r>
    </w:p>
    <w:tbl>
      <w:tblPr>
        <w:tblW w:w="5000" w:type="pct"/>
        <w:tblCellMar>
          <w:left w:w="70" w:type="dxa"/>
          <w:right w:w="70" w:type="dxa"/>
        </w:tblCellMar>
        <w:tblLook w:val="04A0" w:firstRow="1" w:lastRow="0" w:firstColumn="1" w:lastColumn="0" w:noHBand="0" w:noVBand="1"/>
      </w:tblPr>
      <w:tblGrid>
        <w:gridCol w:w="6743"/>
        <w:gridCol w:w="1234"/>
        <w:gridCol w:w="1234"/>
      </w:tblGrid>
      <w:tr w:rsidR="00BA64AD" w:rsidRPr="00BA64AD" w:rsidTr="00BA64AD">
        <w:trPr>
          <w:trHeight w:val="195"/>
        </w:trPr>
        <w:tc>
          <w:tcPr>
            <w:tcW w:w="3660" w:type="pct"/>
            <w:tcBorders>
              <w:top w:val="single" w:sz="8" w:space="0" w:color="auto"/>
              <w:left w:val="nil"/>
              <w:bottom w:val="nil"/>
              <w:right w:val="nil"/>
            </w:tcBorders>
            <w:shd w:val="clear" w:color="auto" w:fill="auto"/>
            <w:noWrap/>
            <w:vAlign w:val="center"/>
            <w:hideMark/>
          </w:tcPr>
          <w:p w:rsidR="00BA64AD" w:rsidRPr="00BA64AD" w:rsidRDefault="00BA64AD" w:rsidP="00BA64AD">
            <w:pPr>
              <w:jc w:val="left"/>
              <w:rPr>
                <w:rFonts w:cs="Arial"/>
                <w:b/>
                <w:bCs/>
                <w:i/>
                <w:iCs/>
                <w:sz w:val="15"/>
                <w:szCs w:val="15"/>
              </w:rPr>
            </w:pPr>
            <w:bookmarkStart w:id="29" w:name="RANGE!B9:D33"/>
            <w:r w:rsidRPr="00BA64AD">
              <w:rPr>
                <w:rFonts w:cs="Arial"/>
                <w:b/>
                <w:bCs/>
                <w:i/>
                <w:iCs/>
                <w:sz w:val="15"/>
                <w:szCs w:val="15"/>
              </w:rPr>
              <w:t>Položka</w:t>
            </w:r>
            <w:bookmarkEnd w:id="29"/>
          </w:p>
        </w:tc>
        <w:tc>
          <w:tcPr>
            <w:tcW w:w="670"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2014</w:t>
            </w:r>
          </w:p>
        </w:tc>
        <w:tc>
          <w:tcPr>
            <w:tcW w:w="670"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2013</w:t>
            </w:r>
          </w:p>
        </w:tc>
      </w:tr>
      <w:tr w:rsidR="00BA64AD" w:rsidRPr="00BA64AD" w:rsidTr="00BA64AD">
        <w:trPr>
          <w:trHeight w:val="195"/>
        </w:trPr>
        <w:tc>
          <w:tcPr>
            <w:tcW w:w="3660" w:type="pct"/>
            <w:tcBorders>
              <w:top w:val="single" w:sz="4" w:space="0" w:color="auto"/>
              <w:left w:val="nil"/>
              <w:bottom w:val="nil"/>
              <w:right w:val="nil"/>
            </w:tcBorders>
            <w:shd w:val="clear" w:color="auto" w:fill="auto"/>
            <w:noWrap/>
            <w:vAlign w:val="center"/>
            <w:hideMark/>
          </w:tcPr>
          <w:p w:rsidR="00BA64AD" w:rsidRPr="00BA64AD" w:rsidRDefault="00BA64AD" w:rsidP="00BA64AD">
            <w:pPr>
              <w:jc w:val="left"/>
              <w:rPr>
                <w:rFonts w:cs="Arial"/>
                <w:sz w:val="15"/>
                <w:szCs w:val="15"/>
              </w:rPr>
            </w:pPr>
            <w:r w:rsidRPr="00BA64AD">
              <w:rPr>
                <w:rFonts w:cs="Arial"/>
                <w:sz w:val="15"/>
                <w:szCs w:val="15"/>
              </w:rPr>
              <w:t>Náklady za poskytnuté služby, z toho:</w:t>
            </w:r>
          </w:p>
        </w:tc>
        <w:tc>
          <w:tcPr>
            <w:tcW w:w="670" w:type="pct"/>
            <w:tcBorders>
              <w:top w:val="single"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149 648 </w:t>
            </w:r>
          </w:p>
        </w:tc>
        <w:tc>
          <w:tcPr>
            <w:tcW w:w="670" w:type="pct"/>
            <w:tcBorders>
              <w:top w:val="single"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29 988 </w:t>
            </w:r>
          </w:p>
        </w:tc>
      </w:tr>
      <w:tr w:rsidR="00BA64AD" w:rsidRPr="00BA64AD" w:rsidTr="00BA64AD">
        <w:trPr>
          <w:trHeight w:val="195"/>
        </w:trPr>
        <w:tc>
          <w:tcPr>
            <w:tcW w:w="3660" w:type="pct"/>
            <w:tcBorders>
              <w:top w:val="nil"/>
              <w:left w:val="nil"/>
              <w:bottom w:val="nil"/>
              <w:right w:val="nil"/>
            </w:tcBorders>
            <w:shd w:val="clear" w:color="auto" w:fill="auto"/>
            <w:noWrap/>
            <w:vAlign w:val="center"/>
            <w:hideMark/>
          </w:tcPr>
          <w:p w:rsidR="00BA64AD" w:rsidRPr="00BA64AD" w:rsidRDefault="00BA64AD" w:rsidP="00BA64AD">
            <w:pPr>
              <w:ind w:left="142"/>
              <w:jc w:val="left"/>
              <w:rPr>
                <w:rFonts w:cs="Arial"/>
                <w:i/>
                <w:iCs/>
                <w:sz w:val="15"/>
                <w:szCs w:val="15"/>
              </w:rPr>
            </w:pPr>
            <w:r w:rsidRPr="00BA64AD">
              <w:rPr>
                <w:rFonts w:cs="Arial"/>
                <w:i/>
                <w:iCs/>
                <w:sz w:val="15"/>
                <w:szCs w:val="15"/>
              </w:rPr>
              <w:t>Náklady voči audítorovi, audítorskej spoločnosti, z toho:</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660" w:type="pct"/>
            <w:tcBorders>
              <w:top w:val="nil"/>
              <w:left w:val="nil"/>
              <w:bottom w:val="nil"/>
              <w:right w:val="nil"/>
            </w:tcBorders>
            <w:shd w:val="clear" w:color="auto" w:fill="auto"/>
            <w:noWrap/>
            <w:vAlign w:val="center"/>
            <w:hideMark/>
          </w:tcPr>
          <w:p w:rsidR="00BA64AD" w:rsidRPr="00BA64AD" w:rsidRDefault="00BA64AD" w:rsidP="00BA64AD">
            <w:pPr>
              <w:ind w:left="284"/>
              <w:jc w:val="left"/>
              <w:rPr>
                <w:rFonts w:cs="Arial"/>
                <w:i/>
                <w:iCs/>
                <w:sz w:val="15"/>
                <w:szCs w:val="15"/>
              </w:rPr>
            </w:pPr>
            <w:r w:rsidRPr="00BA64AD">
              <w:rPr>
                <w:rFonts w:cs="Arial"/>
                <w:i/>
                <w:iCs/>
                <w:sz w:val="15"/>
                <w:szCs w:val="15"/>
              </w:rPr>
              <w:t>náklady na overenie individuálnej účtovnej závierky</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 </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 </w:t>
            </w:r>
          </w:p>
        </w:tc>
      </w:tr>
      <w:tr w:rsidR="00BA64AD" w:rsidRPr="00BA64AD" w:rsidTr="00BA64AD">
        <w:trPr>
          <w:trHeight w:val="195"/>
        </w:trPr>
        <w:tc>
          <w:tcPr>
            <w:tcW w:w="3660" w:type="pct"/>
            <w:tcBorders>
              <w:top w:val="nil"/>
              <w:left w:val="nil"/>
              <w:bottom w:val="nil"/>
              <w:right w:val="nil"/>
            </w:tcBorders>
            <w:shd w:val="clear" w:color="auto" w:fill="auto"/>
            <w:noWrap/>
            <w:vAlign w:val="center"/>
            <w:hideMark/>
          </w:tcPr>
          <w:p w:rsidR="00BA64AD" w:rsidRPr="00BA64AD" w:rsidRDefault="00BA64AD" w:rsidP="00BA64AD">
            <w:pPr>
              <w:ind w:left="284"/>
              <w:jc w:val="left"/>
              <w:rPr>
                <w:rFonts w:cs="Arial"/>
                <w:i/>
                <w:iCs/>
                <w:sz w:val="15"/>
                <w:szCs w:val="15"/>
              </w:rPr>
            </w:pPr>
            <w:r w:rsidRPr="00BA64AD">
              <w:rPr>
                <w:rFonts w:cs="Arial"/>
                <w:i/>
                <w:iCs/>
                <w:sz w:val="15"/>
                <w:szCs w:val="15"/>
              </w:rPr>
              <w:t>iné uisťovacie audítorské služby</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 </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 </w:t>
            </w:r>
          </w:p>
        </w:tc>
      </w:tr>
      <w:tr w:rsidR="00BA64AD" w:rsidRPr="00BA64AD" w:rsidTr="00BA64AD">
        <w:trPr>
          <w:trHeight w:val="195"/>
        </w:trPr>
        <w:tc>
          <w:tcPr>
            <w:tcW w:w="3660" w:type="pct"/>
            <w:tcBorders>
              <w:top w:val="nil"/>
              <w:left w:val="nil"/>
              <w:bottom w:val="nil"/>
              <w:right w:val="nil"/>
            </w:tcBorders>
            <w:shd w:val="clear" w:color="auto" w:fill="auto"/>
            <w:noWrap/>
            <w:vAlign w:val="center"/>
            <w:hideMark/>
          </w:tcPr>
          <w:p w:rsidR="00BA64AD" w:rsidRPr="00BA64AD" w:rsidRDefault="00BA64AD" w:rsidP="00BA64AD">
            <w:pPr>
              <w:ind w:left="284"/>
              <w:jc w:val="left"/>
              <w:rPr>
                <w:rFonts w:cs="Arial"/>
                <w:i/>
                <w:iCs/>
                <w:sz w:val="15"/>
                <w:szCs w:val="15"/>
              </w:rPr>
            </w:pPr>
            <w:r w:rsidRPr="00BA64AD">
              <w:rPr>
                <w:rFonts w:cs="Arial"/>
                <w:i/>
                <w:iCs/>
                <w:sz w:val="15"/>
                <w:szCs w:val="15"/>
              </w:rPr>
              <w:t>súvisiace audítorské služby</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 </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 </w:t>
            </w:r>
          </w:p>
        </w:tc>
      </w:tr>
      <w:tr w:rsidR="00BA64AD" w:rsidRPr="00BA64AD" w:rsidTr="00BA64AD">
        <w:trPr>
          <w:trHeight w:val="195"/>
        </w:trPr>
        <w:tc>
          <w:tcPr>
            <w:tcW w:w="3660" w:type="pct"/>
            <w:tcBorders>
              <w:top w:val="nil"/>
              <w:left w:val="nil"/>
              <w:bottom w:val="nil"/>
              <w:right w:val="nil"/>
            </w:tcBorders>
            <w:shd w:val="clear" w:color="auto" w:fill="auto"/>
            <w:noWrap/>
            <w:vAlign w:val="center"/>
            <w:hideMark/>
          </w:tcPr>
          <w:p w:rsidR="00BA64AD" w:rsidRPr="00BA64AD" w:rsidRDefault="00BA64AD" w:rsidP="00BA64AD">
            <w:pPr>
              <w:ind w:left="284"/>
              <w:jc w:val="left"/>
              <w:rPr>
                <w:rFonts w:cs="Arial"/>
                <w:i/>
                <w:iCs/>
                <w:sz w:val="15"/>
                <w:szCs w:val="15"/>
              </w:rPr>
            </w:pPr>
            <w:r w:rsidRPr="00BA64AD">
              <w:rPr>
                <w:rFonts w:cs="Arial"/>
                <w:i/>
                <w:iCs/>
                <w:sz w:val="15"/>
                <w:szCs w:val="15"/>
              </w:rPr>
              <w:t>daňové poradenstvo</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 </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 </w:t>
            </w:r>
          </w:p>
        </w:tc>
      </w:tr>
      <w:tr w:rsidR="00BA64AD" w:rsidRPr="00BA64AD" w:rsidTr="00BA64AD">
        <w:trPr>
          <w:trHeight w:val="195"/>
        </w:trPr>
        <w:tc>
          <w:tcPr>
            <w:tcW w:w="3660" w:type="pct"/>
            <w:tcBorders>
              <w:top w:val="nil"/>
              <w:left w:val="nil"/>
              <w:bottom w:val="nil"/>
              <w:right w:val="nil"/>
            </w:tcBorders>
            <w:shd w:val="clear" w:color="auto" w:fill="auto"/>
            <w:noWrap/>
            <w:vAlign w:val="center"/>
            <w:hideMark/>
          </w:tcPr>
          <w:p w:rsidR="00BA64AD" w:rsidRPr="00BA64AD" w:rsidRDefault="00BA64AD" w:rsidP="00BA64AD">
            <w:pPr>
              <w:ind w:left="284"/>
              <w:jc w:val="left"/>
              <w:rPr>
                <w:rFonts w:cs="Arial"/>
                <w:i/>
                <w:iCs/>
                <w:sz w:val="15"/>
                <w:szCs w:val="15"/>
              </w:rPr>
            </w:pPr>
            <w:r w:rsidRPr="00BA64AD">
              <w:rPr>
                <w:rFonts w:cs="Arial"/>
                <w:i/>
                <w:iCs/>
                <w:sz w:val="15"/>
                <w:szCs w:val="15"/>
              </w:rPr>
              <w:t>ostatné neaudítorské služby</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 </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 </w:t>
            </w:r>
          </w:p>
        </w:tc>
      </w:tr>
      <w:tr w:rsidR="00BA64AD" w:rsidRPr="00BA64AD" w:rsidTr="00BA64AD">
        <w:trPr>
          <w:trHeight w:val="195"/>
        </w:trPr>
        <w:tc>
          <w:tcPr>
            <w:tcW w:w="3660" w:type="pct"/>
            <w:tcBorders>
              <w:top w:val="dotted" w:sz="4" w:space="0" w:color="auto"/>
              <w:left w:val="nil"/>
              <w:bottom w:val="nil"/>
              <w:right w:val="nil"/>
            </w:tcBorders>
            <w:shd w:val="clear" w:color="auto" w:fill="auto"/>
            <w:noWrap/>
            <w:vAlign w:val="center"/>
            <w:hideMark/>
          </w:tcPr>
          <w:p w:rsidR="00BA64AD" w:rsidRPr="00BA64AD" w:rsidRDefault="00BA64AD" w:rsidP="00BA64AD">
            <w:pPr>
              <w:jc w:val="left"/>
              <w:rPr>
                <w:rFonts w:cs="Arial"/>
                <w:sz w:val="15"/>
                <w:szCs w:val="15"/>
              </w:rPr>
            </w:pPr>
            <w:r w:rsidRPr="00BA64AD">
              <w:rPr>
                <w:rFonts w:cs="Arial"/>
                <w:sz w:val="15"/>
                <w:szCs w:val="15"/>
              </w:rPr>
              <w:t>Ostatné významné položky nákladov za poskytnuté služby, z toho:</w:t>
            </w:r>
          </w:p>
        </w:tc>
        <w:tc>
          <w:tcPr>
            <w:tcW w:w="670" w:type="pct"/>
            <w:tcBorders>
              <w:top w:val="dotted"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149 648 </w:t>
            </w:r>
          </w:p>
        </w:tc>
        <w:tc>
          <w:tcPr>
            <w:tcW w:w="670" w:type="pct"/>
            <w:tcBorders>
              <w:top w:val="dotted"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29 988 </w:t>
            </w:r>
          </w:p>
        </w:tc>
      </w:tr>
      <w:tr w:rsidR="00BA64AD" w:rsidRPr="00BA64AD" w:rsidTr="00BA64AD">
        <w:trPr>
          <w:trHeight w:val="195"/>
        </w:trPr>
        <w:tc>
          <w:tcPr>
            <w:tcW w:w="3660" w:type="pct"/>
            <w:tcBorders>
              <w:top w:val="nil"/>
              <w:left w:val="nil"/>
              <w:bottom w:val="nil"/>
              <w:right w:val="nil"/>
            </w:tcBorders>
            <w:shd w:val="clear" w:color="auto" w:fill="auto"/>
            <w:noWrap/>
            <w:vAlign w:val="center"/>
            <w:hideMark/>
          </w:tcPr>
          <w:p w:rsidR="00BA64AD" w:rsidRPr="00BA64AD" w:rsidRDefault="00BA64AD" w:rsidP="00BA64AD">
            <w:pPr>
              <w:ind w:left="142"/>
              <w:jc w:val="left"/>
              <w:rPr>
                <w:rFonts w:cs="Arial"/>
                <w:i/>
                <w:iCs/>
                <w:sz w:val="15"/>
                <w:szCs w:val="15"/>
              </w:rPr>
            </w:pPr>
            <w:r w:rsidRPr="000E2CA7">
              <w:rPr>
                <w:rFonts w:cs="Arial"/>
                <w:i/>
                <w:iCs/>
                <w:sz w:val="15"/>
                <w:szCs w:val="15"/>
              </w:rPr>
              <w:t>s</w:t>
            </w:r>
            <w:r w:rsidRPr="00BA64AD">
              <w:rPr>
                <w:rFonts w:cs="Arial"/>
                <w:i/>
                <w:iCs/>
                <w:sz w:val="15"/>
                <w:szCs w:val="15"/>
              </w:rPr>
              <w:t>lu</w:t>
            </w:r>
            <w:r w:rsidRPr="000E2CA7">
              <w:rPr>
                <w:rFonts w:cs="Arial"/>
                <w:i/>
                <w:iCs/>
                <w:sz w:val="15"/>
                <w:szCs w:val="15"/>
              </w:rPr>
              <w:t>ž</w:t>
            </w:r>
            <w:r w:rsidRPr="00BA64AD">
              <w:rPr>
                <w:rFonts w:cs="Arial"/>
                <w:i/>
                <w:iCs/>
                <w:sz w:val="15"/>
                <w:szCs w:val="15"/>
              </w:rPr>
              <w:t xml:space="preserve">by </w:t>
            </w:r>
            <w:r w:rsidR="000E2CA7" w:rsidRPr="00BA64AD">
              <w:rPr>
                <w:rFonts w:cs="Arial"/>
                <w:i/>
                <w:iCs/>
                <w:sz w:val="15"/>
                <w:szCs w:val="15"/>
              </w:rPr>
              <w:t>sub</w:t>
            </w:r>
            <w:r w:rsidR="000E2CA7">
              <w:rPr>
                <w:rFonts w:cs="Arial"/>
                <w:i/>
                <w:iCs/>
                <w:sz w:val="15"/>
                <w:szCs w:val="15"/>
              </w:rPr>
              <w:t>k</w:t>
            </w:r>
            <w:r w:rsidR="000E2CA7" w:rsidRPr="00BA64AD">
              <w:rPr>
                <w:rFonts w:cs="Arial"/>
                <w:i/>
                <w:iCs/>
                <w:sz w:val="15"/>
                <w:szCs w:val="15"/>
              </w:rPr>
              <w:t>ontraktora</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48 000 </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10 600 </w:t>
            </w:r>
          </w:p>
        </w:tc>
      </w:tr>
      <w:tr w:rsidR="00BA64AD" w:rsidRPr="00BA64AD" w:rsidTr="00BA64AD">
        <w:trPr>
          <w:trHeight w:val="195"/>
        </w:trPr>
        <w:tc>
          <w:tcPr>
            <w:tcW w:w="3660" w:type="pct"/>
            <w:tcBorders>
              <w:top w:val="nil"/>
              <w:left w:val="nil"/>
              <w:bottom w:val="nil"/>
              <w:right w:val="nil"/>
            </w:tcBorders>
            <w:shd w:val="clear" w:color="auto" w:fill="auto"/>
            <w:noWrap/>
            <w:vAlign w:val="center"/>
            <w:hideMark/>
          </w:tcPr>
          <w:p w:rsidR="00BA64AD" w:rsidRPr="00BA64AD" w:rsidRDefault="00BA64AD" w:rsidP="00BA64AD">
            <w:pPr>
              <w:ind w:left="142"/>
              <w:jc w:val="left"/>
              <w:rPr>
                <w:rFonts w:cs="Arial"/>
                <w:i/>
                <w:iCs/>
                <w:sz w:val="15"/>
                <w:szCs w:val="15"/>
              </w:rPr>
            </w:pPr>
            <w:r w:rsidRPr="00BA64AD">
              <w:rPr>
                <w:rFonts w:cs="Arial"/>
                <w:i/>
                <w:iCs/>
                <w:sz w:val="15"/>
                <w:szCs w:val="15"/>
              </w:rPr>
              <w:t>slu</w:t>
            </w:r>
            <w:r w:rsidRPr="000E2CA7">
              <w:rPr>
                <w:rFonts w:cs="Arial"/>
                <w:i/>
                <w:iCs/>
                <w:sz w:val="15"/>
                <w:szCs w:val="15"/>
              </w:rPr>
              <w:t>ž</w:t>
            </w:r>
            <w:r w:rsidRPr="00BA64AD">
              <w:rPr>
                <w:rFonts w:cs="Arial"/>
                <w:i/>
                <w:iCs/>
                <w:sz w:val="15"/>
                <w:szCs w:val="15"/>
              </w:rPr>
              <w:t>by skupiny Deloitte</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95 599 </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19 348 </w:t>
            </w:r>
          </w:p>
        </w:tc>
      </w:tr>
      <w:tr w:rsidR="00BA64AD" w:rsidRPr="00BA64AD" w:rsidTr="00BA64AD">
        <w:trPr>
          <w:trHeight w:val="195"/>
        </w:trPr>
        <w:tc>
          <w:tcPr>
            <w:tcW w:w="3660" w:type="pct"/>
            <w:tcBorders>
              <w:top w:val="nil"/>
              <w:left w:val="nil"/>
              <w:bottom w:val="nil"/>
              <w:right w:val="nil"/>
            </w:tcBorders>
            <w:shd w:val="clear" w:color="auto" w:fill="auto"/>
            <w:noWrap/>
            <w:vAlign w:val="center"/>
            <w:hideMark/>
          </w:tcPr>
          <w:p w:rsidR="00BA64AD" w:rsidRPr="00BA64AD" w:rsidRDefault="00BA64AD" w:rsidP="00BA64AD">
            <w:pPr>
              <w:ind w:left="142"/>
              <w:jc w:val="left"/>
              <w:rPr>
                <w:rFonts w:cs="Arial"/>
                <w:i/>
                <w:iCs/>
                <w:sz w:val="15"/>
                <w:szCs w:val="15"/>
              </w:rPr>
            </w:pPr>
            <w:r w:rsidRPr="00BA64AD">
              <w:rPr>
                <w:rFonts w:cs="Arial"/>
                <w:i/>
                <w:iCs/>
                <w:sz w:val="15"/>
                <w:szCs w:val="15"/>
              </w:rPr>
              <w:t>ostatné</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6 049 </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40 </w:t>
            </w:r>
          </w:p>
        </w:tc>
      </w:tr>
      <w:tr w:rsidR="00BA64AD" w:rsidRPr="00BA64AD" w:rsidTr="00BA64AD">
        <w:trPr>
          <w:trHeight w:val="195"/>
        </w:trPr>
        <w:tc>
          <w:tcPr>
            <w:tcW w:w="3660" w:type="pct"/>
            <w:tcBorders>
              <w:top w:val="dotted" w:sz="4" w:space="0" w:color="auto"/>
              <w:left w:val="nil"/>
              <w:bottom w:val="nil"/>
              <w:right w:val="nil"/>
            </w:tcBorders>
            <w:shd w:val="clear" w:color="auto" w:fill="auto"/>
            <w:noWrap/>
            <w:vAlign w:val="center"/>
            <w:hideMark/>
          </w:tcPr>
          <w:p w:rsidR="00BA64AD" w:rsidRPr="00BA64AD" w:rsidRDefault="00BA64AD" w:rsidP="00BA64AD">
            <w:pPr>
              <w:jc w:val="left"/>
              <w:rPr>
                <w:rFonts w:cs="Arial"/>
                <w:sz w:val="15"/>
                <w:szCs w:val="15"/>
              </w:rPr>
            </w:pPr>
            <w:r w:rsidRPr="00BA64AD">
              <w:rPr>
                <w:rFonts w:cs="Arial"/>
                <w:sz w:val="15"/>
                <w:szCs w:val="15"/>
              </w:rPr>
              <w:t>Ostatné významné položky nákladov z hospodárskej činnosti, z toho:</w:t>
            </w:r>
          </w:p>
        </w:tc>
        <w:tc>
          <w:tcPr>
            <w:tcW w:w="670" w:type="pct"/>
            <w:tcBorders>
              <w:top w:val="dotted"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33 </w:t>
            </w:r>
          </w:p>
        </w:tc>
        <w:tc>
          <w:tcPr>
            <w:tcW w:w="670" w:type="pct"/>
            <w:tcBorders>
              <w:top w:val="dotted"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660" w:type="pct"/>
            <w:tcBorders>
              <w:top w:val="nil"/>
              <w:left w:val="nil"/>
              <w:bottom w:val="nil"/>
              <w:right w:val="nil"/>
            </w:tcBorders>
            <w:shd w:val="clear" w:color="auto" w:fill="auto"/>
            <w:noWrap/>
            <w:vAlign w:val="center"/>
            <w:hideMark/>
          </w:tcPr>
          <w:p w:rsidR="00BA64AD" w:rsidRPr="00BA64AD" w:rsidRDefault="00BA64AD" w:rsidP="00BA64AD">
            <w:pPr>
              <w:ind w:left="142"/>
              <w:jc w:val="left"/>
              <w:rPr>
                <w:rFonts w:cs="Arial"/>
                <w:i/>
                <w:iCs/>
                <w:sz w:val="15"/>
                <w:szCs w:val="15"/>
              </w:rPr>
            </w:pPr>
            <w:r w:rsidRPr="00BA64AD">
              <w:rPr>
                <w:rFonts w:cs="Arial"/>
                <w:i/>
                <w:iCs/>
                <w:sz w:val="15"/>
                <w:szCs w:val="15"/>
              </w:rPr>
              <w:t>notárske poplatky</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33 </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3660" w:type="pct"/>
            <w:tcBorders>
              <w:top w:val="dotted" w:sz="4" w:space="0" w:color="auto"/>
              <w:left w:val="nil"/>
              <w:bottom w:val="nil"/>
              <w:right w:val="nil"/>
            </w:tcBorders>
            <w:shd w:val="clear" w:color="auto" w:fill="auto"/>
            <w:noWrap/>
            <w:vAlign w:val="center"/>
            <w:hideMark/>
          </w:tcPr>
          <w:p w:rsidR="00BA64AD" w:rsidRPr="00BA64AD" w:rsidRDefault="00BA64AD" w:rsidP="00BA64AD">
            <w:pPr>
              <w:jc w:val="left"/>
              <w:rPr>
                <w:rFonts w:cs="Arial"/>
                <w:sz w:val="15"/>
                <w:szCs w:val="15"/>
              </w:rPr>
            </w:pPr>
            <w:r w:rsidRPr="00BA64AD">
              <w:rPr>
                <w:rFonts w:cs="Arial"/>
                <w:sz w:val="15"/>
                <w:szCs w:val="15"/>
              </w:rPr>
              <w:t>Finančné náklady, z toho:</w:t>
            </w:r>
          </w:p>
        </w:tc>
        <w:tc>
          <w:tcPr>
            <w:tcW w:w="670" w:type="pct"/>
            <w:tcBorders>
              <w:top w:val="dotted"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257 </w:t>
            </w:r>
          </w:p>
        </w:tc>
        <w:tc>
          <w:tcPr>
            <w:tcW w:w="670" w:type="pct"/>
            <w:tcBorders>
              <w:top w:val="dotted"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321 </w:t>
            </w:r>
          </w:p>
        </w:tc>
      </w:tr>
      <w:tr w:rsidR="00BA64AD" w:rsidRPr="00BA64AD" w:rsidTr="00BA64AD">
        <w:trPr>
          <w:trHeight w:val="195"/>
        </w:trPr>
        <w:tc>
          <w:tcPr>
            <w:tcW w:w="3660" w:type="pct"/>
            <w:tcBorders>
              <w:top w:val="nil"/>
              <w:left w:val="nil"/>
              <w:bottom w:val="nil"/>
              <w:right w:val="nil"/>
            </w:tcBorders>
            <w:shd w:val="clear" w:color="auto" w:fill="auto"/>
            <w:noWrap/>
            <w:vAlign w:val="center"/>
            <w:hideMark/>
          </w:tcPr>
          <w:p w:rsidR="00BA64AD" w:rsidRPr="00BA64AD" w:rsidRDefault="00BA64AD" w:rsidP="00BA64AD">
            <w:pPr>
              <w:ind w:left="142"/>
              <w:jc w:val="left"/>
              <w:rPr>
                <w:rFonts w:cs="Arial"/>
                <w:i/>
                <w:iCs/>
                <w:sz w:val="15"/>
                <w:szCs w:val="15"/>
              </w:rPr>
            </w:pPr>
            <w:r w:rsidRPr="00BA64AD">
              <w:rPr>
                <w:rFonts w:cs="Arial"/>
                <w:i/>
                <w:iCs/>
                <w:sz w:val="15"/>
                <w:szCs w:val="15"/>
              </w:rPr>
              <w:t>Kurzové straty, z toho:</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 </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 </w:t>
            </w:r>
          </w:p>
        </w:tc>
      </w:tr>
      <w:tr w:rsidR="00BA64AD" w:rsidRPr="00BA64AD" w:rsidTr="00BA64AD">
        <w:trPr>
          <w:trHeight w:val="195"/>
        </w:trPr>
        <w:tc>
          <w:tcPr>
            <w:tcW w:w="3660" w:type="pct"/>
            <w:tcBorders>
              <w:top w:val="nil"/>
              <w:left w:val="nil"/>
              <w:bottom w:val="nil"/>
              <w:right w:val="nil"/>
            </w:tcBorders>
            <w:shd w:val="clear" w:color="auto" w:fill="auto"/>
            <w:noWrap/>
            <w:vAlign w:val="center"/>
            <w:hideMark/>
          </w:tcPr>
          <w:p w:rsidR="00BA64AD" w:rsidRPr="00BA64AD" w:rsidRDefault="00BA64AD" w:rsidP="00BA64AD">
            <w:pPr>
              <w:ind w:left="284"/>
              <w:jc w:val="left"/>
              <w:rPr>
                <w:rFonts w:cs="Arial"/>
                <w:i/>
                <w:iCs/>
                <w:sz w:val="15"/>
                <w:szCs w:val="15"/>
              </w:rPr>
            </w:pPr>
            <w:r w:rsidRPr="00BA64AD">
              <w:rPr>
                <w:rFonts w:cs="Arial"/>
                <w:i/>
                <w:iCs/>
                <w:sz w:val="15"/>
                <w:szCs w:val="15"/>
              </w:rPr>
              <w:t>kurzové straty ku dňu, ku ktorému sa zostavuje účtovná závierka</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 </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 </w:t>
            </w:r>
          </w:p>
        </w:tc>
      </w:tr>
      <w:tr w:rsidR="00BA64AD" w:rsidRPr="00BA64AD" w:rsidTr="00BA64AD">
        <w:trPr>
          <w:trHeight w:val="195"/>
        </w:trPr>
        <w:tc>
          <w:tcPr>
            <w:tcW w:w="3660" w:type="pct"/>
            <w:tcBorders>
              <w:top w:val="nil"/>
              <w:left w:val="nil"/>
              <w:bottom w:val="nil"/>
              <w:right w:val="nil"/>
            </w:tcBorders>
            <w:shd w:val="clear" w:color="auto" w:fill="auto"/>
            <w:noWrap/>
            <w:vAlign w:val="center"/>
            <w:hideMark/>
          </w:tcPr>
          <w:p w:rsidR="00BA64AD" w:rsidRPr="00BA64AD" w:rsidRDefault="00BA64AD" w:rsidP="00BA64AD">
            <w:pPr>
              <w:ind w:left="142"/>
              <w:jc w:val="left"/>
              <w:rPr>
                <w:rFonts w:cs="Arial"/>
                <w:i/>
                <w:iCs/>
                <w:sz w:val="15"/>
                <w:szCs w:val="15"/>
              </w:rPr>
            </w:pPr>
            <w:r w:rsidRPr="00BA64AD">
              <w:rPr>
                <w:rFonts w:cs="Arial"/>
                <w:i/>
                <w:iCs/>
                <w:sz w:val="15"/>
                <w:szCs w:val="15"/>
              </w:rPr>
              <w:t>Ostatné významné položky finančných nákladov, z toho:</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257 </w:t>
            </w:r>
          </w:p>
        </w:tc>
        <w:tc>
          <w:tcPr>
            <w:tcW w:w="670" w:type="pct"/>
            <w:tcBorders>
              <w:top w:val="nil"/>
              <w:left w:val="nil"/>
              <w:bottom w:val="nil"/>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321 </w:t>
            </w:r>
          </w:p>
        </w:tc>
      </w:tr>
      <w:tr w:rsidR="00BA64AD" w:rsidRPr="00BA64AD" w:rsidTr="00BA64AD">
        <w:trPr>
          <w:trHeight w:val="195"/>
        </w:trPr>
        <w:tc>
          <w:tcPr>
            <w:tcW w:w="3660" w:type="pct"/>
            <w:tcBorders>
              <w:top w:val="nil"/>
              <w:left w:val="nil"/>
              <w:bottom w:val="dotted" w:sz="4" w:space="0" w:color="auto"/>
              <w:right w:val="nil"/>
            </w:tcBorders>
            <w:shd w:val="clear" w:color="auto" w:fill="auto"/>
            <w:noWrap/>
            <w:vAlign w:val="center"/>
            <w:hideMark/>
          </w:tcPr>
          <w:p w:rsidR="00BA64AD" w:rsidRPr="00BA64AD" w:rsidRDefault="00BA64AD" w:rsidP="00BA64AD">
            <w:pPr>
              <w:ind w:left="284"/>
              <w:jc w:val="left"/>
              <w:rPr>
                <w:rFonts w:cs="Arial"/>
                <w:i/>
                <w:iCs/>
                <w:sz w:val="15"/>
                <w:szCs w:val="15"/>
              </w:rPr>
            </w:pPr>
            <w:r w:rsidRPr="00BA64AD">
              <w:rPr>
                <w:rFonts w:cs="Arial"/>
                <w:i/>
                <w:iCs/>
                <w:sz w:val="15"/>
                <w:szCs w:val="15"/>
              </w:rPr>
              <w:t>poplatky banke</w:t>
            </w:r>
          </w:p>
        </w:tc>
        <w:tc>
          <w:tcPr>
            <w:tcW w:w="670" w:type="pct"/>
            <w:tcBorders>
              <w:top w:val="nil"/>
              <w:left w:val="nil"/>
              <w:bottom w:val="dotted" w:sz="4" w:space="0" w:color="auto"/>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257 </w:t>
            </w:r>
          </w:p>
        </w:tc>
        <w:tc>
          <w:tcPr>
            <w:tcW w:w="670" w:type="pct"/>
            <w:tcBorders>
              <w:top w:val="nil"/>
              <w:left w:val="nil"/>
              <w:bottom w:val="dotted" w:sz="4" w:space="0" w:color="auto"/>
              <w:right w:val="nil"/>
            </w:tcBorders>
            <w:shd w:val="clear" w:color="auto" w:fill="auto"/>
            <w:vAlign w:val="center"/>
            <w:hideMark/>
          </w:tcPr>
          <w:p w:rsidR="00BA64AD" w:rsidRPr="00BA64AD" w:rsidRDefault="00BA64AD" w:rsidP="00BA64AD">
            <w:pPr>
              <w:jc w:val="right"/>
              <w:rPr>
                <w:rFonts w:cs="Arial"/>
                <w:i/>
                <w:sz w:val="15"/>
                <w:szCs w:val="15"/>
              </w:rPr>
            </w:pPr>
            <w:r w:rsidRPr="00BA64AD">
              <w:rPr>
                <w:rFonts w:cs="Arial"/>
                <w:i/>
                <w:sz w:val="15"/>
                <w:szCs w:val="15"/>
              </w:rPr>
              <w:t xml:space="preserve">321 </w:t>
            </w:r>
          </w:p>
        </w:tc>
      </w:tr>
      <w:tr w:rsidR="00BA64AD" w:rsidRPr="00BA64AD" w:rsidTr="00BA64AD">
        <w:trPr>
          <w:trHeight w:val="195"/>
        </w:trPr>
        <w:tc>
          <w:tcPr>
            <w:tcW w:w="3660" w:type="pct"/>
            <w:tcBorders>
              <w:top w:val="dotted" w:sz="4" w:space="0" w:color="auto"/>
              <w:left w:val="nil"/>
              <w:bottom w:val="single" w:sz="8" w:space="0" w:color="auto"/>
              <w:right w:val="nil"/>
            </w:tcBorders>
            <w:shd w:val="clear" w:color="auto" w:fill="auto"/>
            <w:noWrap/>
            <w:vAlign w:val="center"/>
            <w:hideMark/>
          </w:tcPr>
          <w:p w:rsidR="00BA64AD" w:rsidRPr="00BA64AD" w:rsidRDefault="00BA64AD" w:rsidP="00BA64AD">
            <w:pPr>
              <w:jc w:val="left"/>
              <w:rPr>
                <w:rFonts w:cs="Arial"/>
                <w:sz w:val="15"/>
                <w:szCs w:val="15"/>
              </w:rPr>
            </w:pPr>
            <w:r w:rsidRPr="00BA64AD">
              <w:rPr>
                <w:rFonts w:cs="Arial"/>
                <w:sz w:val="15"/>
                <w:szCs w:val="15"/>
              </w:rPr>
              <w:t>Náklady výnimočného rozsahu alebo výskytu, z toho:</w:t>
            </w:r>
          </w:p>
        </w:tc>
        <w:tc>
          <w:tcPr>
            <w:tcW w:w="670" w:type="pct"/>
            <w:tcBorders>
              <w:top w:val="dotted" w:sz="4" w:space="0" w:color="auto"/>
              <w:left w:val="nil"/>
              <w:bottom w:val="single" w:sz="8" w:space="0" w:color="auto"/>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670" w:type="pct"/>
            <w:tcBorders>
              <w:top w:val="dotted" w:sz="4" w:space="0" w:color="auto"/>
              <w:left w:val="nil"/>
              <w:bottom w:val="single" w:sz="8" w:space="0" w:color="auto"/>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bl>
    <w:p w:rsidR="00C700F1" w:rsidRPr="000E2CA7" w:rsidRDefault="00C700F1" w:rsidP="001E2635"/>
    <w:bookmarkEnd w:id="28"/>
    <w:p w:rsidR="00634E56" w:rsidRPr="000E2CA7" w:rsidRDefault="00634E56" w:rsidP="00634E56"/>
    <w:p w:rsidR="001E2635" w:rsidRPr="000E2CA7" w:rsidRDefault="001E2635" w:rsidP="001E2635">
      <w:pPr>
        <w:pStyle w:val="Heading1"/>
      </w:pPr>
      <w:r w:rsidRPr="000E2CA7">
        <w:t>DAŇ Z PRÍJMOV</w:t>
      </w:r>
    </w:p>
    <w:p w:rsidR="001E2635" w:rsidRPr="000E2CA7" w:rsidRDefault="001E2635" w:rsidP="001E2635">
      <w:pPr>
        <w:rPr>
          <w:snapToGrid w:val="0"/>
          <w:sz w:val="18"/>
        </w:rPr>
      </w:pPr>
    </w:p>
    <w:p w:rsidR="001E2635" w:rsidRPr="000E2CA7" w:rsidRDefault="001E2635" w:rsidP="001E2635">
      <w:pPr>
        <w:rPr>
          <w:snapToGrid w:val="0"/>
        </w:rPr>
      </w:pPr>
      <w:r w:rsidRPr="000E2CA7">
        <w:rPr>
          <w:snapToGrid w:val="0"/>
        </w:rPr>
        <w:t>Sadzba dane z príjmov pre rok 20</w:t>
      </w:r>
      <w:r w:rsidR="00EE4F99" w:rsidRPr="000E2CA7">
        <w:rPr>
          <w:snapToGrid w:val="0"/>
        </w:rPr>
        <w:t>1</w:t>
      </w:r>
      <w:r w:rsidR="00BA64AD" w:rsidRPr="000E2CA7">
        <w:rPr>
          <w:snapToGrid w:val="0"/>
        </w:rPr>
        <w:t>4</w:t>
      </w:r>
      <w:r w:rsidR="004A1F58" w:rsidRPr="000E2CA7">
        <w:rPr>
          <w:snapToGrid w:val="0"/>
        </w:rPr>
        <w:t xml:space="preserve"> </w:t>
      </w:r>
      <w:r w:rsidRPr="000E2CA7">
        <w:rPr>
          <w:snapToGrid w:val="0"/>
        </w:rPr>
        <w:t xml:space="preserve">je </w:t>
      </w:r>
      <w:r w:rsidR="00BA64AD" w:rsidRPr="000E2CA7">
        <w:rPr>
          <w:snapToGrid w:val="0"/>
        </w:rPr>
        <w:t>22</w:t>
      </w:r>
      <w:r w:rsidRPr="000E2CA7">
        <w:rPr>
          <w:snapToGrid w:val="0"/>
        </w:rPr>
        <w:t xml:space="preserve"> %.</w:t>
      </w:r>
      <w:r w:rsidR="0078504A" w:rsidRPr="000E2CA7">
        <w:rPr>
          <w:snapToGrid w:val="0"/>
        </w:rPr>
        <w:t xml:space="preserve"> Spoločnosť nemala žiadne úľavy</w:t>
      </w:r>
      <w:r w:rsidRPr="000E2CA7">
        <w:rPr>
          <w:snapToGrid w:val="0"/>
        </w:rPr>
        <w:t xml:space="preserve"> z daní.</w:t>
      </w:r>
    </w:p>
    <w:p w:rsidR="001E2635" w:rsidRPr="000E2CA7" w:rsidRDefault="001E2635" w:rsidP="001E2635">
      <w:pPr>
        <w:rPr>
          <w:snapToGrid w:val="0"/>
          <w:sz w:val="18"/>
        </w:rPr>
      </w:pPr>
    </w:p>
    <w:p w:rsidR="001E2635" w:rsidRPr="000E2CA7" w:rsidRDefault="001E2635" w:rsidP="001E2635">
      <w:pPr>
        <w:rPr>
          <w:snapToGrid w:val="0"/>
        </w:rPr>
      </w:pPr>
      <w:r w:rsidRPr="000E2CA7">
        <w:rPr>
          <w:snapToGrid w:val="0"/>
        </w:rPr>
        <w:t xml:space="preserve">Na výpočet odloženej dane bola použitá sadzba dane z príjmov právnických osôb </w:t>
      </w:r>
      <w:r w:rsidR="001B0DB0" w:rsidRPr="000E2CA7">
        <w:rPr>
          <w:snapToGrid w:val="0"/>
        </w:rPr>
        <w:t>22</w:t>
      </w:r>
      <w:r w:rsidRPr="000E2CA7">
        <w:rPr>
          <w:snapToGrid w:val="0"/>
        </w:rPr>
        <w:t xml:space="preserve"> %, ktorá je v platnosti od 1. januára </w:t>
      </w:r>
      <w:r w:rsidR="009E051F" w:rsidRPr="000E2CA7">
        <w:rPr>
          <w:snapToGrid w:val="0"/>
        </w:rPr>
        <w:t>201</w:t>
      </w:r>
      <w:r w:rsidR="001B0DB0" w:rsidRPr="000E2CA7">
        <w:rPr>
          <w:snapToGrid w:val="0"/>
        </w:rPr>
        <w:t>4</w:t>
      </w:r>
      <w:r w:rsidRPr="000E2CA7">
        <w:rPr>
          <w:snapToGrid w:val="0"/>
        </w:rPr>
        <w:t>.</w:t>
      </w:r>
    </w:p>
    <w:p w:rsidR="001343A4" w:rsidRPr="000E2CA7" w:rsidRDefault="001343A4" w:rsidP="001E2635">
      <w:pPr>
        <w:rPr>
          <w:snapToGrid w:val="0"/>
          <w:u w:val="single"/>
        </w:rPr>
      </w:pPr>
      <w:bookmarkStart w:id="30" w:name="T_income_tax"/>
      <w:r w:rsidRPr="000E2CA7">
        <w:rPr>
          <w:b/>
          <w:i/>
          <w:sz w:val="15"/>
          <w:szCs w:val="15"/>
        </w:rPr>
        <w:t xml:space="preserve"> </w:t>
      </w:r>
    </w:p>
    <w:tbl>
      <w:tblPr>
        <w:tblW w:w="5000" w:type="pct"/>
        <w:tblCellMar>
          <w:left w:w="70" w:type="dxa"/>
          <w:right w:w="70" w:type="dxa"/>
        </w:tblCellMar>
        <w:tblLook w:val="04A0" w:firstRow="1" w:lastRow="0" w:firstColumn="1" w:lastColumn="0" w:noHBand="0" w:noVBand="1"/>
      </w:tblPr>
      <w:tblGrid>
        <w:gridCol w:w="6517"/>
        <w:gridCol w:w="1347"/>
        <w:gridCol w:w="1347"/>
      </w:tblGrid>
      <w:tr w:rsidR="001343A4" w:rsidRPr="000E2CA7" w:rsidTr="001343A4">
        <w:trPr>
          <w:trHeight w:val="195"/>
        </w:trPr>
        <w:tc>
          <w:tcPr>
            <w:tcW w:w="3537" w:type="pct"/>
            <w:tcBorders>
              <w:top w:val="single" w:sz="8" w:space="0" w:color="auto"/>
              <w:left w:val="nil"/>
              <w:bottom w:val="nil"/>
              <w:right w:val="nil"/>
            </w:tcBorders>
            <w:shd w:val="clear" w:color="auto" w:fill="auto"/>
            <w:vAlign w:val="center"/>
            <w:hideMark/>
          </w:tcPr>
          <w:p w:rsidR="001343A4" w:rsidRPr="000E2CA7" w:rsidRDefault="001343A4" w:rsidP="001343A4">
            <w:pPr>
              <w:jc w:val="left"/>
              <w:rPr>
                <w:rFonts w:cs="Arial"/>
                <w:b/>
                <w:bCs/>
                <w:i/>
                <w:iCs/>
                <w:sz w:val="15"/>
                <w:szCs w:val="15"/>
              </w:rPr>
            </w:pPr>
            <w:r w:rsidRPr="000E2CA7">
              <w:rPr>
                <w:rFonts w:cs="Arial"/>
                <w:b/>
                <w:bCs/>
                <w:i/>
                <w:iCs/>
                <w:sz w:val="15"/>
                <w:szCs w:val="15"/>
              </w:rPr>
              <w:t>Položka</w:t>
            </w:r>
          </w:p>
        </w:tc>
        <w:tc>
          <w:tcPr>
            <w:tcW w:w="731" w:type="pct"/>
            <w:tcBorders>
              <w:top w:val="single" w:sz="8" w:space="0" w:color="auto"/>
              <w:left w:val="nil"/>
              <w:bottom w:val="nil"/>
              <w:right w:val="nil"/>
            </w:tcBorders>
            <w:shd w:val="clear" w:color="auto" w:fill="auto"/>
            <w:vAlign w:val="center"/>
            <w:hideMark/>
          </w:tcPr>
          <w:p w:rsidR="001343A4" w:rsidRPr="000E2CA7" w:rsidRDefault="001343A4" w:rsidP="00583EE0">
            <w:pPr>
              <w:jc w:val="center"/>
              <w:rPr>
                <w:rFonts w:cs="Arial"/>
                <w:b/>
                <w:bCs/>
                <w:i/>
                <w:iCs/>
                <w:sz w:val="15"/>
                <w:szCs w:val="15"/>
              </w:rPr>
            </w:pPr>
            <w:r w:rsidRPr="000E2CA7">
              <w:rPr>
                <w:rFonts w:cs="Arial"/>
                <w:b/>
                <w:bCs/>
                <w:i/>
                <w:iCs/>
                <w:sz w:val="15"/>
                <w:szCs w:val="15"/>
              </w:rPr>
              <w:t>201</w:t>
            </w:r>
            <w:r w:rsidR="00583EE0" w:rsidRPr="000E2CA7">
              <w:rPr>
                <w:rFonts w:cs="Arial"/>
                <w:b/>
                <w:bCs/>
                <w:i/>
                <w:iCs/>
                <w:sz w:val="15"/>
                <w:szCs w:val="15"/>
              </w:rPr>
              <w:t>4</w:t>
            </w:r>
          </w:p>
        </w:tc>
        <w:tc>
          <w:tcPr>
            <w:tcW w:w="731" w:type="pct"/>
            <w:tcBorders>
              <w:top w:val="single" w:sz="8" w:space="0" w:color="auto"/>
              <w:left w:val="nil"/>
              <w:bottom w:val="nil"/>
              <w:right w:val="nil"/>
            </w:tcBorders>
            <w:shd w:val="clear" w:color="auto" w:fill="auto"/>
            <w:vAlign w:val="center"/>
            <w:hideMark/>
          </w:tcPr>
          <w:p w:rsidR="001343A4" w:rsidRPr="000E2CA7" w:rsidRDefault="001343A4" w:rsidP="00583EE0">
            <w:pPr>
              <w:jc w:val="center"/>
              <w:rPr>
                <w:rFonts w:cs="Arial"/>
                <w:b/>
                <w:bCs/>
                <w:i/>
                <w:iCs/>
                <w:sz w:val="15"/>
                <w:szCs w:val="15"/>
              </w:rPr>
            </w:pPr>
            <w:r w:rsidRPr="000E2CA7">
              <w:rPr>
                <w:rFonts w:cs="Arial"/>
                <w:b/>
                <w:bCs/>
                <w:i/>
                <w:iCs/>
                <w:sz w:val="15"/>
                <w:szCs w:val="15"/>
              </w:rPr>
              <w:t>201</w:t>
            </w:r>
            <w:r w:rsidR="00583EE0" w:rsidRPr="000E2CA7">
              <w:rPr>
                <w:rFonts w:cs="Arial"/>
                <w:b/>
                <w:bCs/>
                <w:i/>
                <w:iCs/>
                <w:sz w:val="15"/>
                <w:szCs w:val="15"/>
              </w:rPr>
              <w:t>3</w:t>
            </w:r>
          </w:p>
        </w:tc>
      </w:tr>
      <w:tr w:rsidR="001343A4" w:rsidRPr="000E2CA7" w:rsidTr="001343A4">
        <w:trPr>
          <w:trHeight w:val="390"/>
        </w:trPr>
        <w:tc>
          <w:tcPr>
            <w:tcW w:w="3537" w:type="pct"/>
            <w:tcBorders>
              <w:top w:val="single" w:sz="4" w:space="0" w:color="auto"/>
              <w:left w:val="nil"/>
              <w:bottom w:val="dotted" w:sz="4" w:space="0" w:color="auto"/>
              <w:right w:val="nil"/>
            </w:tcBorders>
            <w:shd w:val="clear" w:color="auto" w:fill="auto"/>
            <w:vAlign w:val="center"/>
            <w:hideMark/>
          </w:tcPr>
          <w:p w:rsidR="001343A4" w:rsidRPr="000E2CA7" w:rsidRDefault="001343A4" w:rsidP="001343A4">
            <w:pPr>
              <w:jc w:val="left"/>
              <w:rPr>
                <w:rFonts w:cs="Arial"/>
                <w:sz w:val="15"/>
                <w:szCs w:val="15"/>
              </w:rPr>
            </w:pPr>
            <w:r w:rsidRPr="000E2CA7">
              <w:rPr>
                <w:rFonts w:cs="Arial"/>
                <w:sz w:val="15"/>
                <w:szCs w:val="15"/>
              </w:rPr>
              <w:t>Suma odloženej daňovej pohľadávky účtovanej ako náklad alebo výnos vyplývajúca zo zmeny sadzby dane z príjmov</w:t>
            </w:r>
          </w:p>
        </w:tc>
        <w:tc>
          <w:tcPr>
            <w:tcW w:w="731" w:type="pct"/>
            <w:tcBorders>
              <w:top w:val="single" w:sz="4" w:space="0" w:color="auto"/>
              <w:left w:val="nil"/>
              <w:bottom w:val="dotted" w:sz="4" w:space="0" w:color="auto"/>
              <w:right w:val="nil"/>
            </w:tcBorders>
            <w:shd w:val="clear" w:color="auto" w:fill="auto"/>
            <w:vAlign w:val="bottom"/>
            <w:hideMark/>
          </w:tcPr>
          <w:p w:rsidR="001343A4" w:rsidRPr="000E2CA7" w:rsidRDefault="001343A4" w:rsidP="001343A4">
            <w:pPr>
              <w:jc w:val="right"/>
              <w:rPr>
                <w:rFonts w:cs="Arial"/>
                <w:sz w:val="15"/>
                <w:szCs w:val="15"/>
              </w:rPr>
            </w:pPr>
            <w:r w:rsidRPr="000E2CA7">
              <w:rPr>
                <w:rFonts w:cs="Arial"/>
                <w:sz w:val="15"/>
                <w:szCs w:val="15"/>
              </w:rPr>
              <w:t xml:space="preserve">- </w:t>
            </w:r>
          </w:p>
        </w:tc>
        <w:tc>
          <w:tcPr>
            <w:tcW w:w="731" w:type="pct"/>
            <w:tcBorders>
              <w:top w:val="single" w:sz="4" w:space="0" w:color="auto"/>
              <w:left w:val="nil"/>
              <w:bottom w:val="dotted" w:sz="4" w:space="0" w:color="auto"/>
              <w:right w:val="nil"/>
            </w:tcBorders>
            <w:shd w:val="clear" w:color="auto" w:fill="auto"/>
            <w:vAlign w:val="bottom"/>
            <w:hideMark/>
          </w:tcPr>
          <w:p w:rsidR="001343A4" w:rsidRPr="000E2CA7" w:rsidRDefault="001343A4" w:rsidP="001343A4">
            <w:pPr>
              <w:jc w:val="right"/>
              <w:rPr>
                <w:rFonts w:cs="Arial"/>
                <w:sz w:val="15"/>
                <w:szCs w:val="15"/>
              </w:rPr>
            </w:pPr>
            <w:r w:rsidRPr="000E2CA7">
              <w:rPr>
                <w:rFonts w:cs="Arial"/>
                <w:sz w:val="15"/>
                <w:szCs w:val="15"/>
              </w:rPr>
              <w:t xml:space="preserve">- </w:t>
            </w:r>
          </w:p>
        </w:tc>
      </w:tr>
      <w:tr w:rsidR="001343A4" w:rsidRPr="000E2CA7" w:rsidTr="001343A4">
        <w:trPr>
          <w:trHeight w:val="390"/>
        </w:trPr>
        <w:tc>
          <w:tcPr>
            <w:tcW w:w="3537" w:type="pct"/>
            <w:tcBorders>
              <w:top w:val="nil"/>
              <w:left w:val="nil"/>
              <w:bottom w:val="nil"/>
              <w:right w:val="nil"/>
            </w:tcBorders>
            <w:shd w:val="clear" w:color="auto" w:fill="auto"/>
            <w:vAlign w:val="center"/>
            <w:hideMark/>
          </w:tcPr>
          <w:p w:rsidR="001343A4" w:rsidRPr="000E2CA7" w:rsidRDefault="001343A4" w:rsidP="001343A4">
            <w:pPr>
              <w:jc w:val="left"/>
              <w:rPr>
                <w:rFonts w:cs="Arial"/>
                <w:sz w:val="15"/>
                <w:szCs w:val="15"/>
              </w:rPr>
            </w:pPr>
            <w:r w:rsidRPr="000E2CA7">
              <w:rPr>
                <w:rFonts w:cs="Arial"/>
                <w:sz w:val="15"/>
                <w:szCs w:val="15"/>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hideMark/>
          </w:tcPr>
          <w:p w:rsidR="001343A4" w:rsidRPr="000E2CA7" w:rsidRDefault="001343A4" w:rsidP="001343A4">
            <w:pPr>
              <w:jc w:val="right"/>
              <w:rPr>
                <w:rFonts w:cs="Arial"/>
                <w:sz w:val="15"/>
                <w:szCs w:val="15"/>
              </w:rPr>
            </w:pPr>
            <w:r w:rsidRPr="000E2CA7">
              <w:rPr>
                <w:rFonts w:cs="Arial"/>
                <w:sz w:val="15"/>
                <w:szCs w:val="15"/>
              </w:rPr>
              <w:t xml:space="preserve">- </w:t>
            </w:r>
          </w:p>
        </w:tc>
        <w:tc>
          <w:tcPr>
            <w:tcW w:w="731" w:type="pct"/>
            <w:tcBorders>
              <w:top w:val="nil"/>
              <w:left w:val="nil"/>
              <w:bottom w:val="nil"/>
              <w:right w:val="nil"/>
            </w:tcBorders>
            <w:shd w:val="clear" w:color="auto" w:fill="auto"/>
            <w:vAlign w:val="bottom"/>
            <w:hideMark/>
          </w:tcPr>
          <w:p w:rsidR="001343A4" w:rsidRPr="000E2CA7" w:rsidRDefault="001343A4" w:rsidP="001343A4">
            <w:pPr>
              <w:jc w:val="right"/>
              <w:rPr>
                <w:rFonts w:cs="Arial"/>
                <w:sz w:val="15"/>
                <w:szCs w:val="15"/>
              </w:rPr>
            </w:pPr>
            <w:r w:rsidRPr="000E2CA7">
              <w:rPr>
                <w:rFonts w:cs="Arial"/>
                <w:sz w:val="15"/>
                <w:szCs w:val="15"/>
              </w:rPr>
              <w:t xml:space="preserve">- </w:t>
            </w:r>
          </w:p>
        </w:tc>
      </w:tr>
      <w:tr w:rsidR="001343A4" w:rsidRPr="000E2CA7" w:rsidTr="001343A4">
        <w:trPr>
          <w:trHeight w:val="799"/>
        </w:trPr>
        <w:tc>
          <w:tcPr>
            <w:tcW w:w="3537" w:type="pct"/>
            <w:tcBorders>
              <w:top w:val="dotted" w:sz="4" w:space="0" w:color="auto"/>
              <w:left w:val="nil"/>
              <w:bottom w:val="dotted" w:sz="4" w:space="0" w:color="auto"/>
              <w:right w:val="nil"/>
            </w:tcBorders>
            <w:shd w:val="clear" w:color="auto" w:fill="auto"/>
            <w:vAlign w:val="center"/>
            <w:hideMark/>
          </w:tcPr>
          <w:p w:rsidR="001343A4" w:rsidRPr="000E2CA7" w:rsidRDefault="001343A4" w:rsidP="001343A4">
            <w:pPr>
              <w:jc w:val="left"/>
              <w:rPr>
                <w:rFonts w:cs="Arial"/>
                <w:sz w:val="15"/>
                <w:szCs w:val="15"/>
              </w:rPr>
            </w:pPr>
            <w:r w:rsidRPr="000E2CA7">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sz="4" w:space="0" w:color="auto"/>
              <w:left w:val="nil"/>
              <w:bottom w:val="dotted" w:sz="4" w:space="0" w:color="auto"/>
              <w:right w:val="nil"/>
            </w:tcBorders>
            <w:shd w:val="clear" w:color="auto" w:fill="auto"/>
            <w:vAlign w:val="bottom"/>
            <w:hideMark/>
          </w:tcPr>
          <w:p w:rsidR="001343A4" w:rsidRPr="000E2CA7" w:rsidRDefault="001343A4" w:rsidP="001343A4">
            <w:pPr>
              <w:jc w:val="right"/>
              <w:rPr>
                <w:rFonts w:cs="Arial"/>
                <w:sz w:val="15"/>
                <w:szCs w:val="15"/>
              </w:rPr>
            </w:pPr>
            <w:r w:rsidRPr="000E2CA7">
              <w:rPr>
                <w:rFonts w:cs="Arial"/>
                <w:sz w:val="15"/>
                <w:szCs w:val="15"/>
              </w:rPr>
              <w:t xml:space="preserve">- </w:t>
            </w:r>
          </w:p>
        </w:tc>
        <w:tc>
          <w:tcPr>
            <w:tcW w:w="731" w:type="pct"/>
            <w:tcBorders>
              <w:top w:val="dotted" w:sz="4" w:space="0" w:color="auto"/>
              <w:left w:val="nil"/>
              <w:bottom w:val="dotted" w:sz="4" w:space="0" w:color="auto"/>
              <w:right w:val="nil"/>
            </w:tcBorders>
            <w:shd w:val="clear" w:color="auto" w:fill="auto"/>
            <w:vAlign w:val="bottom"/>
            <w:hideMark/>
          </w:tcPr>
          <w:p w:rsidR="001343A4" w:rsidRPr="000E2CA7" w:rsidRDefault="001343A4" w:rsidP="001343A4">
            <w:pPr>
              <w:jc w:val="right"/>
              <w:rPr>
                <w:rFonts w:cs="Arial"/>
                <w:sz w:val="15"/>
                <w:szCs w:val="15"/>
              </w:rPr>
            </w:pPr>
            <w:r w:rsidRPr="000E2CA7">
              <w:rPr>
                <w:rFonts w:cs="Arial"/>
                <w:sz w:val="15"/>
                <w:szCs w:val="15"/>
              </w:rPr>
              <w:t xml:space="preserve">- </w:t>
            </w:r>
          </w:p>
        </w:tc>
      </w:tr>
      <w:tr w:rsidR="001343A4" w:rsidRPr="000E2CA7" w:rsidTr="001343A4">
        <w:trPr>
          <w:trHeight w:val="585"/>
        </w:trPr>
        <w:tc>
          <w:tcPr>
            <w:tcW w:w="3537" w:type="pct"/>
            <w:tcBorders>
              <w:top w:val="nil"/>
              <w:left w:val="nil"/>
              <w:bottom w:val="nil"/>
              <w:right w:val="nil"/>
            </w:tcBorders>
            <w:shd w:val="clear" w:color="auto" w:fill="auto"/>
            <w:vAlign w:val="center"/>
            <w:hideMark/>
          </w:tcPr>
          <w:p w:rsidR="001343A4" w:rsidRPr="000E2CA7" w:rsidRDefault="001343A4" w:rsidP="001343A4">
            <w:pPr>
              <w:jc w:val="left"/>
              <w:rPr>
                <w:rFonts w:cs="Arial"/>
                <w:sz w:val="15"/>
                <w:szCs w:val="15"/>
              </w:rPr>
            </w:pPr>
            <w:r w:rsidRPr="000E2CA7">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hideMark/>
          </w:tcPr>
          <w:p w:rsidR="001343A4" w:rsidRPr="000E2CA7" w:rsidRDefault="001343A4" w:rsidP="001343A4">
            <w:pPr>
              <w:jc w:val="right"/>
              <w:rPr>
                <w:rFonts w:cs="Arial"/>
                <w:sz w:val="15"/>
                <w:szCs w:val="15"/>
              </w:rPr>
            </w:pPr>
            <w:r w:rsidRPr="000E2CA7">
              <w:rPr>
                <w:rFonts w:cs="Arial"/>
                <w:sz w:val="15"/>
                <w:szCs w:val="15"/>
              </w:rPr>
              <w:t xml:space="preserve">- </w:t>
            </w:r>
          </w:p>
        </w:tc>
        <w:tc>
          <w:tcPr>
            <w:tcW w:w="731" w:type="pct"/>
            <w:tcBorders>
              <w:top w:val="nil"/>
              <w:left w:val="nil"/>
              <w:bottom w:val="nil"/>
              <w:right w:val="nil"/>
            </w:tcBorders>
            <w:shd w:val="clear" w:color="auto" w:fill="auto"/>
            <w:vAlign w:val="bottom"/>
            <w:hideMark/>
          </w:tcPr>
          <w:p w:rsidR="001343A4" w:rsidRPr="000E2CA7" w:rsidRDefault="001343A4" w:rsidP="001343A4">
            <w:pPr>
              <w:jc w:val="right"/>
              <w:rPr>
                <w:rFonts w:cs="Arial"/>
                <w:sz w:val="15"/>
                <w:szCs w:val="15"/>
              </w:rPr>
            </w:pPr>
            <w:r w:rsidRPr="000E2CA7">
              <w:rPr>
                <w:rFonts w:cs="Arial"/>
                <w:sz w:val="15"/>
                <w:szCs w:val="15"/>
              </w:rPr>
              <w:t xml:space="preserve">- </w:t>
            </w:r>
          </w:p>
        </w:tc>
      </w:tr>
      <w:tr w:rsidR="001343A4" w:rsidRPr="000E2CA7" w:rsidTr="001343A4">
        <w:trPr>
          <w:trHeight w:val="585"/>
        </w:trPr>
        <w:tc>
          <w:tcPr>
            <w:tcW w:w="3537" w:type="pct"/>
            <w:tcBorders>
              <w:top w:val="dotted" w:sz="4" w:space="0" w:color="auto"/>
              <w:left w:val="nil"/>
              <w:bottom w:val="dotted" w:sz="4" w:space="0" w:color="auto"/>
              <w:right w:val="nil"/>
            </w:tcBorders>
            <w:shd w:val="clear" w:color="auto" w:fill="auto"/>
            <w:vAlign w:val="center"/>
            <w:hideMark/>
          </w:tcPr>
          <w:p w:rsidR="001343A4" w:rsidRPr="000E2CA7" w:rsidRDefault="001343A4" w:rsidP="001343A4">
            <w:pPr>
              <w:jc w:val="left"/>
              <w:rPr>
                <w:rFonts w:cs="Arial"/>
                <w:sz w:val="15"/>
                <w:szCs w:val="15"/>
              </w:rPr>
            </w:pPr>
            <w:r w:rsidRPr="000E2CA7">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sz="4" w:space="0" w:color="auto"/>
              <w:left w:val="nil"/>
              <w:bottom w:val="dotted" w:sz="4" w:space="0" w:color="auto"/>
              <w:right w:val="nil"/>
            </w:tcBorders>
            <w:shd w:val="clear" w:color="auto" w:fill="auto"/>
            <w:vAlign w:val="bottom"/>
            <w:hideMark/>
          </w:tcPr>
          <w:p w:rsidR="001343A4" w:rsidRPr="000E2CA7" w:rsidRDefault="001343A4" w:rsidP="001343A4">
            <w:pPr>
              <w:jc w:val="right"/>
              <w:rPr>
                <w:rFonts w:cs="Arial"/>
                <w:sz w:val="15"/>
                <w:szCs w:val="15"/>
              </w:rPr>
            </w:pPr>
            <w:r w:rsidRPr="000E2CA7">
              <w:rPr>
                <w:rFonts w:cs="Arial"/>
                <w:sz w:val="15"/>
                <w:szCs w:val="15"/>
              </w:rPr>
              <w:t xml:space="preserve">- </w:t>
            </w:r>
          </w:p>
        </w:tc>
        <w:tc>
          <w:tcPr>
            <w:tcW w:w="731" w:type="pct"/>
            <w:tcBorders>
              <w:top w:val="dotted" w:sz="4" w:space="0" w:color="auto"/>
              <w:left w:val="nil"/>
              <w:bottom w:val="dotted" w:sz="4" w:space="0" w:color="auto"/>
              <w:right w:val="nil"/>
            </w:tcBorders>
            <w:shd w:val="clear" w:color="auto" w:fill="auto"/>
            <w:vAlign w:val="bottom"/>
            <w:hideMark/>
          </w:tcPr>
          <w:p w:rsidR="001343A4" w:rsidRPr="000E2CA7" w:rsidRDefault="001343A4" w:rsidP="001343A4">
            <w:pPr>
              <w:jc w:val="right"/>
              <w:rPr>
                <w:rFonts w:cs="Arial"/>
                <w:sz w:val="15"/>
                <w:szCs w:val="15"/>
              </w:rPr>
            </w:pPr>
            <w:r w:rsidRPr="000E2CA7">
              <w:rPr>
                <w:rFonts w:cs="Arial"/>
                <w:sz w:val="15"/>
                <w:szCs w:val="15"/>
              </w:rPr>
              <w:t xml:space="preserve">- </w:t>
            </w:r>
          </w:p>
        </w:tc>
      </w:tr>
      <w:tr w:rsidR="001343A4" w:rsidRPr="000E2CA7" w:rsidTr="001343A4">
        <w:trPr>
          <w:trHeight w:val="390"/>
        </w:trPr>
        <w:tc>
          <w:tcPr>
            <w:tcW w:w="3537" w:type="pct"/>
            <w:tcBorders>
              <w:top w:val="nil"/>
              <w:left w:val="nil"/>
              <w:bottom w:val="single" w:sz="8" w:space="0" w:color="auto"/>
              <w:right w:val="nil"/>
            </w:tcBorders>
            <w:shd w:val="clear" w:color="auto" w:fill="auto"/>
            <w:vAlign w:val="center"/>
            <w:hideMark/>
          </w:tcPr>
          <w:p w:rsidR="001343A4" w:rsidRPr="000E2CA7" w:rsidRDefault="001343A4" w:rsidP="001343A4">
            <w:pPr>
              <w:jc w:val="left"/>
              <w:rPr>
                <w:rFonts w:cs="Arial"/>
                <w:sz w:val="15"/>
                <w:szCs w:val="15"/>
              </w:rPr>
            </w:pPr>
            <w:r w:rsidRPr="000E2CA7">
              <w:rPr>
                <w:rFonts w:cs="Arial"/>
                <w:sz w:val="15"/>
                <w:szCs w:val="15"/>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shd w:val="clear" w:color="auto" w:fill="auto"/>
            <w:vAlign w:val="bottom"/>
            <w:hideMark/>
          </w:tcPr>
          <w:p w:rsidR="001343A4" w:rsidRPr="000E2CA7" w:rsidRDefault="001343A4" w:rsidP="001343A4">
            <w:pPr>
              <w:jc w:val="right"/>
              <w:rPr>
                <w:rFonts w:cs="Arial"/>
                <w:sz w:val="15"/>
                <w:szCs w:val="15"/>
              </w:rPr>
            </w:pPr>
            <w:r w:rsidRPr="000E2CA7">
              <w:rPr>
                <w:rFonts w:cs="Arial"/>
                <w:sz w:val="15"/>
                <w:szCs w:val="15"/>
              </w:rPr>
              <w:t xml:space="preserve">- </w:t>
            </w:r>
          </w:p>
        </w:tc>
        <w:tc>
          <w:tcPr>
            <w:tcW w:w="731" w:type="pct"/>
            <w:tcBorders>
              <w:top w:val="nil"/>
              <w:left w:val="nil"/>
              <w:bottom w:val="single" w:sz="8" w:space="0" w:color="auto"/>
              <w:right w:val="nil"/>
            </w:tcBorders>
            <w:shd w:val="clear" w:color="auto" w:fill="auto"/>
            <w:vAlign w:val="bottom"/>
            <w:hideMark/>
          </w:tcPr>
          <w:p w:rsidR="001343A4" w:rsidRPr="000E2CA7" w:rsidRDefault="001343A4" w:rsidP="001343A4">
            <w:pPr>
              <w:jc w:val="right"/>
              <w:rPr>
                <w:rFonts w:cs="Arial"/>
                <w:sz w:val="15"/>
                <w:szCs w:val="15"/>
              </w:rPr>
            </w:pPr>
            <w:r w:rsidRPr="000E2CA7">
              <w:rPr>
                <w:rFonts w:cs="Arial"/>
                <w:sz w:val="15"/>
                <w:szCs w:val="15"/>
              </w:rPr>
              <w:t xml:space="preserve">- </w:t>
            </w:r>
          </w:p>
        </w:tc>
      </w:tr>
    </w:tbl>
    <w:p w:rsidR="005F1651" w:rsidRPr="000E2CA7" w:rsidRDefault="005F1651" w:rsidP="001E2635">
      <w:pPr>
        <w:rPr>
          <w:snapToGrid w:val="0"/>
          <w:u w:val="single"/>
        </w:rPr>
      </w:pPr>
    </w:p>
    <w:bookmarkEnd w:id="30"/>
    <w:p w:rsidR="001E2635" w:rsidRPr="000E2CA7" w:rsidRDefault="004D02DC" w:rsidP="00BA64AD">
      <w:pPr>
        <w:rPr>
          <w:snapToGrid w:val="0"/>
          <w:sz w:val="10"/>
          <w:szCs w:val="10"/>
          <w:u w:val="single"/>
        </w:rPr>
      </w:pPr>
      <w:r w:rsidRPr="000E2CA7">
        <w:rPr>
          <w:snapToGrid w:val="0"/>
          <w:u w:val="single"/>
        </w:rPr>
        <w:br w:type="page"/>
      </w:r>
      <w:bookmarkStart w:id="31" w:name="T_reconciliation_of_income_tax_1"/>
    </w:p>
    <w:p w:rsidR="00BA64AD" w:rsidRPr="000E2CA7" w:rsidRDefault="00BA64AD" w:rsidP="001E2635">
      <w:pPr>
        <w:rPr>
          <w:snapToGrid w:val="0"/>
          <w:u w:val="single"/>
        </w:rPr>
      </w:pPr>
      <w:bookmarkStart w:id="32" w:name="T_reconciliation_of_income_tax_2"/>
      <w:bookmarkEnd w:id="31"/>
      <w:r w:rsidRPr="000E2CA7">
        <w:rPr>
          <w:rFonts w:cs="Arial"/>
          <w:b/>
          <w:bCs/>
          <w:i/>
          <w:iCs/>
          <w:sz w:val="15"/>
          <w:szCs w:val="15"/>
        </w:rPr>
        <w:lastRenderedPageBreak/>
        <w:t xml:space="preserve"> </w:t>
      </w:r>
    </w:p>
    <w:tbl>
      <w:tblPr>
        <w:tblW w:w="5000" w:type="pct"/>
        <w:tblCellMar>
          <w:left w:w="70" w:type="dxa"/>
          <w:right w:w="70" w:type="dxa"/>
        </w:tblCellMar>
        <w:tblLook w:val="04A0" w:firstRow="1" w:lastRow="0" w:firstColumn="1" w:lastColumn="0" w:noHBand="0" w:noVBand="1"/>
      </w:tblPr>
      <w:tblGrid>
        <w:gridCol w:w="2625"/>
        <w:gridCol w:w="1131"/>
        <w:gridCol w:w="1131"/>
        <w:gridCol w:w="1032"/>
        <w:gridCol w:w="1131"/>
        <w:gridCol w:w="1131"/>
        <w:gridCol w:w="1030"/>
      </w:tblGrid>
      <w:tr w:rsidR="00BA64AD" w:rsidRPr="00BA64AD" w:rsidTr="00BA64AD">
        <w:tc>
          <w:tcPr>
            <w:tcW w:w="1425" w:type="pct"/>
            <w:vMerge w:val="restart"/>
            <w:tcBorders>
              <w:top w:val="single" w:sz="8" w:space="0" w:color="auto"/>
              <w:left w:val="nil"/>
              <w:bottom w:val="nil"/>
              <w:right w:val="nil"/>
            </w:tcBorders>
            <w:shd w:val="clear" w:color="auto" w:fill="auto"/>
            <w:vAlign w:val="center"/>
            <w:hideMark/>
          </w:tcPr>
          <w:p w:rsidR="00BA64AD" w:rsidRPr="00BA64AD" w:rsidRDefault="00BA64AD" w:rsidP="00BA64AD">
            <w:pPr>
              <w:ind w:left="142" w:hanging="142"/>
              <w:rPr>
                <w:rFonts w:cs="Arial"/>
                <w:b/>
                <w:bCs/>
                <w:i/>
                <w:iCs/>
                <w:sz w:val="15"/>
                <w:szCs w:val="15"/>
              </w:rPr>
            </w:pPr>
            <w:bookmarkStart w:id="33" w:name="RANGE!B8:H22"/>
            <w:r w:rsidRPr="00BA64AD">
              <w:rPr>
                <w:rFonts w:cs="Arial"/>
                <w:b/>
                <w:bCs/>
                <w:i/>
                <w:iCs/>
                <w:sz w:val="15"/>
                <w:szCs w:val="15"/>
              </w:rPr>
              <w:t> </w:t>
            </w:r>
            <w:bookmarkEnd w:id="33"/>
          </w:p>
        </w:tc>
        <w:tc>
          <w:tcPr>
            <w:tcW w:w="1788" w:type="pct"/>
            <w:gridSpan w:val="3"/>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2014</w:t>
            </w:r>
          </w:p>
        </w:tc>
        <w:tc>
          <w:tcPr>
            <w:tcW w:w="1787" w:type="pct"/>
            <w:gridSpan w:val="3"/>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2013</w:t>
            </w:r>
          </w:p>
        </w:tc>
      </w:tr>
      <w:tr w:rsidR="00BA64AD" w:rsidRPr="00BA64AD" w:rsidTr="00BA64AD">
        <w:tc>
          <w:tcPr>
            <w:tcW w:w="1425" w:type="pct"/>
            <w:vMerge/>
            <w:tcBorders>
              <w:top w:val="single" w:sz="8" w:space="0" w:color="auto"/>
              <w:left w:val="nil"/>
              <w:bottom w:val="nil"/>
              <w:right w:val="nil"/>
            </w:tcBorders>
            <w:vAlign w:val="center"/>
            <w:hideMark/>
          </w:tcPr>
          <w:p w:rsidR="00BA64AD" w:rsidRPr="00BA64AD" w:rsidRDefault="00BA64AD" w:rsidP="00BA64AD">
            <w:pPr>
              <w:ind w:left="142" w:hanging="142"/>
              <w:jc w:val="left"/>
              <w:rPr>
                <w:rFonts w:cs="Arial"/>
                <w:b/>
                <w:bCs/>
                <w:i/>
                <w:iCs/>
                <w:sz w:val="15"/>
                <w:szCs w:val="15"/>
              </w:rPr>
            </w:pPr>
          </w:p>
        </w:tc>
        <w:tc>
          <w:tcPr>
            <w:tcW w:w="614"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Základ dane</w:t>
            </w:r>
          </w:p>
        </w:tc>
        <w:tc>
          <w:tcPr>
            <w:tcW w:w="614"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Daň</w:t>
            </w:r>
          </w:p>
        </w:tc>
        <w:tc>
          <w:tcPr>
            <w:tcW w:w="559"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Daň v %</w:t>
            </w:r>
          </w:p>
        </w:tc>
        <w:tc>
          <w:tcPr>
            <w:tcW w:w="614"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Základ dane</w:t>
            </w:r>
          </w:p>
        </w:tc>
        <w:tc>
          <w:tcPr>
            <w:tcW w:w="614"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Daň</w:t>
            </w:r>
          </w:p>
        </w:tc>
        <w:tc>
          <w:tcPr>
            <w:tcW w:w="559"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Daň v %</w:t>
            </w:r>
          </w:p>
        </w:tc>
      </w:tr>
      <w:tr w:rsidR="00BA64AD" w:rsidRPr="00BA64AD" w:rsidTr="00BA64AD">
        <w:tc>
          <w:tcPr>
            <w:tcW w:w="1425" w:type="pct"/>
            <w:tcBorders>
              <w:top w:val="single" w:sz="4" w:space="0" w:color="auto"/>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Výsledok hospodárenia pred zdanením, z toho:</w:t>
            </w:r>
          </w:p>
        </w:tc>
        <w:tc>
          <w:tcPr>
            <w:tcW w:w="614" w:type="pct"/>
            <w:tcBorders>
              <w:top w:val="nil"/>
              <w:left w:val="nil"/>
              <w:bottom w:val="nil"/>
              <w:right w:val="nil"/>
            </w:tcBorders>
            <w:shd w:val="clear" w:color="auto" w:fill="auto"/>
            <w:vAlign w:val="bottom"/>
            <w:hideMark/>
          </w:tcPr>
          <w:p w:rsidR="00BA64AD" w:rsidRPr="00BA64AD" w:rsidRDefault="00BA64AD" w:rsidP="00BA64AD">
            <w:pPr>
              <w:ind w:right="-57"/>
              <w:jc w:val="right"/>
              <w:rPr>
                <w:rFonts w:cs="Arial"/>
                <w:sz w:val="15"/>
                <w:szCs w:val="15"/>
              </w:rPr>
            </w:pPr>
            <w:r w:rsidRPr="00BA64AD">
              <w:rPr>
                <w:rFonts w:cs="Arial"/>
                <w:sz w:val="15"/>
                <w:szCs w:val="15"/>
              </w:rPr>
              <w:t>(34 254)</w:t>
            </w:r>
          </w:p>
        </w:tc>
        <w:tc>
          <w:tcPr>
            <w:tcW w:w="614" w:type="pct"/>
            <w:tcBorders>
              <w:top w:val="nil"/>
              <w:left w:val="nil"/>
              <w:bottom w:val="nil"/>
              <w:right w:val="nil"/>
            </w:tcBorders>
            <w:shd w:val="clear" w:color="auto" w:fill="auto"/>
            <w:noWrap/>
            <w:vAlign w:val="bottom"/>
            <w:hideMark/>
          </w:tcPr>
          <w:p w:rsidR="00BA64AD" w:rsidRPr="00BA64AD" w:rsidRDefault="00BA64AD" w:rsidP="00BA64AD">
            <w:pPr>
              <w:jc w:val="right"/>
              <w:rPr>
                <w:rFonts w:cs="Arial"/>
                <w:sz w:val="15"/>
                <w:szCs w:val="15"/>
              </w:rPr>
            </w:pPr>
          </w:p>
        </w:tc>
        <w:tc>
          <w:tcPr>
            <w:tcW w:w="55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614" w:type="pct"/>
            <w:tcBorders>
              <w:top w:val="nil"/>
              <w:left w:val="nil"/>
              <w:bottom w:val="nil"/>
              <w:right w:val="nil"/>
            </w:tcBorders>
            <w:shd w:val="clear" w:color="auto" w:fill="auto"/>
            <w:vAlign w:val="bottom"/>
            <w:hideMark/>
          </w:tcPr>
          <w:p w:rsidR="00BA64AD" w:rsidRPr="00BA64AD" w:rsidRDefault="00BA64AD" w:rsidP="00BA64AD">
            <w:pPr>
              <w:ind w:right="-57"/>
              <w:jc w:val="right"/>
              <w:rPr>
                <w:rFonts w:cs="Arial"/>
                <w:sz w:val="15"/>
                <w:szCs w:val="15"/>
              </w:rPr>
            </w:pPr>
            <w:r w:rsidRPr="00BA64AD">
              <w:rPr>
                <w:rFonts w:cs="Arial"/>
                <w:sz w:val="15"/>
                <w:szCs w:val="15"/>
              </w:rPr>
              <w:t>(109)</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55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r>
      <w:tr w:rsidR="00BA64AD" w:rsidRPr="00BA64AD" w:rsidTr="00BA64AD">
        <w:tc>
          <w:tcPr>
            <w:tcW w:w="1425" w:type="pct"/>
            <w:tcBorders>
              <w:top w:val="nil"/>
              <w:left w:val="nil"/>
              <w:bottom w:val="nil"/>
              <w:right w:val="nil"/>
            </w:tcBorders>
            <w:shd w:val="clear" w:color="auto" w:fill="auto"/>
            <w:vAlign w:val="center"/>
            <w:hideMark/>
          </w:tcPr>
          <w:p w:rsidR="00BA64AD" w:rsidRPr="00BA64AD" w:rsidRDefault="00BA64AD" w:rsidP="00BA64AD">
            <w:pPr>
              <w:ind w:left="426" w:hanging="142"/>
              <w:jc w:val="left"/>
              <w:rPr>
                <w:rFonts w:cs="Arial"/>
                <w:i/>
                <w:iCs/>
                <w:sz w:val="15"/>
                <w:szCs w:val="15"/>
              </w:rPr>
            </w:pPr>
            <w:r w:rsidRPr="00BA64AD">
              <w:rPr>
                <w:rFonts w:cs="Arial"/>
                <w:i/>
                <w:iCs/>
                <w:sz w:val="15"/>
                <w:szCs w:val="15"/>
              </w:rPr>
              <w:t>teoretická daň</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i/>
                <w:iCs/>
                <w:sz w:val="15"/>
                <w:szCs w:val="15"/>
              </w:rPr>
            </w:pP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i/>
                <w:iCs/>
                <w:sz w:val="15"/>
                <w:szCs w:val="15"/>
              </w:rPr>
            </w:pPr>
            <w:r w:rsidRPr="00BA64AD">
              <w:rPr>
                <w:rFonts w:cs="Arial"/>
                <w:i/>
                <w:iCs/>
                <w:sz w:val="15"/>
                <w:szCs w:val="15"/>
              </w:rPr>
              <w:t>-</w:t>
            </w:r>
          </w:p>
        </w:tc>
        <w:tc>
          <w:tcPr>
            <w:tcW w:w="559" w:type="pct"/>
            <w:tcBorders>
              <w:top w:val="nil"/>
              <w:left w:val="nil"/>
              <w:bottom w:val="nil"/>
              <w:right w:val="nil"/>
            </w:tcBorders>
            <w:shd w:val="clear" w:color="auto" w:fill="auto"/>
            <w:vAlign w:val="bottom"/>
            <w:hideMark/>
          </w:tcPr>
          <w:p w:rsidR="00BA64AD" w:rsidRPr="00BA64AD" w:rsidRDefault="00BA64AD" w:rsidP="00BA64AD">
            <w:pPr>
              <w:jc w:val="right"/>
              <w:rPr>
                <w:rFonts w:cs="Arial"/>
                <w:i/>
                <w:iCs/>
                <w:sz w:val="15"/>
                <w:szCs w:val="15"/>
              </w:rPr>
            </w:pPr>
            <w:r w:rsidRPr="00BA64AD">
              <w:rPr>
                <w:rFonts w:cs="Arial"/>
                <w:i/>
                <w:iCs/>
                <w:sz w:val="15"/>
                <w:szCs w:val="15"/>
              </w:rPr>
              <w:t>22%</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i/>
                <w:iCs/>
                <w:sz w:val="15"/>
                <w:szCs w:val="15"/>
              </w:rPr>
            </w:pP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i/>
                <w:iCs/>
                <w:sz w:val="15"/>
                <w:szCs w:val="15"/>
              </w:rPr>
            </w:pPr>
            <w:r w:rsidRPr="00BA64AD">
              <w:rPr>
                <w:rFonts w:cs="Arial"/>
                <w:i/>
                <w:iCs/>
                <w:sz w:val="15"/>
                <w:szCs w:val="15"/>
              </w:rPr>
              <w:t>-</w:t>
            </w:r>
          </w:p>
        </w:tc>
        <w:tc>
          <w:tcPr>
            <w:tcW w:w="559" w:type="pct"/>
            <w:tcBorders>
              <w:top w:val="nil"/>
              <w:left w:val="nil"/>
              <w:bottom w:val="nil"/>
              <w:right w:val="nil"/>
            </w:tcBorders>
            <w:shd w:val="clear" w:color="auto" w:fill="auto"/>
            <w:vAlign w:val="bottom"/>
            <w:hideMark/>
          </w:tcPr>
          <w:p w:rsidR="00BA64AD" w:rsidRPr="00BA64AD" w:rsidRDefault="00BA64AD" w:rsidP="00BA64AD">
            <w:pPr>
              <w:jc w:val="right"/>
              <w:rPr>
                <w:rFonts w:cs="Arial"/>
                <w:i/>
                <w:iCs/>
                <w:sz w:val="15"/>
                <w:szCs w:val="15"/>
              </w:rPr>
            </w:pPr>
            <w:r w:rsidRPr="00BA64AD">
              <w:rPr>
                <w:rFonts w:cs="Arial"/>
                <w:i/>
                <w:iCs/>
                <w:sz w:val="15"/>
                <w:szCs w:val="15"/>
              </w:rPr>
              <w:t>22%</w:t>
            </w:r>
          </w:p>
        </w:tc>
      </w:tr>
      <w:tr w:rsidR="00BA64AD" w:rsidRPr="00BA64AD" w:rsidTr="00BA64AD">
        <w:tc>
          <w:tcPr>
            <w:tcW w:w="1425"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Daňovo neuznané náklady</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i/>
                <w:iCs/>
                <w:sz w:val="15"/>
                <w:szCs w:val="15"/>
              </w:rPr>
            </w:pPr>
            <w:r w:rsidRPr="00BA64AD">
              <w:rPr>
                <w:rFonts w:cs="Arial"/>
                <w:i/>
                <w:iCs/>
                <w:sz w:val="15"/>
                <w:szCs w:val="15"/>
              </w:rPr>
              <w:t>-</w:t>
            </w:r>
          </w:p>
        </w:tc>
        <w:tc>
          <w:tcPr>
            <w:tcW w:w="55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0%</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i/>
                <w:iCs/>
                <w:sz w:val="15"/>
                <w:szCs w:val="15"/>
              </w:rPr>
            </w:pPr>
            <w:r w:rsidRPr="00BA64AD">
              <w:rPr>
                <w:rFonts w:cs="Arial"/>
                <w:i/>
                <w:iCs/>
                <w:sz w:val="15"/>
                <w:szCs w:val="15"/>
              </w:rPr>
              <w:t>-</w:t>
            </w:r>
          </w:p>
        </w:tc>
        <w:tc>
          <w:tcPr>
            <w:tcW w:w="55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0%</w:t>
            </w:r>
          </w:p>
        </w:tc>
      </w:tr>
      <w:tr w:rsidR="00BA64AD" w:rsidRPr="00BA64AD" w:rsidTr="00BA64AD">
        <w:tc>
          <w:tcPr>
            <w:tcW w:w="1425"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Výnosy nepodliehajúce dani</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i/>
                <w:iCs/>
                <w:sz w:val="15"/>
                <w:szCs w:val="15"/>
              </w:rPr>
            </w:pPr>
            <w:r w:rsidRPr="00BA64AD">
              <w:rPr>
                <w:rFonts w:cs="Arial"/>
                <w:i/>
                <w:iCs/>
                <w:sz w:val="15"/>
                <w:szCs w:val="15"/>
              </w:rPr>
              <w:t>-</w:t>
            </w:r>
          </w:p>
        </w:tc>
        <w:tc>
          <w:tcPr>
            <w:tcW w:w="55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0%</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i/>
                <w:iCs/>
                <w:sz w:val="15"/>
                <w:szCs w:val="15"/>
              </w:rPr>
            </w:pPr>
            <w:r w:rsidRPr="00BA64AD">
              <w:rPr>
                <w:rFonts w:cs="Arial"/>
                <w:i/>
                <w:iCs/>
                <w:sz w:val="15"/>
                <w:szCs w:val="15"/>
              </w:rPr>
              <w:t>-</w:t>
            </w:r>
          </w:p>
        </w:tc>
        <w:tc>
          <w:tcPr>
            <w:tcW w:w="55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0%</w:t>
            </w:r>
          </w:p>
        </w:tc>
      </w:tr>
      <w:tr w:rsidR="00BA64AD" w:rsidRPr="00BA64AD" w:rsidTr="00BA64AD">
        <w:tc>
          <w:tcPr>
            <w:tcW w:w="1425"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Vplyv nevykázanej odloženej daňovej pohľadávky</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i/>
                <w:iCs/>
                <w:sz w:val="15"/>
                <w:szCs w:val="15"/>
              </w:rPr>
            </w:pPr>
            <w:r w:rsidRPr="00BA64AD">
              <w:rPr>
                <w:rFonts w:cs="Arial"/>
                <w:i/>
                <w:iCs/>
                <w:sz w:val="15"/>
                <w:szCs w:val="15"/>
              </w:rPr>
              <w:t>-</w:t>
            </w:r>
          </w:p>
        </w:tc>
        <w:tc>
          <w:tcPr>
            <w:tcW w:w="55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0%</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i/>
                <w:iCs/>
                <w:sz w:val="15"/>
                <w:szCs w:val="15"/>
              </w:rPr>
            </w:pPr>
            <w:r w:rsidRPr="00BA64AD">
              <w:rPr>
                <w:rFonts w:cs="Arial"/>
                <w:i/>
                <w:iCs/>
                <w:sz w:val="15"/>
                <w:szCs w:val="15"/>
              </w:rPr>
              <w:t>-</w:t>
            </w:r>
          </w:p>
        </w:tc>
        <w:tc>
          <w:tcPr>
            <w:tcW w:w="55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0%</w:t>
            </w:r>
          </w:p>
        </w:tc>
      </w:tr>
      <w:tr w:rsidR="00BA64AD" w:rsidRPr="00BA64AD" w:rsidTr="00BA64AD">
        <w:tc>
          <w:tcPr>
            <w:tcW w:w="1425"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Umorenie daňovej straty</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i/>
                <w:iCs/>
                <w:sz w:val="15"/>
                <w:szCs w:val="15"/>
              </w:rPr>
            </w:pPr>
            <w:r w:rsidRPr="00BA64AD">
              <w:rPr>
                <w:rFonts w:cs="Arial"/>
                <w:i/>
                <w:iCs/>
                <w:sz w:val="15"/>
                <w:szCs w:val="15"/>
              </w:rPr>
              <w:t>-</w:t>
            </w:r>
          </w:p>
        </w:tc>
        <w:tc>
          <w:tcPr>
            <w:tcW w:w="55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0%</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i/>
                <w:iCs/>
                <w:sz w:val="15"/>
                <w:szCs w:val="15"/>
              </w:rPr>
            </w:pPr>
            <w:r w:rsidRPr="00BA64AD">
              <w:rPr>
                <w:rFonts w:cs="Arial"/>
                <w:i/>
                <w:iCs/>
                <w:sz w:val="15"/>
                <w:szCs w:val="15"/>
              </w:rPr>
              <w:t>-</w:t>
            </w:r>
          </w:p>
        </w:tc>
        <w:tc>
          <w:tcPr>
            <w:tcW w:w="55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0%</w:t>
            </w:r>
          </w:p>
        </w:tc>
      </w:tr>
      <w:tr w:rsidR="00BA64AD" w:rsidRPr="00BA64AD" w:rsidTr="00BA64AD">
        <w:tc>
          <w:tcPr>
            <w:tcW w:w="1425"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Zmena sadzby dane</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i/>
                <w:iCs/>
                <w:sz w:val="15"/>
                <w:szCs w:val="15"/>
              </w:rPr>
            </w:pPr>
            <w:r w:rsidRPr="00BA64AD">
              <w:rPr>
                <w:rFonts w:cs="Arial"/>
                <w:i/>
                <w:iCs/>
                <w:sz w:val="15"/>
                <w:szCs w:val="15"/>
              </w:rPr>
              <w:t>-</w:t>
            </w:r>
          </w:p>
        </w:tc>
        <w:tc>
          <w:tcPr>
            <w:tcW w:w="55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0%</w:t>
            </w:r>
          </w:p>
        </w:tc>
        <w:tc>
          <w:tcPr>
            <w:tcW w:w="614" w:type="pct"/>
            <w:tcBorders>
              <w:top w:val="nil"/>
              <w:left w:val="nil"/>
              <w:bottom w:val="nil"/>
              <w:right w:val="nil"/>
            </w:tcBorders>
            <w:shd w:val="clear" w:color="auto" w:fill="auto"/>
            <w:vAlign w:val="bottom"/>
            <w:hideMark/>
          </w:tcPr>
          <w:p w:rsidR="00BA64AD" w:rsidRPr="00BA64AD" w:rsidRDefault="00BA64AD" w:rsidP="0078180D">
            <w:pPr>
              <w:jc w:val="right"/>
              <w:rPr>
                <w:rFonts w:cs="Arial"/>
                <w:sz w:val="15"/>
                <w:szCs w:val="15"/>
              </w:rPr>
            </w:pPr>
            <w:r w:rsidRPr="00BA64AD">
              <w:rPr>
                <w:rFonts w:cs="Arial"/>
                <w:sz w:val="15"/>
                <w:szCs w:val="15"/>
              </w:rPr>
              <w:t>-</w:t>
            </w:r>
          </w:p>
        </w:tc>
        <w:tc>
          <w:tcPr>
            <w:tcW w:w="614" w:type="pct"/>
            <w:tcBorders>
              <w:top w:val="nil"/>
              <w:left w:val="nil"/>
              <w:bottom w:val="nil"/>
              <w:right w:val="nil"/>
            </w:tcBorders>
            <w:shd w:val="clear" w:color="auto" w:fill="auto"/>
            <w:vAlign w:val="bottom"/>
            <w:hideMark/>
          </w:tcPr>
          <w:p w:rsidR="00BA64AD" w:rsidRPr="00BA64AD" w:rsidRDefault="00BA64AD" w:rsidP="0078180D">
            <w:pPr>
              <w:jc w:val="right"/>
              <w:rPr>
                <w:rFonts w:cs="Arial"/>
                <w:sz w:val="15"/>
                <w:szCs w:val="15"/>
              </w:rPr>
            </w:pPr>
            <w:r w:rsidRPr="00BA64AD">
              <w:rPr>
                <w:rFonts w:cs="Arial"/>
                <w:sz w:val="15"/>
                <w:szCs w:val="15"/>
              </w:rPr>
              <w:t>-</w:t>
            </w:r>
          </w:p>
        </w:tc>
        <w:tc>
          <w:tcPr>
            <w:tcW w:w="55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0%</w:t>
            </w:r>
          </w:p>
        </w:tc>
      </w:tr>
      <w:tr w:rsidR="00BA64AD" w:rsidRPr="00BA64AD" w:rsidTr="00BA64AD">
        <w:tc>
          <w:tcPr>
            <w:tcW w:w="1425"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Iné</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i/>
                <w:iCs/>
                <w:sz w:val="15"/>
                <w:szCs w:val="15"/>
              </w:rPr>
            </w:pPr>
            <w:r w:rsidRPr="00BA64AD">
              <w:rPr>
                <w:rFonts w:cs="Arial"/>
                <w:i/>
                <w:iCs/>
                <w:sz w:val="15"/>
                <w:szCs w:val="15"/>
              </w:rPr>
              <w:t>960</w:t>
            </w:r>
          </w:p>
        </w:tc>
        <w:tc>
          <w:tcPr>
            <w:tcW w:w="55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-3%</w:t>
            </w:r>
          </w:p>
        </w:tc>
        <w:tc>
          <w:tcPr>
            <w:tcW w:w="614" w:type="pct"/>
            <w:tcBorders>
              <w:top w:val="nil"/>
              <w:left w:val="nil"/>
              <w:bottom w:val="nil"/>
              <w:right w:val="nil"/>
            </w:tcBorders>
            <w:shd w:val="clear" w:color="auto" w:fill="auto"/>
            <w:vAlign w:val="bottom"/>
            <w:hideMark/>
          </w:tcPr>
          <w:p w:rsidR="00BA64AD" w:rsidRPr="00BA64AD" w:rsidRDefault="00BA64AD" w:rsidP="0078180D">
            <w:pPr>
              <w:jc w:val="right"/>
              <w:rPr>
                <w:rFonts w:cs="Arial"/>
                <w:sz w:val="15"/>
                <w:szCs w:val="15"/>
              </w:rPr>
            </w:pPr>
            <w:r w:rsidRPr="00BA64AD">
              <w:rPr>
                <w:rFonts w:cs="Arial"/>
                <w:sz w:val="15"/>
                <w:szCs w:val="15"/>
              </w:rPr>
              <w:t>-</w:t>
            </w:r>
          </w:p>
        </w:tc>
        <w:tc>
          <w:tcPr>
            <w:tcW w:w="614" w:type="pct"/>
            <w:tcBorders>
              <w:top w:val="nil"/>
              <w:left w:val="nil"/>
              <w:bottom w:val="nil"/>
              <w:right w:val="nil"/>
            </w:tcBorders>
            <w:shd w:val="clear" w:color="auto" w:fill="auto"/>
            <w:vAlign w:val="bottom"/>
            <w:hideMark/>
          </w:tcPr>
          <w:p w:rsidR="00BA64AD" w:rsidRPr="00BA64AD" w:rsidRDefault="00BA64AD" w:rsidP="0078180D">
            <w:pPr>
              <w:jc w:val="right"/>
              <w:rPr>
                <w:rFonts w:cs="Arial"/>
                <w:sz w:val="15"/>
                <w:szCs w:val="15"/>
              </w:rPr>
            </w:pPr>
            <w:r w:rsidRPr="00BA64AD">
              <w:rPr>
                <w:rFonts w:cs="Arial"/>
                <w:sz w:val="15"/>
                <w:szCs w:val="15"/>
              </w:rPr>
              <w:t>-</w:t>
            </w:r>
          </w:p>
        </w:tc>
        <w:tc>
          <w:tcPr>
            <w:tcW w:w="55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0%</w:t>
            </w:r>
          </w:p>
        </w:tc>
      </w:tr>
      <w:tr w:rsidR="00BA64AD" w:rsidRPr="00BA64AD" w:rsidTr="00BA64AD">
        <w:tc>
          <w:tcPr>
            <w:tcW w:w="1425"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b/>
                <w:bCs/>
                <w:sz w:val="15"/>
                <w:szCs w:val="15"/>
              </w:rPr>
            </w:pPr>
            <w:r w:rsidRPr="00BA64AD">
              <w:rPr>
                <w:rFonts w:cs="Arial"/>
                <w:b/>
                <w:bCs/>
                <w:sz w:val="15"/>
                <w:szCs w:val="15"/>
              </w:rPr>
              <w:t>Spolu</w:t>
            </w:r>
          </w:p>
        </w:tc>
        <w:tc>
          <w:tcPr>
            <w:tcW w:w="614" w:type="pct"/>
            <w:tcBorders>
              <w:top w:val="single" w:sz="4" w:space="0" w:color="auto"/>
              <w:left w:val="nil"/>
              <w:bottom w:val="nil"/>
              <w:right w:val="nil"/>
            </w:tcBorders>
            <w:shd w:val="clear" w:color="auto" w:fill="auto"/>
            <w:vAlign w:val="bottom"/>
            <w:hideMark/>
          </w:tcPr>
          <w:p w:rsidR="00BA64AD" w:rsidRPr="00BA64AD" w:rsidRDefault="00BA64AD" w:rsidP="00BA64AD">
            <w:pPr>
              <w:ind w:right="-57"/>
              <w:jc w:val="right"/>
              <w:rPr>
                <w:rFonts w:cs="Arial"/>
                <w:b/>
                <w:bCs/>
                <w:sz w:val="15"/>
                <w:szCs w:val="15"/>
              </w:rPr>
            </w:pPr>
            <w:r w:rsidRPr="00BA64AD">
              <w:rPr>
                <w:rFonts w:cs="Arial"/>
                <w:b/>
                <w:bCs/>
                <w:sz w:val="15"/>
                <w:szCs w:val="15"/>
              </w:rPr>
              <w:t>(34 254)</w:t>
            </w:r>
          </w:p>
        </w:tc>
        <w:tc>
          <w:tcPr>
            <w:tcW w:w="614"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b/>
                <w:bCs/>
                <w:sz w:val="15"/>
                <w:szCs w:val="15"/>
              </w:rPr>
            </w:pPr>
            <w:r w:rsidRPr="00BA64AD">
              <w:rPr>
                <w:rFonts w:cs="Arial"/>
                <w:b/>
                <w:bCs/>
                <w:sz w:val="15"/>
                <w:szCs w:val="15"/>
              </w:rPr>
              <w:t>960</w:t>
            </w:r>
          </w:p>
        </w:tc>
        <w:tc>
          <w:tcPr>
            <w:tcW w:w="559"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b/>
                <w:bCs/>
                <w:sz w:val="15"/>
                <w:szCs w:val="15"/>
              </w:rPr>
            </w:pPr>
            <w:r w:rsidRPr="00BA64AD">
              <w:rPr>
                <w:rFonts w:cs="Arial"/>
                <w:b/>
                <w:bCs/>
                <w:sz w:val="15"/>
                <w:szCs w:val="15"/>
              </w:rPr>
              <w:t>-3%</w:t>
            </w:r>
          </w:p>
        </w:tc>
        <w:tc>
          <w:tcPr>
            <w:tcW w:w="614" w:type="pct"/>
            <w:tcBorders>
              <w:top w:val="single" w:sz="4" w:space="0" w:color="auto"/>
              <w:left w:val="nil"/>
              <w:bottom w:val="nil"/>
              <w:right w:val="nil"/>
            </w:tcBorders>
            <w:shd w:val="clear" w:color="auto" w:fill="auto"/>
            <w:vAlign w:val="bottom"/>
            <w:hideMark/>
          </w:tcPr>
          <w:p w:rsidR="00BA64AD" w:rsidRPr="00BA64AD" w:rsidRDefault="00BA64AD" w:rsidP="00BA64AD">
            <w:pPr>
              <w:ind w:right="-57"/>
              <w:jc w:val="right"/>
              <w:rPr>
                <w:rFonts w:cs="Arial"/>
                <w:b/>
                <w:bCs/>
                <w:sz w:val="15"/>
                <w:szCs w:val="15"/>
              </w:rPr>
            </w:pPr>
            <w:r w:rsidRPr="00BA64AD">
              <w:rPr>
                <w:rFonts w:cs="Arial"/>
                <w:b/>
                <w:bCs/>
                <w:sz w:val="15"/>
                <w:szCs w:val="15"/>
              </w:rPr>
              <w:t>(109)</w:t>
            </w:r>
          </w:p>
        </w:tc>
        <w:tc>
          <w:tcPr>
            <w:tcW w:w="614"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b/>
                <w:bCs/>
                <w:sz w:val="15"/>
                <w:szCs w:val="15"/>
              </w:rPr>
            </w:pPr>
            <w:r w:rsidRPr="00BA64AD">
              <w:rPr>
                <w:rFonts w:cs="Arial"/>
                <w:b/>
                <w:bCs/>
                <w:sz w:val="15"/>
                <w:szCs w:val="15"/>
              </w:rPr>
              <w:t>-</w:t>
            </w:r>
          </w:p>
        </w:tc>
        <w:tc>
          <w:tcPr>
            <w:tcW w:w="559"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b/>
                <w:bCs/>
                <w:sz w:val="15"/>
                <w:szCs w:val="15"/>
              </w:rPr>
            </w:pPr>
            <w:r w:rsidRPr="00BA64AD">
              <w:rPr>
                <w:rFonts w:cs="Arial"/>
                <w:b/>
                <w:bCs/>
                <w:sz w:val="15"/>
                <w:szCs w:val="15"/>
              </w:rPr>
              <w:t>0%</w:t>
            </w:r>
          </w:p>
        </w:tc>
      </w:tr>
      <w:tr w:rsidR="00BA64AD" w:rsidRPr="00BA64AD" w:rsidTr="00BA64AD">
        <w:tc>
          <w:tcPr>
            <w:tcW w:w="1425"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55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55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r>
      <w:tr w:rsidR="00BA64AD" w:rsidRPr="00BA64AD" w:rsidTr="00BA64AD">
        <w:tc>
          <w:tcPr>
            <w:tcW w:w="1425"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Splatná daň z príjmov</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960</w:t>
            </w:r>
          </w:p>
        </w:tc>
        <w:tc>
          <w:tcPr>
            <w:tcW w:w="559" w:type="pct"/>
            <w:tcBorders>
              <w:top w:val="nil"/>
              <w:left w:val="nil"/>
              <w:bottom w:val="nil"/>
              <w:right w:val="nil"/>
            </w:tcBorders>
            <w:shd w:val="clear" w:color="auto" w:fill="auto"/>
            <w:noWrap/>
            <w:vAlign w:val="bottom"/>
            <w:hideMark/>
          </w:tcPr>
          <w:p w:rsidR="00BA64AD" w:rsidRPr="00BA64AD" w:rsidRDefault="00BA64AD" w:rsidP="00BA64AD">
            <w:pPr>
              <w:jc w:val="right"/>
              <w:rPr>
                <w:rFonts w:cs="Arial"/>
                <w:sz w:val="15"/>
                <w:szCs w:val="15"/>
              </w:rPr>
            </w:pPr>
            <w:r w:rsidRPr="00BA64AD">
              <w:rPr>
                <w:rFonts w:cs="Arial"/>
                <w:sz w:val="15"/>
                <w:szCs w:val="15"/>
              </w:rPr>
              <w:t>-3%</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9" w:type="pct"/>
            <w:tcBorders>
              <w:top w:val="nil"/>
              <w:left w:val="nil"/>
              <w:bottom w:val="nil"/>
              <w:right w:val="nil"/>
            </w:tcBorders>
            <w:shd w:val="clear" w:color="auto" w:fill="auto"/>
            <w:noWrap/>
            <w:vAlign w:val="bottom"/>
            <w:hideMark/>
          </w:tcPr>
          <w:p w:rsidR="00BA64AD" w:rsidRPr="00BA64AD" w:rsidRDefault="00BA64AD" w:rsidP="00BA64AD">
            <w:pPr>
              <w:jc w:val="right"/>
              <w:rPr>
                <w:rFonts w:cs="Arial"/>
                <w:sz w:val="15"/>
                <w:szCs w:val="15"/>
              </w:rPr>
            </w:pPr>
            <w:r w:rsidRPr="00BA64AD">
              <w:rPr>
                <w:rFonts w:cs="Arial"/>
                <w:sz w:val="15"/>
                <w:szCs w:val="15"/>
              </w:rPr>
              <w:t>0%</w:t>
            </w:r>
          </w:p>
        </w:tc>
      </w:tr>
      <w:tr w:rsidR="00BA64AD" w:rsidRPr="00BA64AD" w:rsidTr="00BA64AD">
        <w:tc>
          <w:tcPr>
            <w:tcW w:w="1425"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Odložená daň z príjmov</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614" w:type="pct"/>
            <w:tcBorders>
              <w:top w:val="nil"/>
              <w:left w:val="nil"/>
              <w:bottom w:val="single" w:sz="4"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9" w:type="pct"/>
            <w:tcBorders>
              <w:top w:val="nil"/>
              <w:left w:val="nil"/>
              <w:bottom w:val="single" w:sz="4" w:space="0" w:color="auto"/>
              <w:right w:val="nil"/>
            </w:tcBorders>
            <w:shd w:val="clear" w:color="auto" w:fill="auto"/>
            <w:noWrap/>
            <w:vAlign w:val="bottom"/>
            <w:hideMark/>
          </w:tcPr>
          <w:p w:rsidR="00BA64AD" w:rsidRPr="00BA64AD" w:rsidRDefault="00BA64AD" w:rsidP="00BA64AD">
            <w:pPr>
              <w:jc w:val="right"/>
              <w:rPr>
                <w:rFonts w:cs="Arial"/>
                <w:sz w:val="15"/>
                <w:szCs w:val="15"/>
              </w:rPr>
            </w:pPr>
            <w:r w:rsidRPr="00BA64AD">
              <w:rPr>
                <w:rFonts w:cs="Arial"/>
                <w:sz w:val="15"/>
                <w:szCs w:val="15"/>
              </w:rPr>
              <w:t>0%</w:t>
            </w:r>
          </w:p>
        </w:tc>
        <w:tc>
          <w:tcPr>
            <w:tcW w:w="61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p>
        </w:tc>
        <w:tc>
          <w:tcPr>
            <w:tcW w:w="614" w:type="pct"/>
            <w:tcBorders>
              <w:top w:val="nil"/>
              <w:left w:val="nil"/>
              <w:bottom w:val="single" w:sz="4"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9" w:type="pct"/>
            <w:tcBorders>
              <w:top w:val="nil"/>
              <w:left w:val="nil"/>
              <w:bottom w:val="single" w:sz="4" w:space="0" w:color="auto"/>
              <w:right w:val="nil"/>
            </w:tcBorders>
            <w:shd w:val="clear" w:color="auto" w:fill="auto"/>
            <w:noWrap/>
            <w:vAlign w:val="bottom"/>
            <w:hideMark/>
          </w:tcPr>
          <w:p w:rsidR="00BA64AD" w:rsidRPr="00BA64AD" w:rsidRDefault="00BA64AD" w:rsidP="00BA64AD">
            <w:pPr>
              <w:jc w:val="right"/>
              <w:rPr>
                <w:rFonts w:cs="Arial"/>
                <w:sz w:val="15"/>
                <w:szCs w:val="15"/>
              </w:rPr>
            </w:pPr>
            <w:r w:rsidRPr="00BA64AD">
              <w:rPr>
                <w:rFonts w:cs="Arial"/>
                <w:sz w:val="15"/>
                <w:szCs w:val="15"/>
              </w:rPr>
              <w:t>0%</w:t>
            </w:r>
          </w:p>
        </w:tc>
      </w:tr>
      <w:tr w:rsidR="00BA64AD" w:rsidRPr="00BA64AD" w:rsidTr="00BA64AD">
        <w:tc>
          <w:tcPr>
            <w:tcW w:w="1425" w:type="pct"/>
            <w:tcBorders>
              <w:top w:val="nil"/>
              <w:left w:val="nil"/>
              <w:bottom w:val="single" w:sz="8" w:space="0" w:color="auto"/>
              <w:right w:val="nil"/>
            </w:tcBorders>
            <w:shd w:val="clear" w:color="auto" w:fill="auto"/>
            <w:vAlign w:val="center"/>
            <w:hideMark/>
          </w:tcPr>
          <w:p w:rsidR="00BA64AD" w:rsidRPr="00BA64AD" w:rsidRDefault="00BA64AD" w:rsidP="00BA64AD">
            <w:pPr>
              <w:ind w:left="142" w:hanging="142"/>
              <w:jc w:val="left"/>
              <w:rPr>
                <w:rFonts w:cs="Arial"/>
                <w:b/>
                <w:bCs/>
                <w:sz w:val="15"/>
                <w:szCs w:val="15"/>
              </w:rPr>
            </w:pPr>
            <w:r w:rsidRPr="00BA64AD">
              <w:rPr>
                <w:rFonts w:cs="Arial"/>
                <w:b/>
                <w:bCs/>
                <w:sz w:val="15"/>
                <w:szCs w:val="15"/>
              </w:rPr>
              <w:t>Celková daň z príjmov</w:t>
            </w:r>
          </w:p>
        </w:tc>
        <w:tc>
          <w:tcPr>
            <w:tcW w:w="614"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b/>
                <w:bCs/>
                <w:sz w:val="15"/>
                <w:szCs w:val="15"/>
              </w:rPr>
            </w:pPr>
          </w:p>
        </w:tc>
        <w:tc>
          <w:tcPr>
            <w:tcW w:w="614"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b/>
                <w:bCs/>
                <w:sz w:val="15"/>
                <w:szCs w:val="15"/>
              </w:rPr>
            </w:pPr>
            <w:r w:rsidRPr="00BA64AD">
              <w:rPr>
                <w:rFonts w:cs="Arial"/>
                <w:b/>
                <w:bCs/>
                <w:sz w:val="15"/>
                <w:szCs w:val="15"/>
              </w:rPr>
              <w:t>960</w:t>
            </w:r>
          </w:p>
        </w:tc>
        <w:tc>
          <w:tcPr>
            <w:tcW w:w="559" w:type="pct"/>
            <w:tcBorders>
              <w:top w:val="single" w:sz="4" w:space="0" w:color="auto"/>
              <w:left w:val="nil"/>
              <w:bottom w:val="single" w:sz="8" w:space="0" w:color="auto"/>
              <w:right w:val="nil"/>
            </w:tcBorders>
            <w:shd w:val="clear" w:color="auto" w:fill="auto"/>
            <w:vAlign w:val="bottom"/>
            <w:hideMark/>
          </w:tcPr>
          <w:p w:rsidR="00BA64AD" w:rsidRPr="00BA64AD" w:rsidRDefault="00BA64AD" w:rsidP="00BA64AD">
            <w:pPr>
              <w:jc w:val="right"/>
              <w:rPr>
                <w:rFonts w:cs="Arial"/>
                <w:b/>
                <w:bCs/>
                <w:sz w:val="15"/>
                <w:szCs w:val="15"/>
              </w:rPr>
            </w:pPr>
            <w:r w:rsidRPr="00BA64AD">
              <w:rPr>
                <w:rFonts w:cs="Arial"/>
                <w:b/>
                <w:bCs/>
                <w:sz w:val="15"/>
                <w:szCs w:val="15"/>
              </w:rPr>
              <w:t>-3%</w:t>
            </w:r>
          </w:p>
        </w:tc>
        <w:tc>
          <w:tcPr>
            <w:tcW w:w="614"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b/>
                <w:bCs/>
                <w:sz w:val="15"/>
                <w:szCs w:val="15"/>
              </w:rPr>
            </w:pPr>
          </w:p>
        </w:tc>
        <w:tc>
          <w:tcPr>
            <w:tcW w:w="614"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b/>
                <w:bCs/>
                <w:sz w:val="15"/>
                <w:szCs w:val="15"/>
              </w:rPr>
            </w:pPr>
            <w:r w:rsidRPr="00BA64AD">
              <w:rPr>
                <w:rFonts w:cs="Arial"/>
                <w:b/>
                <w:bCs/>
                <w:sz w:val="15"/>
                <w:szCs w:val="15"/>
              </w:rPr>
              <w:t>-</w:t>
            </w:r>
          </w:p>
        </w:tc>
        <w:tc>
          <w:tcPr>
            <w:tcW w:w="559" w:type="pct"/>
            <w:tcBorders>
              <w:top w:val="single" w:sz="4" w:space="0" w:color="auto"/>
              <w:left w:val="nil"/>
              <w:bottom w:val="single" w:sz="8" w:space="0" w:color="auto"/>
              <w:right w:val="nil"/>
            </w:tcBorders>
            <w:shd w:val="clear" w:color="auto" w:fill="auto"/>
            <w:vAlign w:val="bottom"/>
            <w:hideMark/>
          </w:tcPr>
          <w:p w:rsidR="00BA64AD" w:rsidRPr="00BA64AD" w:rsidRDefault="00BA64AD" w:rsidP="00BA64AD">
            <w:pPr>
              <w:jc w:val="right"/>
              <w:rPr>
                <w:rFonts w:cs="Arial"/>
                <w:b/>
                <w:bCs/>
                <w:sz w:val="15"/>
                <w:szCs w:val="15"/>
              </w:rPr>
            </w:pPr>
            <w:r w:rsidRPr="00BA64AD">
              <w:rPr>
                <w:rFonts w:cs="Arial"/>
                <w:b/>
                <w:bCs/>
                <w:sz w:val="15"/>
                <w:szCs w:val="15"/>
              </w:rPr>
              <w:t>0%</w:t>
            </w:r>
          </w:p>
        </w:tc>
      </w:tr>
    </w:tbl>
    <w:p w:rsidR="00366100" w:rsidRPr="000E2CA7" w:rsidRDefault="00366100" w:rsidP="001E2635">
      <w:pPr>
        <w:rPr>
          <w:snapToGrid w:val="0"/>
          <w:u w:val="single"/>
        </w:rPr>
      </w:pPr>
    </w:p>
    <w:bookmarkEnd w:id="32"/>
    <w:p w:rsidR="005F1651" w:rsidRPr="000E2CA7" w:rsidRDefault="005F1651" w:rsidP="009E172B">
      <w:pPr>
        <w:rPr>
          <w:snapToGrid w:val="0"/>
          <w:u w:val="single"/>
        </w:rPr>
      </w:pPr>
    </w:p>
    <w:p w:rsidR="001E2635" w:rsidRPr="000E2CA7" w:rsidRDefault="001E2635" w:rsidP="001E2635">
      <w:pPr>
        <w:pStyle w:val="Heading1"/>
      </w:pPr>
      <w:r w:rsidRPr="000E2CA7">
        <w:t>INÉ AKTÍVA A INÉ PASÍVA</w:t>
      </w:r>
    </w:p>
    <w:p w:rsidR="001E2635" w:rsidRPr="000E2CA7" w:rsidRDefault="001E2635" w:rsidP="001E2635"/>
    <w:p w:rsidR="001E2635" w:rsidRPr="000E2CA7" w:rsidRDefault="001E2635" w:rsidP="001E2635">
      <w:pPr>
        <w:rPr>
          <w:snapToGrid w:val="0"/>
        </w:rPr>
      </w:pPr>
      <w:r w:rsidRPr="000E2CA7">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w:t>
      </w:r>
      <w:r w:rsidR="00894947" w:rsidRPr="000E2CA7">
        <w:rPr>
          <w:snapToGrid w:val="0"/>
        </w:rPr>
        <w:t>1</w:t>
      </w:r>
      <w:r w:rsidR="00BA64AD" w:rsidRPr="000E2CA7">
        <w:rPr>
          <w:snapToGrid w:val="0"/>
        </w:rPr>
        <w:t>4</w:t>
      </w:r>
      <w:r w:rsidRPr="000E2CA7">
        <w:rPr>
          <w:snapToGrid w:val="0"/>
        </w:rPr>
        <w:t xml:space="preserve"> daňové priznania spoločnosti za roky 20</w:t>
      </w:r>
      <w:r w:rsidR="00BA64AD" w:rsidRPr="000E2CA7">
        <w:rPr>
          <w:snapToGrid w:val="0"/>
        </w:rPr>
        <w:t>10</w:t>
      </w:r>
      <w:r w:rsidR="00AC79A3" w:rsidRPr="000E2CA7">
        <w:rPr>
          <w:snapToGrid w:val="0"/>
        </w:rPr>
        <w:t xml:space="preserve"> až </w:t>
      </w:r>
      <w:r w:rsidR="002647F4" w:rsidRPr="000E2CA7">
        <w:rPr>
          <w:snapToGrid w:val="0"/>
        </w:rPr>
        <w:t>201</w:t>
      </w:r>
      <w:r w:rsidR="00BA64AD" w:rsidRPr="000E2CA7">
        <w:rPr>
          <w:snapToGrid w:val="0"/>
        </w:rPr>
        <w:t>4</w:t>
      </w:r>
      <w:r w:rsidRPr="000E2CA7">
        <w:rPr>
          <w:snapToGrid w:val="0"/>
        </w:rPr>
        <w:t xml:space="preserve"> otvorené a môžu sa stať predmetom kontroly.</w:t>
      </w:r>
    </w:p>
    <w:p w:rsidR="005747D1" w:rsidRPr="000E2CA7" w:rsidRDefault="005747D1" w:rsidP="001E2635">
      <w:pPr>
        <w:rPr>
          <w:snapToGrid w:val="0"/>
        </w:rPr>
      </w:pPr>
    </w:p>
    <w:p w:rsidR="005747D1" w:rsidRPr="000E2CA7" w:rsidRDefault="005747D1" w:rsidP="001E2635">
      <w:pPr>
        <w:rPr>
          <w:snapToGrid w:val="0"/>
        </w:rPr>
      </w:pPr>
    </w:p>
    <w:p w:rsidR="001E2635" w:rsidRPr="000E2CA7" w:rsidRDefault="001E2635" w:rsidP="001E2635">
      <w:pPr>
        <w:pStyle w:val="Heading1"/>
      </w:pPr>
      <w:r w:rsidRPr="000E2CA7">
        <w:t>SPRIAZNENÉ OSOBY</w:t>
      </w:r>
    </w:p>
    <w:p w:rsidR="00B22433" w:rsidRPr="000E2CA7" w:rsidRDefault="00B22433" w:rsidP="00F46EBA"/>
    <w:p w:rsidR="001E2635" w:rsidRPr="000E2CA7" w:rsidRDefault="001E2635" w:rsidP="001E2635">
      <w:pPr>
        <w:rPr>
          <w:snapToGrid w:val="0"/>
          <w:color w:val="000000"/>
        </w:rPr>
      </w:pPr>
      <w:r w:rsidRPr="000E2CA7">
        <w:rPr>
          <w:snapToGrid w:val="0"/>
          <w:color w:val="000000"/>
        </w:rPr>
        <w:t>Medzi spriaznené osoby patria akcionári, členovia predstavenstva</w:t>
      </w:r>
      <w:r w:rsidR="00C440BC" w:rsidRPr="000E2CA7">
        <w:rPr>
          <w:snapToGrid w:val="0"/>
          <w:color w:val="000000"/>
        </w:rPr>
        <w:t>, sesterské spoločnosti</w:t>
      </w:r>
      <w:r w:rsidRPr="000E2CA7">
        <w:rPr>
          <w:snapToGrid w:val="0"/>
          <w:color w:val="000000"/>
        </w:rPr>
        <w:t xml:space="preserve"> a spoločnosti, v ktorých podiel na základnom imaní presahuje 20 % (dcérske a pridružené spoločnosti</w:t>
      </w:r>
      <w:r w:rsidR="002E19BA" w:rsidRPr="000E2CA7">
        <w:rPr>
          <w:snapToGrid w:val="0"/>
          <w:color w:val="000000"/>
        </w:rPr>
        <w:t xml:space="preserve"> a spoločné podniky</w:t>
      </w:r>
      <w:r w:rsidRPr="000E2CA7">
        <w:rPr>
          <w:snapToGrid w:val="0"/>
          <w:color w:val="000000"/>
        </w:rPr>
        <w:t>).</w:t>
      </w:r>
    </w:p>
    <w:p w:rsidR="001E2635" w:rsidRPr="000E2CA7" w:rsidRDefault="001E2635" w:rsidP="001E2635">
      <w:pPr>
        <w:rPr>
          <w:b/>
          <w:snapToGrid w:val="0"/>
          <w:color w:val="000000"/>
        </w:rPr>
      </w:pPr>
    </w:p>
    <w:p w:rsidR="001E2635" w:rsidRPr="000E2CA7" w:rsidRDefault="001E2635" w:rsidP="001E2635">
      <w:pPr>
        <w:rPr>
          <w:snapToGrid w:val="0"/>
        </w:rPr>
      </w:pPr>
      <w:r w:rsidRPr="000E2CA7">
        <w:rPr>
          <w:snapToGrid w:val="0"/>
        </w:rPr>
        <w:t>Obchody medzi týmito osobami a spoločnosťou sa uskutočňujú za obvyklých podmienok a za obvyklé ceny. O obchodoch so spriaznenými osobami rozhoduje predstavenstvo. Komentár k týmto obchodom je v jednotlivých častiach poznámok.</w:t>
      </w:r>
    </w:p>
    <w:p w:rsidR="00BA64AD" w:rsidRPr="000E2CA7" w:rsidRDefault="00BA64AD" w:rsidP="00401CA3">
      <w:pPr>
        <w:rPr>
          <w:sz w:val="10"/>
          <w:szCs w:val="10"/>
        </w:rPr>
      </w:pPr>
      <w:bookmarkStart w:id="34" w:name="T_related_parties_1"/>
      <w:r w:rsidRPr="000E2CA7">
        <w:rPr>
          <w:snapToGrid w:val="0"/>
          <w:sz w:val="15"/>
          <w:szCs w:val="15"/>
        </w:rPr>
        <w:t xml:space="preserve"> </w:t>
      </w:r>
    </w:p>
    <w:tbl>
      <w:tblPr>
        <w:tblW w:w="5000" w:type="pct"/>
        <w:tblCellMar>
          <w:left w:w="70" w:type="dxa"/>
          <w:right w:w="70" w:type="dxa"/>
        </w:tblCellMar>
        <w:tblLook w:val="04A0" w:firstRow="1" w:lastRow="0" w:firstColumn="1" w:lastColumn="0" w:noHBand="0" w:noVBand="1"/>
      </w:tblPr>
      <w:tblGrid>
        <w:gridCol w:w="2062"/>
        <w:gridCol w:w="989"/>
        <w:gridCol w:w="849"/>
        <w:gridCol w:w="707"/>
        <w:gridCol w:w="993"/>
        <w:gridCol w:w="870"/>
        <w:gridCol w:w="687"/>
        <w:gridCol w:w="687"/>
        <w:gridCol w:w="687"/>
        <w:gridCol w:w="680"/>
      </w:tblGrid>
      <w:tr w:rsidR="00BA64AD" w:rsidRPr="000E2CA7" w:rsidTr="00BA64AD">
        <w:trPr>
          <w:trHeight w:val="390"/>
        </w:trPr>
        <w:tc>
          <w:tcPr>
            <w:tcW w:w="1119" w:type="pct"/>
            <w:vMerge w:val="restart"/>
            <w:tcBorders>
              <w:top w:val="single" w:sz="8" w:space="0" w:color="auto"/>
              <w:left w:val="nil"/>
              <w:bottom w:val="nil"/>
              <w:right w:val="nil"/>
            </w:tcBorders>
            <w:shd w:val="clear" w:color="auto" w:fill="auto"/>
            <w:vAlign w:val="center"/>
            <w:hideMark/>
          </w:tcPr>
          <w:p w:rsidR="00BA64AD" w:rsidRPr="00BA64AD" w:rsidRDefault="00BA64AD" w:rsidP="00BA64AD">
            <w:pPr>
              <w:jc w:val="left"/>
              <w:rPr>
                <w:rFonts w:cs="Arial"/>
                <w:b/>
                <w:bCs/>
                <w:i/>
                <w:iCs/>
                <w:sz w:val="15"/>
                <w:szCs w:val="15"/>
              </w:rPr>
            </w:pPr>
            <w:bookmarkStart w:id="35" w:name="RANGE!B8:K12"/>
            <w:r w:rsidRPr="00BA64AD">
              <w:rPr>
                <w:rFonts w:cs="Arial"/>
                <w:b/>
                <w:bCs/>
                <w:i/>
                <w:iCs/>
                <w:sz w:val="15"/>
                <w:szCs w:val="15"/>
              </w:rPr>
              <w:t>Spriaznená osoba</w:t>
            </w:r>
            <w:bookmarkEnd w:id="35"/>
          </w:p>
        </w:tc>
        <w:tc>
          <w:tcPr>
            <w:tcW w:w="537" w:type="pct"/>
            <w:vMerge w:val="restar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Kód druhu obchodu</w:t>
            </w:r>
          </w:p>
        </w:tc>
        <w:tc>
          <w:tcPr>
            <w:tcW w:w="845" w:type="pct"/>
            <w:gridSpan w:val="2"/>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Pohľadávky</w:t>
            </w:r>
          </w:p>
        </w:tc>
        <w:tc>
          <w:tcPr>
            <w:tcW w:w="1011" w:type="pct"/>
            <w:gridSpan w:val="2"/>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Záväzky</w:t>
            </w:r>
          </w:p>
        </w:tc>
        <w:tc>
          <w:tcPr>
            <w:tcW w:w="746" w:type="pct"/>
            <w:gridSpan w:val="2"/>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Náklady</w:t>
            </w:r>
          </w:p>
        </w:tc>
        <w:tc>
          <w:tcPr>
            <w:tcW w:w="743" w:type="pct"/>
            <w:gridSpan w:val="2"/>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Výnosy</w:t>
            </w:r>
          </w:p>
        </w:tc>
      </w:tr>
      <w:tr w:rsidR="00BA64AD" w:rsidRPr="000E2CA7" w:rsidTr="00BA64AD">
        <w:trPr>
          <w:trHeight w:val="195"/>
        </w:trPr>
        <w:tc>
          <w:tcPr>
            <w:tcW w:w="1119" w:type="pct"/>
            <w:vMerge/>
            <w:tcBorders>
              <w:top w:val="single" w:sz="8" w:space="0" w:color="auto"/>
              <w:left w:val="nil"/>
              <w:bottom w:val="nil"/>
              <w:right w:val="nil"/>
            </w:tcBorders>
            <w:vAlign w:val="center"/>
            <w:hideMark/>
          </w:tcPr>
          <w:p w:rsidR="00BA64AD" w:rsidRPr="00BA64AD" w:rsidRDefault="00BA64AD" w:rsidP="00BA64AD">
            <w:pPr>
              <w:jc w:val="left"/>
              <w:rPr>
                <w:rFonts w:cs="Arial"/>
                <w:b/>
                <w:bCs/>
                <w:i/>
                <w:iCs/>
                <w:sz w:val="15"/>
                <w:szCs w:val="15"/>
              </w:rPr>
            </w:pPr>
          </w:p>
        </w:tc>
        <w:tc>
          <w:tcPr>
            <w:tcW w:w="537" w:type="pct"/>
            <w:vMerge/>
            <w:tcBorders>
              <w:top w:val="single" w:sz="8" w:space="0" w:color="auto"/>
              <w:left w:val="nil"/>
              <w:bottom w:val="nil"/>
              <w:right w:val="nil"/>
            </w:tcBorders>
            <w:vAlign w:val="center"/>
            <w:hideMark/>
          </w:tcPr>
          <w:p w:rsidR="00BA64AD" w:rsidRPr="00BA64AD" w:rsidRDefault="00BA64AD" w:rsidP="00BA64AD">
            <w:pPr>
              <w:jc w:val="left"/>
              <w:rPr>
                <w:rFonts w:cs="Arial"/>
                <w:b/>
                <w:bCs/>
                <w:i/>
                <w:iCs/>
                <w:sz w:val="15"/>
                <w:szCs w:val="15"/>
              </w:rPr>
            </w:pPr>
          </w:p>
        </w:tc>
        <w:tc>
          <w:tcPr>
            <w:tcW w:w="461"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2014</w:t>
            </w:r>
          </w:p>
        </w:tc>
        <w:tc>
          <w:tcPr>
            <w:tcW w:w="384"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2013</w:t>
            </w:r>
          </w:p>
        </w:tc>
        <w:tc>
          <w:tcPr>
            <w:tcW w:w="539"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2014</w:t>
            </w:r>
          </w:p>
        </w:tc>
        <w:tc>
          <w:tcPr>
            <w:tcW w:w="472"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2013</w:t>
            </w:r>
          </w:p>
        </w:tc>
        <w:tc>
          <w:tcPr>
            <w:tcW w:w="373"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2014</w:t>
            </w:r>
          </w:p>
        </w:tc>
        <w:tc>
          <w:tcPr>
            <w:tcW w:w="373"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2013</w:t>
            </w:r>
          </w:p>
        </w:tc>
        <w:tc>
          <w:tcPr>
            <w:tcW w:w="373"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2014</w:t>
            </w:r>
          </w:p>
        </w:tc>
        <w:tc>
          <w:tcPr>
            <w:tcW w:w="370"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2013</w:t>
            </w:r>
          </w:p>
        </w:tc>
      </w:tr>
      <w:tr w:rsidR="00BA64AD" w:rsidRPr="000E2CA7" w:rsidTr="00BA64AD">
        <w:trPr>
          <w:trHeight w:val="195"/>
        </w:trPr>
        <w:tc>
          <w:tcPr>
            <w:tcW w:w="1119" w:type="pct"/>
            <w:tcBorders>
              <w:top w:val="single" w:sz="4" w:space="0" w:color="auto"/>
              <w:left w:val="nil"/>
              <w:bottom w:val="nil"/>
              <w:right w:val="nil"/>
            </w:tcBorders>
            <w:shd w:val="clear" w:color="auto" w:fill="auto"/>
            <w:vAlign w:val="center"/>
            <w:hideMark/>
          </w:tcPr>
          <w:p w:rsidR="00BA64AD" w:rsidRPr="00BA64AD" w:rsidRDefault="00BA64AD" w:rsidP="00BA64AD">
            <w:pPr>
              <w:rPr>
                <w:rFonts w:cs="Arial"/>
                <w:sz w:val="15"/>
                <w:szCs w:val="15"/>
              </w:rPr>
            </w:pPr>
            <w:r w:rsidRPr="00BA64AD">
              <w:rPr>
                <w:rFonts w:cs="Arial"/>
                <w:sz w:val="15"/>
                <w:szCs w:val="15"/>
              </w:rPr>
              <w:t>Sesterské spoločnosti</w:t>
            </w:r>
          </w:p>
        </w:tc>
        <w:tc>
          <w:tcPr>
            <w:tcW w:w="537" w:type="pct"/>
            <w:tcBorders>
              <w:top w:val="single" w:sz="4" w:space="0" w:color="auto"/>
              <w:left w:val="nil"/>
              <w:bottom w:val="nil"/>
              <w:right w:val="nil"/>
            </w:tcBorders>
            <w:shd w:val="clear" w:color="auto" w:fill="auto"/>
            <w:vAlign w:val="center"/>
            <w:hideMark/>
          </w:tcPr>
          <w:p w:rsidR="00BA64AD" w:rsidRPr="00BA64AD" w:rsidRDefault="00BA64AD" w:rsidP="00BA64AD">
            <w:pPr>
              <w:jc w:val="center"/>
              <w:rPr>
                <w:rFonts w:cs="Arial"/>
                <w:sz w:val="15"/>
                <w:szCs w:val="15"/>
              </w:rPr>
            </w:pPr>
            <w:r w:rsidRPr="00BA64AD">
              <w:rPr>
                <w:rFonts w:cs="Arial"/>
                <w:sz w:val="15"/>
                <w:szCs w:val="15"/>
              </w:rPr>
              <w:t xml:space="preserve"> </w:t>
            </w:r>
          </w:p>
        </w:tc>
        <w:tc>
          <w:tcPr>
            <w:tcW w:w="461"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8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3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191 653</w:t>
            </w:r>
          </w:p>
        </w:tc>
        <w:tc>
          <w:tcPr>
            <w:tcW w:w="47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21 690</w:t>
            </w:r>
          </w:p>
        </w:tc>
        <w:tc>
          <w:tcPr>
            <w:tcW w:w="37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79 328</w:t>
            </w:r>
          </w:p>
        </w:tc>
        <w:tc>
          <w:tcPr>
            <w:tcW w:w="37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18 075</w:t>
            </w:r>
          </w:p>
        </w:tc>
        <w:tc>
          <w:tcPr>
            <w:tcW w:w="37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7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0E2CA7" w:rsidTr="00BA64AD">
        <w:trPr>
          <w:trHeight w:val="195"/>
        </w:trPr>
        <w:tc>
          <w:tcPr>
            <w:tcW w:w="1119" w:type="pct"/>
            <w:tcBorders>
              <w:top w:val="nil"/>
              <w:left w:val="nil"/>
              <w:bottom w:val="nil"/>
              <w:right w:val="nil"/>
            </w:tcBorders>
            <w:shd w:val="clear" w:color="auto" w:fill="auto"/>
            <w:vAlign w:val="center"/>
            <w:hideMark/>
          </w:tcPr>
          <w:p w:rsidR="00BA64AD" w:rsidRPr="00BA64AD" w:rsidRDefault="000E2CA7" w:rsidP="00BA64AD">
            <w:pPr>
              <w:rPr>
                <w:rFonts w:cs="Arial"/>
                <w:sz w:val="15"/>
                <w:szCs w:val="15"/>
              </w:rPr>
            </w:pPr>
            <w:r w:rsidRPr="00BA64AD">
              <w:rPr>
                <w:rFonts w:cs="Arial"/>
                <w:sz w:val="15"/>
                <w:szCs w:val="15"/>
              </w:rPr>
              <w:t>Dcérske</w:t>
            </w:r>
            <w:r w:rsidR="00BA64AD" w:rsidRPr="00BA64AD">
              <w:rPr>
                <w:rFonts w:cs="Arial"/>
                <w:sz w:val="15"/>
                <w:szCs w:val="15"/>
              </w:rPr>
              <w:t xml:space="preserve"> spoločnosti</w:t>
            </w:r>
          </w:p>
        </w:tc>
        <w:tc>
          <w:tcPr>
            <w:tcW w:w="537" w:type="pct"/>
            <w:tcBorders>
              <w:top w:val="nil"/>
              <w:left w:val="nil"/>
              <w:bottom w:val="nil"/>
              <w:right w:val="nil"/>
            </w:tcBorders>
            <w:shd w:val="clear" w:color="auto" w:fill="auto"/>
            <w:vAlign w:val="center"/>
            <w:hideMark/>
          </w:tcPr>
          <w:p w:rsidR="00BA64AD" w:rsidRPr="00BA64AD" w:rsidRDefault="00BA64AD" w:rsidP="00BA64AD">
            <w:pPr>
              <w:jc w:val="center"/>
              <w:rPr>
                <w:rFonts w:cs="Arial"/>
                <w:sz w:val="15"/>
                <w:szCs w:val="15"/>
              </w:rPr>
            </w:pPr>
            <w:r w:rsidRPr="00BA64AD">
              <w:rPr>
                <w:rFonts w:cs="Arial"/>
                <w:sz w:val="15"/>
                <w:szCs w:val="15"/>
              </w:rPr>
              <w:t xml:space="preserve"> </w:t>
            </w:r>
          </w:p>
        </w:tc>
        <w:tc>
          <w:tcPr>
            <w:tcW w:w="461"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84"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39"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11 560</w:t>
            </w:r>
          </w:p>
        </w:tc>
        <w:tc>
          <w:tcPr>
            <w:tcW w:w="47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417</w:t>
            </w:r>
          </w:p>
        </w:tc>
        <w:tc>
          <w:tcPr>
            <w:tcW w:w="37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16 271</w:t>
            </w:r>
          </w:p>
        </w:tc>
        <w:tc>
          <w:tcPr>
            <w:tcW w:w="37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1 273</w:t>
            </w:r>
          </w:p>
        </w:tc>
        <w:tc>
          <w:tcPr>
            <w:tcW w:w="37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7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0E2CA7" w:rsidTr="00BA64AD">
        <w:trPr>
          <w:trHeight w:val="210"/>
        </w:trPr>
        <w:tc>
          <w:tcPr>
            <w:tcW w:w="1119" w:type="pct"/>
            <w:tcBorders>
              <w:top w:val="nil"/>
              <w:left w:val="nil"/>
              <w:bottom w:val="single" w:sz="8" w:space="0" w:color="auto"/>
              <w:right w:val="nil"/>
            </w:tcBorders>
            <w:shd w:val="clear" w:color="auto" w:fill="auto"/>
            <w:vAlign w:val="center"/>
            <w:hideMark/>
          </w:tcPr>
          <w:p w:rsidR="00BA64AD" w:rsidRPr="00BA64AD" w:rsidRDefault="00BA64AD" w:rsidP="00BA64AD">
            <w:pPr>
              <w:rPr>
                <w:rFonts w:cs="Arial"/>
                <w:sz w:val="15"/>
                <w:szCs w:val="15"/>
              </w:rPr>
            </w:pPr>
            <w:r w:rsidRPr="00BA64AD">
              <w:rPr>
                <w:rFonts w:cs="Arial"/>
                <w:sz w:val="15"/>
                <w:szCs w:val="15"/>
              </w:rPr>
              <w:t> </w:t>
            </w:r>
          </w:p>
        </w:tc>
        <w:tc>
          <w:tcPr>
            <w:tcW w:w="537" w:type="pct"/>
            <w:tcBorders>
              <w:top w:val="nil"/>
              <w:left w:val="nil"/>
              <w:bottom w:val="single" w:sz="8" w:space="0" w:color="auto"/>
              <w:right w:val="nil"/>
            </w:tcBorders>
            <w:shd w:val="clear" w:color="auto" w:fill="auto"/>
            <w:vAlign w:val="center"/>
            <w:hideMark/>
          </w:tcPr>
          <w:p w:rsidR="00BA64AD" w:rsidRPr="00BA64AD" w:rsidRDefault="00BA64AD" w:rsidP="00BA64AD">
            <w:pPr>
              <w:jc w:val="center"/>
              <w:rPr>
                <w:rFonts w:cs="Arial"/>
                <w:sz w:val="15"/>
                <w:szCs w:val="15"/>
              </w:rPr>
            </w:pPr>
            <w:r w:rsidRPr="00BA64AD">
              <w:rPr>
                <w:rFonts w:cs="Arial"/>
                <w:sz w:val="15"/>
                <w:szCs w:val="15"/>
              </w:rPr>
              <w:t xml:space="preserve"> </w:t>
            </w:r>
          </w:p>
        </w:tc>
        <w:tc>
          <w:tcPr>
            <w:tcW w:w="461"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84"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39"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472"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73"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73"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73"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70"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bl>
    <w:p w:rsidR="00401CA3" w:rsidRPr="000E2CA7" w:rsidRDefault="00401CA3" w:rsidP="00401CA3">
      <w:pPr>
        <w:rPr>
          <w:sz w:val="10"/>
          <w:szCs w:val="10"/>
        </w:rPr>
      </w:pPr>
    </w:p>
    <w:p w:rsidR="00BA64AD" w:rsidRPr="000E2CA7" w:rsidRDefault="00BA64AD" w:rsidP="001E2635">
      <w:pPr>
        <w:rPr>
          <w:snapToGrid w:val="0"/>
          <w:sz w:val="15"/>
          <w:szCs w:val="15"/>
        </w:rPr>
      </w:pPr>
      <w:bookmarkStart w:id="36" w:name="T_related_parties_2"/>
      <w:bookmarkEnd w:id="34"/>
      <w:r w:rsidRPr="000E2CA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2858"/>
        <w:gridCol w:w="858"/>
        <w:gridCol w:w="686"/>
        <w:gridCol w:w="687"/>
        <w:gridCol w:w="687"/>
        <w:gridCol w:w="687"/>
        <w:gridCol w:w="687"/>
        <w:gridCol w:w="687"/>
        <w:gridCol w:w="687"/>
        <w:gridCol w:w="687"/>
      </w:tblGrid>
      <w:tr w:rsidR="00BA64AD" w:rsidRPr="00BA64AD" w:rsidTr="00BA64AD">
        <w:trPr>
          <w:trHeight w:val="420"/>
        </w:trPr>
        <w:tc>
          <w:tcPr>
            <w:tcW w:w="1561" w:type="pct"/>
            <w:vMerge w:val="restart"/>
            <w:tcBorders>
              <w:top w:val="single" w:sz="8" w:space="0" w:color="auto"/>
              <w:left w:val="nil"/>
              <w:bottom w:val="nil"/>
              <w:right w:val="nil"/>
            </w:tcBorders>
            <w:shd w:val="clear" w:color="auto" w:fill="auto"/>
            <w:vAlign w:val="center"/>
            <w:hideMark/>
          </w:tcPr>
          <w:p w:rsidR="00BA64AD" w:rsidRPr="00BA64AD" w:rsidRDefault="00BA64AD" w:rsidP="00BA64AD">
            <w:pPr>
              <w:jc w:val="left"/>
              <w:rPr>
                <w:rFonts w:cs="Arial"/>
                <w:b/>
                <w:bCs/>
                <w:i/>
                <w:iCs/>
                <w:sz w:val="15"/>
                <w:szCs w:val="15"/>
              </w:rPr>
            </w:pPr>
            <w:bookmarkStart w:id="37" w:name="RANGE!B15:K19"/>
            <w:r w:rsidRPr="00BA64AD">
              <w:rPr>
                <w:rFonts w:cs="Arial"/>
                <w:b/>
                <w:bCs/>
                <w:i/>
                <w:iCs/>
                <w:sz w:val="15"/>
                <w:szCs w:val="15"/>
              </w:rPr>
              <w:t>Dcérska účtovná jednotka/Materská účtovná jednotka</w:t>
            </w:r>
            <w:bookmarkEnd w:id="37"/>
          </w:p>
        </w:tc>
        <w:tc>
          <w:tcPr>
            <w:tcW w:w="382" w:type="pct"/>
            <w:vMerge w:val="restar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Kód druhu obchodu</w:t>
            </w:r>
          </w:p>
        </w:tc>
        <w:tc>
          <w:tcPr>
            <w:tcW w:w="764" w:type="pct"/>
            <w:gridSpan w:val="2"/>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Pohľadávky</w:t>
            </w:r>
          </w:p>
        </w:tc>
        <w:tc>
          <w:tcPr>
            <w:tcW w:w="764" w:type="pct"/>
            <w:gridSpan w:val="2"/>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Záväzky</w:t>
            </w:r>
          </w:p>
        </w:tc>
        <w:tc>
          <w:tcPr>
            <w:tcW w:w="764" w:type="pct"/>
            <w:gridSpan w:val="2"/>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Náklady</w:t>
            </w:r>
          </w:p>
        </w:tc>
        <w:tc>
          <w:tcPr>
            <w:tcW w:w="764" w:type="pct"/>
            <w:gridSpan w:val="2"/>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Výnosy</w:t>
            </w:r>
          </w:p>
        </w:tc>
      </w:tr>
      <w:tr w:rsidR="00BA64AD" w:rsidRPr="00BA64AD" w:rsidTr="00BA64AD">
        <w:trPr>
          <w:trHeight w:val="195"/>
        </w:trPr>
        <w:tc>
          <w:tcPr>
            <w:tcW w:w="1561" w:type="pct"/>
            <w:vMerge/>
            <w:tcBorders>
              <w:top w:val="single" w:sz="8" w:space="0" w:color="auto"/>
              <w:left w:val="nil"/>
              <w:bottom w:val="nil"/>
              <w:right w:val="nil"/>
            </w:tcBorders>
            <w:vAlign w:val="center"/>
            <w:hideMark/>
          </w:tcPr>
          <w:p w:rsidR="00BA64AD" w:rsidRPr="00BA64AD" w:rsidRDefault="00BA64AD" w:rsidP="00BA64AD">
            <w:pPr>
              <w:jc w:val="left"/>
              <w:rPr>
                <w:rFonts w:cs="Arial"/>
                <w:b/>
                <w:bCs/>
                <w:i/>
                <w:iCs/>
                <w:sz w:val="15"/>
                <w:szCs w:val="15"/>
              </w:rPr>
            </w:pPr>
          </w:p>
        </w:tc>
        <w:tc>
          <w:tcPr>
            <w:tcW w:w="382" w:type="pct"/>
            <w:vMerge/>
            <w:tcBorders>
              <w:top w:val="single" w:sz="8" w:space="0" w:color="auto"/>
              <w:left w:val="nil"/>
              <w:bottom w:val="nil"/>
              <w:right w:val="nil"/>
            </w:tcBorders>
            <w:vAlign w:val="center"/>
            <w:hideMark/>
          </w:tcPr>
          <w:p w:rsidR="00BA64AD" w:rsidRPr="00BA64AD" w:rsidRDefault="00BA64AD" w:rsidP="00BA64AD">
            <w:pPr>
              <w:jc w:val="left"/>
              <w:rPr>
                <w:rFonts w:cs="Arial"/>
                <w:b/>
                <w:bCs/>
                <w:i/>
                <w:iCs/>
                <w:sz w:val="15"/>
                <w:szCs w:val="15"/>
              </w:rPr>
            </w:pPr>
          </w:p>
        </w:tc>
        <w:tc>
          <w:tcPr>
            <w:tcW w:w="382"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2014</w:t>
            </w:r>
          </w:p>
        </w:tc>
        <w:tc>
          <w:tcPr>
            <w:tcW w:w="382"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2013</w:t>
            </w:r>
          </w:p>
        </w:tc>
        <w:tc>
          <w:tcPr>
            <w:tcW w:w="382"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2014</w:t>
            </w:r>
          </w:p>
        </w:tc>
        <w:tc>
          <w:tcPr>
            <w:tcW w:w="382"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2013</w:t>
            </w:r>
          </w:p>
        </w:tc>
        <w:tc>
          <w:tcPr>
            <w:tcW w:w="382"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2014</w:t>
            </w:r>
          </w:p>
        </w:tc>
        <w:tc>
          <w:tcPr>
            <w:tcW w:w="382"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2013</w:t>
            </w:r>
          </w:p>
        </w:tc>
        <w:tc>
          <w:tcPr>
            <w:tcW w:w="382"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2014</w:t>
            </w:r>
          </w:p>
        </w:tc>
        <w:tc>
          <w:tcPr>
            <w:tcW w:w="382"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2013</w:t>
            </w:r>
          </w:p>
        </w:tc>
      </w:tr>
      <w:tr w:rsidR="00BA64AD" w:rsidRPr="00BA64AD" w:rsidTr="00BA64AD">
        <w:trPr>
          <w:trHeight w:val="195"/>
        </w:trPr>
        <w:tc>
          <w:tcPr>
            <w:tcW w:w="1561" w:type="pct"/>
            <w:tcBorders>
              <w:top w:val="single" w:sz="4" w:space="0" w:color="auto"/>
              <w:left w:val="nil"/>
              <w:bottom w:val="nil"/>
              <w:right w:val="nil"/>
            </w:tcBorders>
            <w:shd w:val="clear" w:color="auto" w:fill="auto"/>
            <w:vAlign w:val="center"/>
            <w:hideMark/>
          </w:tcPr>
          <w:p w:rsidR="00BA64AD" w:rsidRPr="00BA64AD" w:rsidRDefault="00BA64AD" w:rsidP="00BA64AD">
            <w:pPr>
              <w:rPr>
                <w:rFonts w:cs="Arial"/>
                <w:sz w:val="15"/>
                <w:szCs w:val="15"/>
              </w:rPr>
            </w:pPr>
            <w:r w:rsidRPr="00BA64AD">
              <w:rPr>
                <w:rFonts w:cs="Arial"/>
                <w:sz w:val="15"/>
                <w:szCs w:val="15"/>
              </w:rPr>
              <w:t>Deloitte Central Europe Holdings Limited</w:t>
            </w:r>
          </w:p>
        </w:tc>
        <w:tc>
          <w:tcPr>
            <w:tcW w:w="382" w:type="pct"/>
            <w:tcBorders>
              <w:top w:val="single" w:sz="4" w:space="0" w:color="auto"/>
              <w:left w:val="nil"/>
              <w:bottom w:val="nil"/>
              <w:right w:val="nil"/>
            </w:tcBorders>
            <w:shd w:val="clear" w:color="auto" w:fill="auto"/>
            <w:vAlign w:val="center"/>
            <w:hideMark/>
          </w:tcPr>
          <w:p w:rsidR="00BA64AD" w:rsidRPr="00BA64AD" w:rsidRDefault="00BA64AD" w:rsidP="00BA64AD">
            <w:pPr>
              <w:jc w:val="center"/>
              <w:rPr>
                <w:rFonts w:cs="Arial"/>
                <w:sz w:val="15"/>
                <w:szCs w:val="15"/>
              </w:rPr>
            </w:pPr>
            <w:r w:rsidRPr="00BA64AD">
              <w:rPr>
                <w:rFonts w:cs="Arial"/>
                <w:sz w:val="15"/>
                <w:szCs w:val="15"/>
              </w:rPr>
              <w:t>5</w:t>
            </w:r>
          </w:p>
        </w:tc>
        <w:tc>
          <w:tcPr>
            <w:tcW w:w="38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8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8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624</w:t>
            </w:r>
          </w:p>
        </w:tc>
        <w:tc>
          <w:tcPr>
            <w:tcW w:w="38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417</w:t>
            </w:r>
          </w:p>
        </w:tc>
        <w:tc>
          <w:tcPr>
            <w:tcW w:w="38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8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624</w:t>
            </w:r>
          </w:p>
        </w:tc>
        <w:tc>
          <w:tcPr>
            <w:tcW w:w="38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8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rPr>
          <w:trHeight w:val="195"/>
        </w:trPr>
        <w:tc>
          <w:tcPr>
            <w:tcW w:w="1561" w:type="pct"/>
            <w:tcBorders>
              <w:top w:val="nil"/>
              <w:left w:val="nil"/>
              <w:bottom w:val="nil"/>
              <w:right w:val="nil"/>
            </w:tcBorders>
            <w:shd w:val="clear" w:color="auto" w:fill="auto"/>
            <w:vAlign w:val="center"/>
            <w:hideMark/>
          </w:tcPr>
          <w:p w:rsidR="00BA64AD" w:rsidRPr="00BA64AD" w:rsidRDefault="00BA64AD" w:rsidP="00BA64AD">
            <w:pPr>
              <w:rPr>
                <w:rFonts w:cs="Arial"/>
                <w:sz w:val="15"/>
                <w:szCs w:val="15"/>
              </w:rPr>
            </w:pPr>
            <w:r w:rsidRPr="00BA64AD">
              <w:rPr>
                <w:rFonts w:cs="Arial"/>
                <w:sz w:val="15"/>
                <w:szCs w:val="15"/>
              </w:rPr>
              <w:t>Deloitte Central Europe</w:t>
            </w:r>
          </w:p>
        </w:tc>
        <w:tc>
          <w:tcPr>
            <w:tcW w:w="382" w:type="pct"/>
            <w:tcBorders>
              <w:top w:val="nil"/>
              <w:left w:val="nil"/>
              <w:bottom w:val="nil"/>
              <w:right w:val="nil"/>
            </w:tcBorders>
            <w:shd w:val="clear" w:color="auto" w:fill="auto"/>
            <w:vAlign w:val="center"/>
            <w:hideMark/>
          </w:tcPr>
          <w:p w:rsidR="00BA64AD" w:rsidRPr="00BA64AD" w:rsidRDefault="00BA64AD" w:rsidP="00BA64AD">
            <w:pPr>
              <w:jc w:val="center"/>
              <w:rPr>
                <w:rFonts w:cs="Arial"/>
                <w:sz w:val="15"/>
                <w:szCs w:val="15"/>
              </w:rPr>
            </w:pPr>
            <w:r w:rsidRPr="00BA64AD">
              <w:rPr>
                <w:rFonts w:cs="Arial"/>
                <w:sz w:val="15"/>
                <w:szCs w:val="15"/>
              </w:rPr>
              <w:t>3</w:t>
            </w:r>
          </w:p>
        </w:tc>
        <w:tc>
          <w:tcPr>
            <w:tcW w:w="38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8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8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10 936</w:t>
            </w:r>
          </w:p>
        </w:tc>
        <w:tc>
          <w:tcPr>
            <w:tcW w:w="38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8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16 271</w:t>
            </w:r>
          </w:p>
        </w:tc>
        <w:tc>
          <w:tcPr>
            <w:tcW w:w="38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649</w:t>
            </w:r>
          </w:p>
        </w:tc>
        <w:tc>
          <w:tcPr>
            <w:tcW w:w="38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8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rPr>
          <w:trHeight w:val="210"/>
        </w:trPr>
        <w:tc>
          <w:tcPr>
            <w:tcW w:w="1561" w:type="pct"/>
            <w:tcBorders>
              <w:top w:val="nil"/>
              <w:left w:val="nil"/>
              <w:bottom w:val="single" w:sz="8" w:space="0" w:color="auto"/>
              <w:right w:val="nil"/>
            </w:tcBorders>
            <w:shd w:val="clear" w:color="auto" w:fill="auto"/>
            <w:vAlign w:val="center"/>
            <w:hideMark/>
          </w:tcPr>
          <w:p w:rsidR="00BA64AD" w:rsidRPr="00BA64AD" w:rsidRDefault="00BA64AD" w:rsidP="00BA64AD">
            <w:pPr>
              <w:rPr>
                <w:rFonts w:cs="Arial"/>
                <w:sz w:val="15"/>
                <w:szCs w:val="15"/>
              </w:rPr>
            </w:pPr>
            <w:r w:rsidRPr="00BA64AD">
              <w:rPr>
                <w:rFonts w:cs="Arial"/>
                <w:sz w:val="15"/>
                <w:szCs w:val="15"/>
              </w:rPr>
              <w:t> </w:t>
            </w:r>
          </w:p>
        </w:tc>
        <w:tc>
          <w:tcPr>
            <w:tcW w:w="382" w:type="pct"/>
            <w:tcBorders>
              <w:top w:val="nil"/>
              <w:left w:val="nil"/>
              <w:bottom w:val="single" w:sz="8" w:space="0" w:color="auto"/>
              <w:right w:val="nil"/>
            </w:tcBorders>
            <w:shd w:val="clear" w:color="auto" w:fill="auto"/>
            <w:vAlign w:val="center"/>
            <w:hideMark/>
          </w:tcPr>
          <w:p w:rsidR="00BA64AD" w:rsidRPr="00BA64AD" w:rsidRDefault="00BA64AD" w:rsidP="00BA64AD">
            <w:pPr>
              <w:jc w:val="center"/>
              <w:rPr>
                <w:rFonts w:cs="Arial"/>
                <w:sz w:val="15"/>
                <w:szCs w:val="15"/>
              </w:rPr>
            </w:pPr>
            <w:r w:rsidRPr="00BA64AD">
              <w:rPr>
                <w:rFonts w:cs="Arial"/>
                <w:sz w:val="15"/>
                <w:szCs w:val="15"/>
              </w:rPr>
              <w:t xml:space="preserve"> </w:t>
            </w:r>
          </w:p>
        </w:tc>
        <w:tc>
          <w:tcPr>
            <w:tcW w:w="382"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82"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82"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82"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82"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82"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82"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382"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bl>
    <w:p w:rsidR="00401CA3" w:rsidRPr="000E2CA7" w:rsidRDefault="00401CA3" w:rsidP="001E2635">
      <w:pPr>
        <w:rPr>
          <w:snapToGrid w:val="0"/>
          <w:sz w:val="15"/>
          <w:szCs w:val="15"/>
        </w:rPr>
      </w:pPr>
    </w:p>
    <w:bookmarkEnd w:id="36"/>
    <w:p w:rsidR="00B93233" w:rsidRPr="000E2CA7" w:rsidRDefault="00634E56" w:rsidP="00B93233">
      <w:pPr>
        <w:rPr>
          <w:i/>
        </w:rPr>
      </w:pPr>
      <w:r w:rsidRPr="000E2CA7">
        <w:rPr>
          <w:i/>
        </w:rPr>
        <w:t>Kód druhu obchodu</w:t>
      </w:r>
      <w:r w:rsidR="00B93233" w:rsidRPr="000E2CA7">
        <w:rPr>
          <w:i/>
        </w:rPr>
        <w:t>:</w:t>
      </w:r>
    </w:p>
    <w:p w:rsidR="00B93233" w:rsidRPr="000E2CA7" w:rsidRDefault="00B93233" w:rsidP="00B93233">
      <w:pPr>
        <w:rPr>
          <w:i/>
        </w:rPr>
      </w:pPr>
      <w:r w:rsidRPr="000E2CA7">
        <w:rPr>
          <w:i/>
        </w:rPr>
        <w:t>01 – kúpa, 02 – predaj, 03 – poskytnutie služby, 04 – obchodné zastúpenie, 05 – licencia, 06 – transfer, 07 – know-how, 08 – úver, pôžička, 09 – výpomoc, 10 – záruka, 11 – iný obchod</w:t>
      </w:r>
    </w:p>
    <w:p w:rsidR="0073254A" w:rsidRPr="000E2CA7" w:rsidRDefault="0073254A">
      <w:pPr>
        <w:jc w:val="left"/>
        <w:rPr>
          <w:rFonts w:cs="Arial"/>
          <w:b/>
          <w:bCs/>
          <w:caps/>
          <w:kern w:val="32"/>
          <w:sz w:val="18"/>
          <w:szCs w:val="32"/>
          <w:u w:val="single"/>
        </w:rPr>
      </w:pPr>
    </w:p>
    <w:p w:rsidR="00BA64AD" w:rsidRPr="000E2CA7" w:rsidRDefault="00BA64AD">
      <w:pPr>
        <w:jc w:val="left"/>
        <w:rPr>
          <w:rFonts w:cs="Arial"/>
          <w:b/>
          <w:bCs/>
          <w:caps/>
          <w:kern w:val="32"/>
          <w:sz w:val="18"/>
          <w:szCs w:val="32"/>
          <w:u w:val="single"/>
        </w:rPr>
      </w:pPr>
    </w:p>
    <w:p w:rsidR="001E2635" w:rsidRPr="000E2CA7" w:rsidRDefault="001E2635" w:rsidP="001E2635">
      <w:pPr>
        <w:pStyle w:val="Heading1"/>
      </w:pPr>
      <w:r w:rsidRPr="000E2CA7">
        <w:t>SKUTOČNOSTI, KTORÉ NASTALI PO DNI, KU KTORÉMU SA ZOSTAVUJE ÚČTOVNÁ ZÁVIERKA, A DO DŇA ZOSTAVENIA ÚČTOVNEJ ZÁVIERKY</w:t>
      </w:r>
    </w:p>
    <w:p w:rsidR="001E2635" w:rsidRPr="000E2CA7" w:rsidRDefault="001E2635" w:rsidP="001E2635">
      <w:pPr>
        <w:rPr>
          <w:sz w:val="15"/>
          <w:szCs w:val="15"/>
        </w:rPr>
      </w:pPr>
    </w:p>
    <w:p w:rsidR="001E2635" w:rsidRPr="000E2CA7" w:rsidRDefault="001E2635" w:rsidP="001E2635">
      <w:pPr>
        <w:rPr>
          <w:snapToGrid w:val="0"/>
        </w:rPr>
      </w:pPr>
      <w:r w:rsidRPr="000E2CA7">
        <w:rPr>
          <w:snapToGrid w:val="0"/>
        </w:rPr>
        <w:t>Po 31. decembri 20</w:t>
      </w:r>
      <w:r w:rsidR="00894947" w:rsidRPr="000E2CA7">
        <w:rPr>
          <w:snapToGrid w:val="0"/>
        </w:rPr>
        <w:t>1</w:t>
      </w:r>
      <w:r w:rsidR="00BA64AD" w:rsidRPr="000E2CA7">
        <w:rPr>
          <w:snapToGrid w:val="0"/>
        </w:rPr>
        <w:t>4</w:t>
      </w:r>
      <w:r w:rsidRPr="000E2CA7">
        <w:rPr>
          <w:snapToGrid w:val="0"/>
        </w:rPr>
        <w:t xml:space="preserve"> a do dňa zostavenia účtovnej závierky nenastali žiadne také udalosti, ktoré by významným spôsobom ovplyvnili aktíva a pasíva spoločnosti, okrem tých, ktoré sú výsledkom bežnej činnosti.</w:t>
      </w:r>
    </w:p>
    <w:p w:rsidR="00BA64AD" w:rsidRPr="000E2CA7" w:rsidRDefault="00BA64AD">
      <w:pPr>
        <w:jc w:val="left"/>
        <w:rPr>
          <w:rFonts w:cs="Arial"/>
          <w:b/>
          <w:bCs/>
          <w:caps/>
          <w:kern w:val="32"/>
          <w:sz w:val="18"/>
          <w:szCs w:val="32"/>
          <w:u w:val="single"/>
        </w:rPr>
      </w:pPr>
      <w:r w:rsidRPr="000E2CA7">
        <w:br w:type="page"/>
      </w:r>
    </w:p>
    <w:p w:rsidR="001E2635" w:rsidRPr="000E2CA7" w:rsidRDefault="001E2635" w:rsidP="001E2635">
      <w:pPr>
        <w:pStyle w:val="Heading1"/>
      </w:pPr>
      <w:r w:rsidRPr="000E2CA7">
        <w:lastRenderedPageBreak/>
        <w:t>PREHĽAD ZMIEN VLASTNÉHO IMANIA</w:t>
      </w:r>
    </w:p>
    <w:p w:rsidR="00DF3A12" w:rsidRPr="000E2CA7" w:rsidRDefault="00DF3A12" w:rsidP="001E2635">
      <w:pPr>
        <w:rPr>
          <w:i/>
          <w:snapToGrid w:val="0"/>
          <w:color w:val="FF0000"/>
        </w:rPr>
      </w:pPr>
    </w:p>
    <w:p w:rsidR="00B93233" w:rsidRPr="000E2CA7" w:rsidRDefault="00B93233" w:rsidP="00B93233">
      <w:pPr>
        <w:rPr>
          <w:snapToGrid w:val="0"/>
          <w:color w:val="000000"/>
          <w:u w:val="single"/>
        </w:rPr>
      </w:pPr>
      <w:r w:rsidRPr="000E2CA7">
        <w:rPr>
          <w:snapToGrid w:val="0"/>
          <w:color w:val="000000"/>
          <w:u w:val="single"/>
        </w:rPr>
        <w:t>31. december 201</w:t>
      </w:r>
      <w:r w:rsidR="00BA64AD" w:rsidRPr="000E2CA7">
        <w:rPr>
          <w:snapToGrid w:val="0"/>
          <w:color w:val="000000"/>
          <w:u w:val="single"/>
        </w:rPr>
        <w:t>4</w:t>
      </w:r>
    </w:p>
    <w:p w:rsidR="00BA64AD" w:rsidRPr="000E2CA7" w:rsidRDefault="00BA64AD" w:rsidP="001E2635">
      <w:pPr>
        <w:rPr>
          <w:snapToGrid w:val="0"/>
        </w:rPr>
      </w:pPr>
      <w:bookmarkStart w:id="38" w:name="T_changes_in_equity_1"/>
      <w:r w:rsidRPr="000E2CA7">
        <w:rPr>
          <w:snapToGrid w:val="0"/>
          <w:color w:val="000000"/>
        </w:rPr>
        <w:t xml:space="preserve"> </w:t>
      </w:r>
    </w:p>
    <w:tbl>
      <w:tblPr>
        <w:tblW w:w="5000" w:type="pct"/>
        <w:tblCellMar>
          <w:left w:w="70" w:type="dxa"/>
          <w:right w:w="70" w:type="dxa"/>
        </w:tblCellMar>
        <w:tblLook w:val="04A0" w:firstRow="1" w:lastRow="0" w:firstColumn="1" w:lastColumn="0" w:noHBand="0" w:noVBand="1"/>
      </w:tblPr>
      <w:tblGrid>
        <w:gridCol w:w="3733"/>
        <w:gridCol w:w="1111"/>
        <w:gridCol w:w="1013"/>
        <w:gridCol w:w="1013"/>
        <w:gridCol w:w="1013"/>
        <w:gridCol w:w="1328"/>
      </w:tblGrid>
      <w:tr w:rsidR="00BA64AD" w:rsidRPr="00BA64AD" w:rsidTr="00BA64AD">
        <w:tc>
          <w:tcPr>
            <w:tcW w:w="2026" w:type="pct"/>
            <w:vMerge w:val="restart"/>
            <w:tcBorders>
              <w:top w:val="single" w:sz="8" w:space="0" w:color="auto"/>
              <w:left w:val="nil"/>
              <w:bottom w:val="single" w:sz="4" w:space="0" w:color="000000"/>
              <w:right w:val="nil"/>
            </w:tcBorders>
            <w:shd w:val="clear" w:color="auto" w:fill="auto"/>
            <w:vAlign w:val="center"/>
            <w:hideMark/>
          </w:tcPr>
          <w:p w:rsidR="00BA64AD" w:rsidRPr="00BA64AD" w:rsidRDefault="00BA64AD" w:rsidP="00BA64AD">
            <w:pPr>
              <w:ind w:left="142" w:hanging="142"/>
              <w:jc w:val="left"/>
              <w:rPr>
                <w:rFonts w:cs="Arial"/>
                <w:b/>
                <w:bCs/>
                <w:i/>
                <w:iCs/>
                <w:sz w:val="15"/>
                <w:szCs w:val="15"/>
              </w:rPr>
            </w:pPr>
            <w:bookmarkStart w:id="39" w:name="RANGE!B11:G31"/>
            <w:r w:rsidRPr="00BA64AD">
              <w:rPr>
                <w:rFonts w:cs="Arial"/>
                <w:b/>
                <w:bCs/>
                <w:i/>
                <w:iCs/>
                <w:sz w:val="15"/>
                <w:szCs w:val="15"/>
              </w:rPr>
              <w:t>Položka</w:t>
            </w:r>
            <w:bookmarkEnd w:id="39"/>
          </w:p>
        </w:tc>
        <w:tc>
          <w:tcPr>
            <w:tcW w:w="603"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Stav</w:t>
            </w:r>
          </w:p>
        </w:tc>
        <w:tc>
          <w:tcPr>
            <w:tcW w:w="550" w:type="pct"/>
            <w:vMerge w:val="restar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Prírastky</w:t>
            </w:r>
          </w:p>
        </w:tc>
        <w:tc>
          <w:tcPr>
            <w:tcW w:w="550" w:type="pct"/>
            <w:vMerge w:val="restar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Úbytky</w:t>
            </w:r>
          </w:p>
        </w:tc>
        <w:tc>
          <w:tcPr>
            <w:tcW w:w="550" w:type="pct"/>
            <w:vMerge w:val="restar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Presuny</w:t>
            </w:r>
          </w:p>
        </w:tc>
        <w:tc>
          <w:tcPr>
            <w:tcW w:w="722"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Stav</w:t>
            </w:r>
          </w:p>
        </w:tc>
      </w:tr>
      <w:tr w:rsidR="00BA64AD" w:rsidRPr="00BA64AD" w:rsidTr="00BA64AD">
        <w:tc>
          <w:tcPr>
            <w:tcW w:w="2026" w:type="pct"/>
            <w:vMerge/>
            <w:tcBorders>
              <w:top w:val="single" w:sz="8" w:space="0" w:color="auto"/>
              <w:left w:val="nil"/>
              <w:bottom w:val="single" w:sz="4" w:space="0" w:color="000000"/>
              <w:right w:val="nil"/>
            </w:tcBorders>
            <w:vAlign w:val="center"/>
            <w:hideMark/>
          </w:tcPr>
          <w:p w:rsidR="00BA64AD" w:rsidRPr="00BA64AD" w:rsidRDefault="00BA64AD" w:rsidP="00BA64AD">
            <w:pPr>
              <w:ind w:left="142" w:hanging="142"/>
              <w:jc w:val="left"/>
              <w:rPr>
                <w:rFonts w:cs="Arial"/>
                <w:b/>
                <w:bCs/>
                <w:i/>
                <w:iCs/>
                <w:sz w:val="15"/>
                <w:szCs w:val="15"/>
              </w:rPr>
            </w:pPr>
          </w:p>
        </w:tc>
        <w:tc>
          <w:tcPr>
            <w:tcW w:w="603" w:type="pct"/>
            <w:tcBorders>
              <w:top w:val="nil"/>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k 1. 1. 2014</w:t>
            </w:r>
          </w:p>
        </w:tc>
        <w:tc>
          <w:tcPr>
            <w:tcW w:w="550" w:type="pct"/>
            <w:vMerge/>
            <w:tcBorders>
              <w:top w:val="single" w:sz="8" w:space="0" w:color="auto"/>
              <w:left w:val="nil"/>
              <w:bottom w:val="nil"/>
              <w:right w:val="nil"/>
            </w:tcBorders>
            <w:vAlign w:val="center"/>
            <w:hideMark/>
          </w:tcPr>
          <w:p w:rsidR="00BA64AD" w:rsidRPr="00BA64AD" w:rsidRDefault="00BA64AD" w:rsidP="00BA64AD">
            <w:pPr>
              <w:jc w:val="left"/>
              <w:rPr>
                <w:rFonts w:cs="Arial"/>
                <w:b/>
                <w:bCs/>
                <w:i/>
                <w:iCs/>
                <w:sz w:val="15"/>
                <w:szCs w:val="15"/>
              </w:rPr>
            </w:pPr>
          </w:p>
        </w:tc>
        <w:tc>
          <w:tcPr>
            <w:tcW w:w="550" w:type="pct"/>
            <w:vMerge/>
            <w:tcBorders>
              <w:top w:val="single" w:sz="8" w:space="0" w:color="auto"/>
              <w:left w:val="nil"/>
              <w:bottom w:val="nil"/>
              <w:right w:val="nil"/>
            </w:tcBorders>
            <w:vAlign w:val="center"/>
            <w:hideMark/>
          </w:tcPr>
          <w:p w:rsidR="00BA64AD" w:rsidRPr="00BA64AD" w:rsidRDefault="00BA64AD" w:rsidP="00BA64AD">
            <w:pPr>
              <w:jc w:val="left"/>
              <w:rPr>
                <w:rFonts w:cs="Arial"/>
                <w:b/>
                <w:bCs/>
                <w:i/>
                <w:iCs/>
                <w:sz w:val="15"/>
                <w:szCs w:val="15"/>
              </w:rPr>
            </w:pPr>
          </w:p>
        </w:tc>
        <w:tc>
          <w:tcPr>
            <w:tcW w:w="550" w:type="pct"/>
            <w:vMerge/>
            <w:tcBorders>
              <w:top w:val="single" w:sz="8" w:space="0" w:color="auto"/>
              <w:left w:val="nil"/>
              <w:bottom w:val="nil"/>
              <w:right w:val="nil"/>
            </w:tcBorders>
            <w:vAlign w:val="center"/>
            <w:hideMark/>
          </w:tcPr>
          <w:p w:rsidR="00BA64AD" w:rsidRPr="00BA64AD" w:rsidRDefault="00BA64AD" w:rsidP="00BA64AD">
            <w:pPr>
              <w:jc w:val="left"/>
              <w:rPr>
                <w:rFonts w:cs="Arial"/>
                <w:b/>
                <w:bCs/>
                <w:i/>
                <w:iCs/>
                <w:sz w:val="15"/>
                <w:szCs w:val="15"/>
              </w:rPr>
            </w:pPr>
          </w:p>
        </w:tc>
        <w:tc>
          <w:tcPr>
            <w:tcW w:w="722" w:type="pct"/>
            <w:tcBorders>
              <w:top w:val="nil"/>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k 31. 12. 2014</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Základné imanie</w:t>
            </w:r>
          </w:p>
        </w:tc>
        <w:tc>
          <w:tcPr>
            <w:tcW w:w="603"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5 000</w:t>
            </w:r>
          </w:p>
        </w:tc>
        <w:tc>
          <w:tcPr>
            <w:tcW w:w="550"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5 000</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Vlastné akcie a vlastné obchodné podiely</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Zmena základného imania</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Pohľadávky za upísané vlastné imanie</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Emisné ážio</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Ostatné kapitálové fondy</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Zákonný rezervný fond (nedeliteľný fond) z kapitálových vkladov</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Oceňovacie rozdiely z precenenia majetku a záväzkov</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Oceňovacie rozdiely z kapitálových účastín</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Oceňovacie rozdiely z precenenia pri zlúčení, splynutí a rozdelení</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 xml:space="preserve">Zákonný rezervný fond </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Nedeliteľný fond</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Štatutárne fondy a ostatné fondy</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Nerozdelený zisk minulých rokov</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Neuhradená strata minulých rokov</w:t>
            </w:r>
          </w:p>
        </w:tc>
        <w:tc>
          <w:tcPr>
            <w:tcW w:w="603" w:type="pct"/>
            <w:tcBorders>
              <w:top w:val="nil"/>
              <w:left w:val="nil"/>
              <w:bottom w:val="nil"/>
              <w:right w:val="nil"/>
            </w:tcBorders>
            <w:shd w:val="clear" w:color="auto" w:fill="auto"/>
            <w:vAlign w:val="bottom"/>
            <w:hideMark/>
          </w:tcPr>
          <w:p w:rsidR="00BA64AD" w:rsidRPr="00BA64AD" w:rsidRDefault="00BA64AD" w:rsidP="00BA64AD">
            <w:pPr>
              <w:ind w:right="-57"/>
              <w:jc w:val="right"/>
              <w:rPr>
                <w:rFonts w:cs="Arial"/>
                <w:sz w:val="15"/>
                <w:szCs w:val="15"/>
              </w:rPr>
            </w:pPr>
            <w:r w:rsidRPr="00BA64AD">
              <w:rPr>
                <w:rFonts w:cs="Arial"/>
                <w:sz w:val="15"/>
                <w:szCs w:val="15"/>
              </w:rPr>
              <w:t>(990)</w:t>
            </w:r>
          </w:p>
        </w:tc>
        <w:tc>
          <w:tcPr>
            <w:tcW w:w="550" w:type="pct"/>
            <w:tcBorders>
              <w:top w:val="nil"/>
              <w:left w:val="nil"/>
              <w:bottom w:val="nil"/>
              <w:right w:val="nil"/>
            </w:tcBorders>
            <w:shd w:val="clear" w:color="auto" w:fill="auto"/>
            <w:vAlign w:val="bottom"/>
            <w:hideMark/>
          </w:tcPr>
          <w:p w:rsidR="00BA64AD" w:rsidRPr="00BA64AD" w:rsidRDefault="00BA64AD" w:rsidP="00BA64AD">
            <w:pPr>
              <w:ind w:right="-57"/>
              <w:jc w:val="right"/>
              <w:rPr>
                <w:rFonts w:cs="Arial"/>
                <w:sz w:val="15"/>
                <w:szCs w:val="15"/>
              </w:rPr>
            </w:pPr>
            <w:r w:rsidRPr="00BA64AD">
              <w:rPr>
                <w:rFonts w:cs="Arial"/>
                <w:sz w:val="15"/>
                <w:szCs w:val="15"/>
              </w:rPr>
              <w:t>(108)</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ind w:right="-57"/>
              <w:jc w:val="right"/>
              <w:rPr>
                <w:rFonts w:cs="Arial"/>
                <w:sz w:val="15"/>
                <w:szCs w:val="15"/>
              </w:rPr>
            </w:pPr>
            <w:r w:rsidRPr="00BA64AD">
              <w:rPr>
                <w:rFonts w:cs="Arial"/>
                <w:sz w:val="15"/>
                <w:szCs w:val="15"/>
              </w:rPr>
              <w:t>(1 098)</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Výsledok hospodárenia bežného účtovného obdobia</w:t>
            </w:r>
          </w:p>
        </w:tc>
        <w:tc>
          <w:tcPr>
            <w:tcW w:w="603" w:type="pct"/>
            <w:tcBorders>
              <w:top w:val="nil"/>
              <w:left w:val="nil"/>
              <w:bottom w:val="nil"/>
              <w:right w:val="nil"/>
            </w:tcBorders>
            <w:shd w:val="clear" w:color="auto" w:fill="auto"/>
            <w:vAlign w:val="bottom"/>
            <w:hideMark/>
          </w:tcPr>
          <w:p w:rsidR="00BA64AD" w:rsidRPr="00BA64AD" w:rsidRDefault="00BA64AD" w:rsidP="00BA64AD">
            <w:pPr>
              <w:ind w:right="-57"/>
              <w:jc w:val="right"/>
              <w:rPr>
                <w:rFonts w:cs="Arial"/>
                <w:sz w:val="15"/>
                <w:szCs w:val="15"/>
              </w:rPr>
            </w:pPr>
            <w:r w:rsidRPr="00BA64AD">
              <w:rPr>
                <w:rFonts w:cs="Arial"/>
                <w:sz w:val="15"/>
                <w:szCs w:val="15"/>
              </w:rPr>
              <w:t>(109)</w:t>
            </w:r>
          </w:p>
        </w:tc>
        <w:tc>
          <w:tcPr>
            <w:tcW w:w="550" w:type="pct"/>
            <w:tcBorders>
              <w:top w:val="nil"/>
              <w:left w:val="nil"/>
              <w:bottom w:val="nil"/>
              <w:right w:val="nil"/>
            </w:tcBorders>
            <w:shd w:val="clear" w:color="auto" w:fill="auto"/>
            <w:vAlign w:val="bottom"/>
            <w:hideMark/>
          </w:tcPr>
          <w:p w:rsidR="00BA64AD" w:rsidRPr="00BA64AD" w:rsidRDefault="00BA64AD" w:rsidP="00BA64AD">
            <w:pPr>
              <w:ind w:right="-57"/>
              <w:jc w:val="right"/>
              <w:rPr>
                <w:rFonts w:cs="Arial"/>
                <w:sz w:val="15"/>
                <w:szCs w:val="15"/>
              </w:rPr>
            </w:pPr>
            <w:r w:rsidRPr="00BA64AD">
              <w:rPr>
                <w:rFonts w:cs="Arial"/>
                <w:sz w:val="15"/>
                <w:szCs w:val="15"/>
              </w:rPr>
              <w:t>(35 105)</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ind w:right="-57"/>
              <w:jc w:val="right"/>
              <w:rPr>
                <w:rFonts w:cs="Arial"/>
                <w:sz w:val="15"/>
                <w:szCs w:val="15"/>
              </w:rPr>
            </w:pPr>
            <w:r w:rsidRPr="00BA64AD">
              <w:rPr>
                <w:rFonts w:cs="Arial"/>
                <w:sz w:val="15"/>
                <w:szCs w:val="15"/>
              </w:rPr>
              <w:t>(35 214)</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Vyplatené dividendy</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Ostatné položky vlastného imania</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single" w:sz="8" w:space="0" w:color="auto"/>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 xml:space="preserve">Účet 491 – Vlastné imanie fyzickej osoby – podnikateľa </w:t>
            </w:r>
          </w:p>
        </w:tc>
        <w:tc>
          <w:tcPr>
            <w:tcW w:w="603"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bl>
    <w:p w:rsidR="00B93233" w:rsidRPr="000E2CA7" w:rsidRDefault="00B93233" w:rsidP="001E2635">
      <w:pPr>
        <w:rPr>
          <w:snapToGrid w:val="0"/>
        </w:rPr>
      </w:pPr>
    </w:p>
    <w:bookmarkEnd w:id="38"/>
    <w:p w:rsidR="00E9254D" w:rsidRPr="000E2CA7" w:rsidRDefault="00E9254D" w:rsidP="00E9254D">
      <w:pPr>
        <w:rPr>
          <w:snapToGrid w:val="0"/>
          <w:color w:val="000000"/>
          <w:u w:val="single"/>
        </w:rPr>
      </w:pPr>
      <w:r w:rsidRPr="000E2CA7">
        <w:rPr>
          <w:snapToGrid w:val="0"/>
          <w:color w:val="000000"/>
          <w:u w:val="single"/>
        </w:rPr>
        <w:t>31. december 201</w:t>
      </w:r>
      <w:r w:rsidR="00BA64AD" w:rsidRPr="000E2CA7">
        <w:rPr>
          <w:snapToGrid w:val="0"/>
          <w:color w:val="000000"/>
          <w:u w:val="single"/>
        </w:rPr>
        <w:t>3</w:t>
      </w:r>
    </w:p>
    <w:p w:rsidR="00BA64AD" w:rsidRPr="000E2CA7" w:rsidRDefault="00BA64AD" w:rsidP="001E2635">
      <w:pPr>
        <w:rPr>
          <w:snapToGrid w:val="0"/>
        </w:rPr>
      </w:pPr>
      <w:bookmarkStart w:id="40" w:name="T_changes_in_equity_2"/>
      <w:r w:rsidRPr="000E2CA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3733"/>
        <w:gridCol w:w="1111"/>
        <w:gridCol w:w="1013"/>
        <w:gridCol w:w="1013"/>
        <w:gridCol w:w="1013"/>
        <w:gridCol w:w="1328"/>
      </w:tblGrid>
      <w:tr w:rsidR="00BA64AD" w:rsidRPr="00BA64AD" w:rsidTr="00BA64AD">
        <w:tc>
          <w:tcPr>
            <w:tcW w:w="2026" w:type="pct"/>
            <w:vMerge w:val="restart"/>
            <w:tcBorders>
              <w:top w:val="single" w:sz="8" w:space="0" w:color="auto"/>
              <w:left w:val="nil"/>
              <w:bottom w:val="nil"/>
              <w:right w:val="nil"/>
            </w:tcBorders>
            <w:shd w:val="clear" w:color="auto" w:fill="auto"/>
            <w:vAlign w:val="center"/>
            <w:hideMark/>
          </w:tcPr>
          <w:p w:rsidR="00BA64AD" w:rsidRPr="00BA64AD" w:rsidRDefault="00BA64AD" w:rsidP="00BA64AD">
            <w:pPr>
              <w:ind w:left="142" w:hanging="142"/>
              <w:jc w:val="left"/>
              <w:rPr>
                <w:rFonts w:cs="Arial"/>
                <w:b/>
                <w:bCs/>
                <w:i/>
                <w:iCs/>
                <w:sz w:val="15"/>
                <w:szCs w:val="15"/>
              </w:rPr>
            </w:pPr>
            <w:bookmarkStart w:id="41" w:name="RANGE!B35:G55"/>
            <w:r w:rsidRPr="00BA64AD">
              <w:rPr>
                <w:rFonts w:cs="Arial"/>
                <w:b/>
                <w:bCs/>
                <w:i/>
                <w:iCs/>
                <w:sz w:val="15"/>
                <w:szCs w:val="15"/>
              </w:rPr>
              <w:t>Položka</w:t>
            </w:r>
            <w:bookmarkEnd w:id="41"/>
          </w:p>
        </w:tc>
        <w:tc>
          <w:tcPr>
            <w:tcW w:w="603"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Stav</w:t>
            </w:r>
          </w:p>
        </w:tc>
        <w:tc>
          <w:tcPr>
            <w:tcW w:w="550" w:type="pct"/>
            <w:vMerge w:val="restar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Prírastky</w:t>
            </w:r>
          </w:p>
        </w:tc>
        <w:tc>
          <w:tcPr>
            <w:tcW w:w="550" w:type="pct"/>
            <w:vMerge w:val="restar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Úbytky</w:t>
            </w:r>
          </w:p>
        </w:tc>
        <w:tc>
          <w:tcPr>
            <w:tcW w:w="550" w:type="pct"/>
            <w:vMerge w:val="restar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Presuny</w:t>
            </w:r>
          </w:p>
        </w:tc>
        <w:tc>
          <w:tcPr>
            <w:tcW w:w="722"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Stav</w:t>
            </w:r>
          </w:p>
        </w:tc>
      </w:tr>
      <w:tr w:rsidR="00BA64AD" w:rsidRPr="00BA64AD" w:rsidTr="00BA64AD">
        <w:tc>
          <w:tcPr>
            <w:tcW w:w="2026" w:type="pct"/>
            <w:vMerge/>
            <w:tcBorders>
              <w:top w:val="single" w:sz="8" w:space="0" w:color="auto"/>
              <w:left w:val="nil"/>
              <w:bottom w:val="nil"/>
              <w:right w:val="nil"/>
            </w:tcBorders>
            <w:vAlign w:val="center"/>
            <w:hideMark/>
          </w:tcPr>
          <w:p w:rsidR="00BA64AD" w:rsidRPr="00BA64AD" w:rsidRDefault="00BA64AD" w:rsidP="00BA64AD">
            <w:pPr>
              <w:ind w:left="142" w:hanging="142"/>
              <w:jc w:val="left"/>
              <w:rPr>
                <w:rFonts w:cs="Arial"/>
                <w:b/>
                <w:bCs/>
                <w:i/>
                <w:iCs/>
                <w:sz w:val="15"/>
                <w:szCs w:val="15"/>
              </w:rPr>
            </w:pPr>
          </w:p>
        </w:tc>
        <w:tc>
          <w:tcPr>
            <w:tcW w:w="603" w:type="pct"/>
            <w:tcBorders>
              <w:top w:val="nil"/>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k 1. 1. 2013</w:t>
            </w:r>
          </w:p>
        </w:tc>
        <w:tc>
          <w:tcPr>
            <w:tcW w:w="550" w:type="pct"/>
            <w:vMerge/>
            <w:tcBorders>
              <w:top w:val="single" w:sz="8" w:space="0" w:color="auto"/>
              <w:left w:val="nil"/>
              <w:bottom w:val="nil"/>
              <w:right w:val="nil"/>
            </w:tcBorders>
            <w:vAlign w:val="center"/>
            <w:hideMark/>
          </w:tcPr>
          <w:p w:rsidR="00BA64AD" w:rsidRPr="00BA64AD" w:rsidRDefault="00BA64AD" w:rsidP="00BA64AD">
            <w:pPr>
              <w:jc w:val="left"/>
              <w:rPr>
                <w:rFonts w:cs="Arial"/>
                <w:b/>
                <w:bCs/>
                <w:i/>
                <w:iCs/>
                <w:sz w:val="15"/>
                <w:szCs w:val="15"/>
              </w:rPr>
            </w:pPr>
          </w:p>
        </w:tc>
        <w:tc>
          <w:tcPr>
            <w:tcW w:w="550" w:type="pct"/>
            <w:vMerge/>
            <w:tcBorders>
              <w:top w:val="single" w:sz="8" w:space="0" w:color="auto"/>
              <w:left w:val="nil"/>
              <w:bottom w:val="nil"/>
              <w:right w:val="nil"/>
            </w:tcBorders>
            <w:vAlign w:val="center"/>
            <w:hideMark/>
          </w:tcPr>
          <w:p w:rsidR="00BA64AD" w:rsidRPr="00BA64AD" w:rsidRDefault="00BA64AD" w:rsidP="00BA64AD">
            <w:pPr>
              <w:jc w:val="left"/>
              <w:rPr>
                <w:rFonts w:cs="Arial"/>
                <w:b/>
                <w:bCs/>
                <w:i/>
                <w:iCs/>
                <w:sz w:val="15"/>
                <w:szCs w:val="15"/>
              </w:rPr>
            </w:pPr>
          </w:p>
        </w:tc>
        <w:tc>
          <w:tcPr>
            <w:tcW w:w="550" w:type="pct"/>
            <w:vMerge/>
            <w:tcBorders>
              <w:top w:val="single" w:sz="8" w:space="0" w:color="auto"/>
              <w:left w:val="nil"/>
              <w:bottom w:val="nil"/>
              <w:right w:val="nil"/>
            </w:tcBorders>
            <w:vAlign w:val="center"/>
            <w:hideMark/>
          </w:tcPr>
          <w:p w:rsidR="00BA64AD" w:rsidRPr="00BA64AD" w:rsidRDefault="00BA64AD" w:rsidP="00BA64AD">
            <w:pPr>
              <w:jc w:val="left"/>
              <w:rPr>
                <w:rFonts w:cs="Arial"/>
                <w:b/>
                <w:bCs/>
                <w:i/>
                <w:iCs/>
                <w:sz w:val="15"/>
                <w:szCs w:val="15"/>
              </w:rPr>
            </w:pPr>
          </w:p>
        </w:tc>
        <w:tc>
          <w:tcPr>
            <w:tcW w:w="722" w:type="pct"/>
            <w:tcBorders>
              <w:top w:val="nil"/>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k 31. 12. 2013</w:t>
            </w:r>
          </w:p>
        </w:tc>
      </w:tr>
      <w:tr w:rsidR="00BA64AD" w:rsidRPr="00BA64AD" w:rsidTr="00BA64AD">
        <w:tc>
          <w:tcPr>
            <w:tcW w:w="2026" w:type="pct"/>
            <w:tcBorders>
              <w:top w:val="single" w:sz="4" w:space="0" w:color="auto"/>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Základné imanie</w:t>
            </w:r>
          </w:p>
        </w:tc>
        <w:tc>
          <w:tcPr>
            <w:tcW w:w="603"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5 000</w:t>
            </w:r>
          </w:p>
        </w:tc>
        <w:tc>
          <w:tcPr>
            <w:tcW w:w="550"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single" w:sz="4" w:space="0" w:color="auto"/>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5 000</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Vlastné akcie a vlastné obchodné podiely</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Zmena základného imania</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Pohľadávky za upísané vlastné imanie</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Emisné ážio</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Ostatné kapitálové fondy</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Zákonný rezervný fond (nedeliteľný fond) z kapitálových vkladov</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Oceňovacie rozdiely z precenenia majetku a záväzkov</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Oceňovacie rozdiely z kapitálových účastín</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Oceňovacie rozdiely z precenenia pri zlúčení, splynutí a rozdelení</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 xml:space="preserve">Zákonný rezervný fond </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Nedeliteľný fond</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Štatutárne fondy a ostatné fondy</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Nerozdelený zisk minulých rokov</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Neuhradená strata minulých rokov</w:t>
            </w:r>
          </w:p>
        </w:tc>
        <w:tc>
          <w:tcPr>
            <w:tcW w:w="603" w:type="pct"/>
            <w:tcBorders>
              <w:top w:val="nil"/>
              <w:left w:val="nil"/>
              <w:bottom w:val="nil"/>
              <w:right w:val="nil"/>
            </w:tcBorders>
            <w:shd w:val="clear" w:color="auto" w:fill="auto"/>
            <w:vAlign w:val="bottom"/>
            <w:hideMark/>
          </w:tcPr>
          <w:p w:rsidR="00BA64AD" w:rsidRPr="00BA64AD" w:rsidRDefault="00BA64AD" w:rsidP="00BA64AD">
            <w:pPr>
              <w:ind w:right="-57"/>
              <w:jc w:val="right"/>
              <w:rPr>
                <w:rFonts w:cs="Arial"/>
                <w:sz w:val="15"/>
                <w:szCs w:val="15"/>
              </w:rPr>
            </w:pPr>
            <w:r w:rsidRPr="00BA64AD">
              <w:rPr>
                <w:rFonts w:cs="Arial"/>
                <w:sz w:val="15"/>
                <w:szCs w:val="15"/>
              </w:rPr>
              <w:t>(777)</w:t>
            </w:r>
          </w:p>
        </w:tc>
        <w:tc>
          <w:tcPr>
            <w:tcW w:w="550" w:type="pct"/>
            <w:tcBorders>
              <w:top w:val="nil"/>
              <w:left w:val="nil"/>
              <w:bottom w:val="nil"/>
              <w:right w:val="nil"/>
            </w:tcBorders>
            <w:shd w:val="clear" w:color="auto" w:fill="auto"/>
            <w:vAlign w:val="bottom"/>
            <w:hideMark/>
          </w:tcPr>
          <w:p w:rsidR="00BA64AD" w:rsidRPr="00BA64AD" w:rsidRDefault="00BA64AD" w:rsidP="00BA64AD">
            <w:pPr>
              <w:ind w:right="-57"/>
              <w:jc w:val="right"/>
              <w:rPr>
                <w:rFonts w:cs="Arial"/>
                <w:sz w:val="15"/>
                <w:szCs w:val="15"/>
              </w:rPr>
            </w:pPr>
            <w:r w:rsidRPr="00BA64AD">
              <w:rPr>
                <w:rFonts w:cs="Arial"/>
                <w:sz w:val="15"/>
                <w:szCs w:val="15"/>
              </w:rPr>
              <w:t>(213)</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ind w:right="-57"/>
              <w:jc w:val="right"/>
              <w:rPr>
                <w:rFonts w:cs="Arial"/>
                <w:sz w:val="15"/>
                <w:szCs w:val="15"/>
              </w:rPr>
            </w:pPr>
            <w:r w:rsidRPr="00BA64AD">
              <w:rPr>
                <w:rFonts w:cs="Arial"/>
                <w:sz w:val="15"/>
                <w:szCs w:val="15"/>
              </w:rPr>
              <w:t>(990)</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Výsledok hospodárenia bežného účtovného obdobia</w:t>
            </w:r>
          </w:p>
        </w:tc>
        <w:tc>
          <w:tcPr>
            <w:tcW w:w="603" w:type="pct"/>
            <w:tcBorders>
              <w:top w:val="nil"/>
              <w:left w:val="nil"/>
              <w:bottom w:val="nil"/>
              <w:right w:val="nil"/>
            </w:tcBorders>
            <w:shd w:val="clear" w:color="auto" w:fill="auto"/>
            <w:vAlign w:val="bottom"/>
            <w:hideMark/>
          </w:tcPr>
          <w:p w:rsidR="00BA64AD" w:rsidRPr="00BA64AD" w:rsidRDefault="00BA64AD" w:rsidP="00BA64AD">
            <w:pPr>
              <w:ind w:right="-57"/>
              <w:jc w:val="right"/>
              <w:rPr>
                <w:rFonts w:cs="Arial"/>
                <w:sz w:val="15"/>
                <w:szCs w:val="15"/>
              </w:rPr>
            </w:pPr>
            <w:r w:rsidRPr="00BA64AD">
              <w:rPr>
                <w:rFonts w:cs="Arial"/>
                <w:sz w:val="15"/>
                <w:szCs w:val="15"/>
              </w:rPr>
              <w:t>(213)</w:t>
            </w:r>
          </w:p>
        </w:tc>
        <w:tc>
          <w:tcPr>
            <w:tcW w:w="550" w:type="pct"/>
            <w:tcBorders>
              <w:top w:val="nil"/>
              <w:left w:val="nil"/>
              <w:bottom w:val="nil"/>
              <w:right w:val="nil"/>
            </w:tcBorders>
            <w:shd w:val="clear" w:color="auto" w:fill="auto"/>
            <w:vAlign w:val="bottom"/>
            <w:hideMark/>
          </w:tcPr>
          <w:p w:rsidR="00BA64AD" w:rsidRPr="00BA64AD" w:rsidRDefault="00BA64AD" w:rsidP="00BA64AD">
            <w:pPr>
              <w:ind w:right="-57"/>
              <w:jc w:val="right"/>
              <w:rPr>
                <w:rFonts w:cs="Arial"/>
                <w:sz w:val="15"/>
                <w:szCs w:val="15"/>
              </w:rPr>
            </w:pPr>
            <w:r w:rsidRPr="00BA64AD">
              <w:rPr>
                <w:rFonts w:cs="Arial"/>
                <w:sz w:val="15"/>
                <w:szCs w:val="15"/>
              </w:rPr>
              <w:t>(109)</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213</w:t>
            </w:r>
          </w:p>
        </w:tc>
        <w:tc>
          <w:tcPr>
            <w:tcW w:w="722" w:type="pct"/>
            <w:tcBorders>
              <w:top w:val="nil"/>
              <w:left w:val="nil"/>
              <w:bottom w:val="nil"/>
              <w:right w:val="nil"/>
            </w:tcBorders>
            <w:shd w:val="clear" w:color="auto" w:fill="auto"/>
            <w:vAlign w:val="bottom"/>
            <w:hideMark/>
          </w:tcPr>
          <w:p w:rsidR="00BA64AD" w:rsidRPr="00BA64AD" w:rsidRDefault="00BA64AD" w:rsidP="00BA64AD">
            <w:pPr>
              <w:ind w:right="-57"/>
              <w:jc w:val="right"/>
              <w:rPr>
                <w:rFonts w:cs="Arial"/>
                <w:sz w:val="15"/>
                <w:szCs w:val="15"/>
              </w:rPr>
            </w:pPr>
            <w:r w:rsidRPr="00BA64AD">
              <w:rPr>
                <w:rFonts w:cs="Arial"/>
                <w:sz w:val="15"/>
                <w:szCs w:val="15"/>
              </w:rPr>
              <w:t>(109)</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Vyplatené dividendy</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nil"/>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Ostatné položky vlastného imania</w:t>
            </w:r>
          </w:p>
        </w:tc>
        <w:tc>
          <w:tcPr>
            <w:tcW w:w="603"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nil"/>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r w:rsidR="00BA64AD" w:rsidRPr="00BA64AD" w:rsidTr="00BA64AD">
        <w:tc>
          <w:tcPr>
            <w:tcW w:w="2026" w:type="pct"/>
            <w:tcBorders>
              <w:top w:val="nil"/>
              <w:left w:val="nil"/>
              <w:bottom w:val="single" w:sz="8" w:space="0" w:color="auto"/>
              <w:right w:val="nil"/>
            </w:tcBorders>
            <w:shd w:val="clear" w:color="auto" w:fill="auto"/>
            <w:vAlign w:val="center"/>
            <w:hideMark/>
          </w:tcPr>
          <w:p w:rsidR="00BA64AD" w:rsidRPr="00BA64AD" w:rsidRDefault="00BA64AD" w:rsidP="00BA64AD">
            <w:pPr>
              <w:ind w:left="142" w:hanging="142"/>
              <w:jc w:val="left"/>
              <w:rPr>
                <w:rFonts w:cs="Arial"/>
                <w:sz w:val="15"/>
                <w:szCs w:val="15"/>
              </w:rPr>
            </w:pPr>
            <w:r w:rsidRPr="00BA64AD">
              <w:rPr>
                <w:rFonts w:cs="Arial"/>
                <w:sz w:val="15"/>
                <w:szCs w:val="15"/>
              </w:rPr>
              <w:t xml:space="preserve">Účet 491 – Vlastné imanie fyzickej osoby – podnikateľa </w:t>
            </w:r>
          </w:p>
        </w:tc>
        <w:tc>
          <w:tcPr>
            <w:tcW w:w="603"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550"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c>
          <w:tcPr>
            <w:tcW w:w="722" w:type="pct"/>
            <w:tcBorders>
              <w:top w:val="nil"/>
              <w:left w:val="nil"/>
              <w:bottom w:val="single" w:sz="8" w:space="0" w:color="auto"/>
              <w:right w:val="nil"/>
            </w:tcBorders>
            <w:shd w:val="clear" w:color="auto" w:fill="auto"/>
            <w:vAlign w:val="bottom"/>
            <w:hideMark/>
          </w:tcPr>
          <w:p w:rsidR="00BA64AD" w:rsidRPr="00BA64AD" w:rsidRDefault="00BA64AD" w:rsidP="00BA64AD">
            <w:pPr>
              <w:jc w:val="right"/>
              <w:rPr>
                <w:rFonts w:cs="Arial"/>
                <w:sz w:val="15"/>
                <w:szCs w:val="15"/>
              </w:rPr>
            </w:pPr>
            <w:r w:rsidRPr="00BA64AD">
              <w:rPr>
                <w:rFonts w:cs="Arial"/>
                <w:sz w:val="15"/>
                <w:szCs w:val="15"/>
              </w:rPr>
              <w:t>-</w:t>
            </w:r>
          </w:p>
        </w:tc>
      </w:tr>
    </w:tbl>
    <w:p w:rsidR="00E9254D" w:rsidRPr="000E2CA7" w:rsidRDefault="00E9254D" w:rsidP="001E2635">
      <w:pPr>
        <w:rPr>
          <w:snapToGrid w:val="0"/>
        </w:rPr>
      </w:pPr>
    </w:p>
    <w:bookmarkEnd w:id="40"/>
    <w:p w:rsidR="001E2635" w:rsidRPr="000E2CA7" w:rsidRDefault="001E2635" w:rsidP="001E2635">
      <w:pPr>
        <w:rPr>
          <w:snapToGrid w:val="0"/>
          <w:color w:val="000000"/>
          <w:u w:val="single"/>
        </w:rPr>
      </w:pPr>
    </w:p>
    <w:p w:rsidR="0081796B" w:rsidRPr="000E2CA7" w:rsidRDefault="00B93233" w:rsidP="0081796B">
      <w:pPr>
        <w:rPr>
          <w:snapToGrid w:val="0"/>
        </w:rPr>
      </w:pPr>
      <w:r w:rsidRPr="000E2CA7">
        <w:br w:type="page"/>
      </w:r>
      <w:r w:rsidR="0081796B" w:rsidRPr="000E2CA7">
        <w:rPr>
          <w:snapToGrid w:val="0"/>
        </w:rPr>
        <w:lastRenderedPageBreak/>
        <w:t>Štruktúra peňažných prostriedkov a peňažných ekvivalentov:</w:t>
      </w:r>
    </w:p>
    <w:p w:rsidR="0081796B" w:rsidRPr="000E2CA7" w:rsidRDefault="0081796B" w:rsidP="0081796B"/>
    <w:p w:rsidR="001E2635" w:rsidRPr="000E2CA7" w:rsidRDefault="001E2635" w:rsidP="001E2635">
      <w:pPr>
        <w:rPr>
          <w:snapToGrid w:val="0"/>
        </w:rPr>
      </w:pPr>
      <w:r w:rsidRPr="000E2CA7">
        <w:rPr>
          <w:snapToGrid w:val="0"/>
        </w:rPr>
        <w:t>Peňažné prostriedky sú peňažné hotovosti, ekvivalenty peňažných hotovostí, peňažné prostriedky na bežných účtoch v bankách, kontokorentný účet a časť zostatku účtu „Peniaze na ceste“.</w:t>
      </w:r>
    </w:p>
    <w:p w:rsidR="001E2635" w:rsidRPr="000E2CA7" w:rsidRDefault="001E2635" w:rsidP="001E2635">
      <w:pPr>
        <w:rPr>
          <w:snapToGrid w:val="0"/>
        </w:rPr>
      </w:pPr>
    </w:p>
    <w:p w:rsidR="001E2635" w:rsidRPr="000E2CA7" w:rsidRDefault="001E2635" w:rsidP="001E2635">
      <w:r w:rsidRPr="000E2CA7">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1E2635" w:rsidRPr="000E2CA7" w:rsidRDefault="001E2635" w:rsidP="001E2635">
      <w:pPr>
        <w:rPr>
          <w:snapToGrid w:val="0"/>
        </w:rPr>
      </w:pPr>
    </w:p>
    <w:p w:rsidR="001E2635" w:rsidRPr="000E2CA7" w:rsidRDefault="001E2635" w:rsidP="001E2635">
      <w:pPr>
        <w:rPr>
          <w:snapToGrid w:val="0"/>
        </w:rPr>
      </w:pPr>
      <w:r w:rsidRPr="000E2CA7">
        <w:rPr>
          <w:snapToGrid w:val="0"/>
        </w:rPr>
        <w:t>Štruktúra peňažných prostriedkov a peňažných ekvivalentov:</w:t>
      </w:r>
    </w:p>
    <w:p w:rsidR="00BA64AD" w:rsidRPr="000E2CA7" w:rsidRDefault="00BA64AD" w:rsidP="001E2635">
      <w:pPr>
        <w:rPr>
          <w:snapToGrid w:val="0"/>
        </w:rPr>
      </w:pPr>
      <w:bookmarkStart w:id="42" w:name="T_breakdown_of_cash"/>
      <w:r w:rsidRPr="000E2CA7">
        <w:rPr>
          <w:snapToGrid w:val="0"/>
        </w:rPr>
        <w:t xml:space="preserve"> </w:t>
      </w:r>
    </w:p>
    <w:tbl>
      <w:tblPr>
        <w:tblW w:w="5000" w:type="pct"/>
        <w:tblCellMar>
          <w:left w:w="70" w:type="dxa"/>
          <w:right w:w="70" w:type="dxa"/>
        </w:tblCellMar>
        <w:tblLook w:val="04A0" w:firstRow="1" w:lastRow="0" w:firstColumn="1" w:lastColumn="0" w:noHBand="0" w:noVBand="1"/>
      </w:tblPr>
      <w:tblGrid>
        <w:gridCol w:w="5464"/>
        <w:gridCol w:w="1105"/>
        <w:gridCol w:w="1321"/>
        <w:gridCol w:w="1321"/>
      </w:tblGrid>
      <w:tr w:rsidR="00BA64AD" w:rsidRPr="00BA64AD" w:rsidTr="00BA64AD">
        <w:trPr>
          <w:trHeight w:val="195"/>
        </w:trPr>
        <w:tc>
          <w:tcPr>
            <w:tcW w:w="2966" w:type="pct"/>
            <w:tcBorders>
              <w:top w:val="single" w:sz="8" w:space="0" w:color="auto"/>
              <w:left w:val="nil"/>
              <w:bottom w:val="nil"/>
              <w:right w:val="nil"/>
            </w:tcBorders>
            <w:shd w:val="clear" w:color="auto" w:fill="auto"/>
            <w:vAlign w:val="center"/>
            <w:hideMark/>
          </w:tcPr>
          <w:p w:rsidR="00BA64AD" w:rsidRPr="00BA64AD" w:rsidRDefault="00BA64AD" w:rsidP="00BA64AD">
            <w:pPr>
              <w:jc w:val="left"/>
              <w:rPr>
                <w:rFonts w:cs="Arial"/>
                <w:b/>
                <w:bCs/>
                <w:i/>
                <w:iCs/>
                <w:sz w:val="15"/>
                <w:szCs w:val="15"/>
              </w:rPr>
            </w:pPr>
            <w:bookmarkStart w:id="43" w:name="RANGE!B9:E16"/>
            <w:r w:rsidRPr="00BA64AD">
              <w:rPr>
                <w:rFonts w:cs="Arial"/>
                <w:b/>
                <w:bCs/>
                <w:i/>
                <w:iCs/>
                <w:sz w:val="15"/>
                <w:szCs w:val="15"/>
              </w:rPr>
              <w:t>Položka</w:t>
            </w:r>
            <w:bookmarkEnd w:id="43"/>
          </w:p>
        </w:tc>
        <w:tc>
          <w:tcPr>
            <w:tcW w:w="600"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Účet</w:t>
            </w:r>
          </w:p>
        </w:tc>
        <w:tc>
          <w:tcPr>
            <w:tcW w:w="717"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31.12.2014</w:t>
            </w:r>
          </w:p>
        </w:tc>
        <w:tc>
          <w:tcPr>
            <w:tcW w:w="717" w:type="pct"/>
            <w:tcBorders>
              <w:top w:val="single" w:sz="8" w:space="0" w:color="auto"/>
              <w:left w:val="nil"/>
              <w:bottom w:val="nil"/>
              <w:right w:val="nil"/>
            </w:tcBorders>
            <w:shd w:val="clear" w:color="auto" w:fill="auto"/>
            <w:vAlign w:val="center"/>
            <w:hideMark/>
          </w:tcPr>
          <w:p w:rsidR="00BA64AD" w:rsidRPr="00BA64AD" w:rsidRDefault="00BA64AD" w:rsidP="00BA64AD">
            <w:pPr>
              <w:jc w:val="center"/>
              <w:rPr>
                <w:rFonts w:cs="Arial"/>
                <w:b/>
                <w:bCs/>
                <w:i/>
                <w:iCs/>
                <w:sz w:val="15"/>
                <w:szCs w:val="15"/>
              </w:rPr>
            </w:pPr>
            <w:r w:rsidRPr="00BA64AD">
              <w:rPr>
                <w:rFonts w:cs="Arial"/>
                <w:b/>
                <w:bCs/>
                <w:i/>
                <w:iCs/>
                <w:sz w:val="15"/>
                <w:szCs w:val="15"/>
              </w:rPr>
              <w:t>31.12.2013</w:t>
            </w:r>
          </w:p>
        </w:tc>
      </w:tr>
      <w:tr w:rsidR="00BA64AD" w:rsidRPr="00BA64AD" w:rsidTr="00BA64AD">
        <w:trPr>
          <w:trHeight w:val="195"/>
        </w:trPr>
        <w:tc>
          <w:tcPr>
            <w:tcW w:w="2966" w:type="pct"/>
            <w:tcBorders>
              <w:top w:val="single" w:sz="4" w:space="0" w:color="auto"/>
              <w:left w:val="nil"/>
              <w:bottom w:val="nil"/>
              <w:right w:val="nil"/>
            </w:tcBorders>
            <w:shd w:val="clear" w:color="auto" w:fill="auto"/>
            <w:vAlign w:val="center"/>
            <w:hideMark/>
          </w:tcPr>
          <w:p w:rsidR="00BA64AD" w:rsidRPr="00BA64AD" w:rsidRDefault="00BA64AD" w:rsidP="00BA64AD">
            <w:pPr>
              <w:rPr>
                <w:rFonts w:cs="Arial"/>
                <w:sz w:val="15"/>
                <w:szCs w:val="15"/>
              </w:rPr>
            </w:pPr>
            <w:r w:rsidRPr="00BA64AD">
              <w:rPr>
                <w:rFonts w:cs="Arial"/>
                <w:sz w:val="15"/>
                <w:szCs w:val="15"/>
              </w:rPr>
              <w:t>Peniaze</w:t>
            </w:r>
          </w:p>
        </w:tc>
        <w:tc>
          <w:tcPr>
            <w:tcW w:w="600" w:type="pct"/>
            <w:tcBorders>
              <w:top w:val="single" w:sz="4" w:space="0" w:color="auto"/>
              <w:left w:val="nil"/>
              <w:bottom w:val="nil"/>
              <w:right w:val="nil"/>
            </w:tcBorders>
            <w:shd w:val="clear" w:color="auto" w:fill="auto"/>
            <w:vAlign w:val="center"/>
            <w:hideMark/>
          </w:tcPr>
          <w:p w:rsidR="00BA64AD" w:rsidRPr="00BA64AD" w:rsidRDefault="00BA64AD" w:rsidP="00BA64AD">
            <w:pPr>
              <w:jc w:val="center"/>
              <w:rPr>
                <w:rFonts w:cs="Arial"/>
                <w:sz w:val="15"/>
                <w:szCs w:val="15"/>
              </w:rPr>
            </w:pPr>
            <w:r w:rsidRPr="00BA64AD">
              <w:rPr>
                <w:rFonts w:cs="Arial"/>
                <w:sz w:val="15"/>
                <w:szCs w:val="15"/>
              </w:rPr>
              <w:t>211</w:t>
            </w:r>
          </w:p>
        </w:tc>
        <w:tc>
          <w:tcPr>
            <w:tcW w:w="717" w:type="pct"/>
            <w:tcBorders>
              <w:top w:val="single"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17" w:type="pct"/>
            <w:tcBorders>
              <w:top w:val="single" w:sz="4" w:space="0" w:color="auto"/>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2966" w:type="pct"/>
            <w:tcBorders>
              <w:top w:val="nil"/>
              <w:left w:val="nil"/>
              <w:bottom w:val="nil"/>
              <w:right w:val="nil"/>
            </w:tcBorders>
            <w:shd w:val="clear" w:color="auto" w:fill="auto"/>
            <w:vAlign w:val="center"/>
            <w:hideMark/>
          </w:tcPr>
          <w:p w:rsidR="00BA64AD" w:rsidRPr="00BA64AD" w:rsidRDefault="00BA64AD" w:rsidP="00BA64AD">
            <w:pPr>
              <w:rPr>
                <w:rFonts w:cs="Arial"/>
                <w:sz w:val="15"/>
                <w:szCs w:val="15"/>
              </w:rPr>
            </w:pPr>
            <w:r w:rsidRPr="00BA64AD">
              <w:rPr>
                <w:rFonts w:cs="Arial"/>
                <w:sz w:val="15"/>
                <w:szCs w:val="15"/>
              </w:rPr>
              <w:t>Ceniny</w:t>
            </w:r>
          </w:p>
        </w:tc>
        <w:tc>
          <w:tcPr>
            <w:tcW w:w="600" w:type="pct"/>
            <w:tcBorders>
              <w:top w:val="nil"/>
              <w:left w:val="nil"/>
              <w:bottom w:val="nil"/>
              <w:right w:val="nil"/>
            </w:tcBorders>
            <w:shd w:val="clear" w:color="auto" w:fill="auto"/>
            <w:vAlign w:val="center"/>
            <w:hideMark/>
          </w:tcPr>
          <w:p w:rsidR="00BA64AD" w:rsidRPr="00BA64AD" w:rsidRDefault="00BA64AD" w:rsidP="00BA64AD">
            <w:pPr>
              <w:jc w:val="center"/>
              <w:rPr>
                <w:rFonts w:cs="Arial"/>
                <w:sz w:val="15"/>
                <w:szCs w:val="15"/>
              </w:rPr>
            </w:pPr>
            <w:r w:rsidRPr="00BA64AD">
              <w:rPr>
                <w:rFonts w:cs="Arial"/>
                <w:sz w:val="15"/>
                <w:szCs w:val="15"/>
              </w:rPr>
              <w:t>213</w:t>
            </w:r>
          </w:p>
        </w:tc>
        <w:tc>
          <w:tcPr>
            <w:tcW w:w="717"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17"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2966" w:type="pct"/>
            <w:tcBorders>
              <w:top w:val="nil"/>
              <w:left w:val="nil"/>
              <w:bottom w:val="nil"/>
              <w:right w:val="nil"/>
            </w:tcBorders>
            <w:shd w:val="clear" w:color="auto" w:fill="auto"/>
            <w:vAlign w:val="center"/>
            <w:hideMark/>
          </w:tcPr>
          <w:p w:rsidR="00BA64AD" w:rsidRPr="00BA64AD" w:rsidRDefault="00BA64AD" w:rsidP="00BA64AD">
            <w:pPr>
              <w:rPr>
                <w:rFonts w:cs="Arial"/>
                <w:sz w:val="15"/>
                <w:szCs w:val="15"/>
              </w:rPr>
            </w:pPr>
            <w:r w:rsidRPr="00BA64AD">
              <w:rPr>
                <w:rFonts w:cs="Arial"/>
                <w:sz w:val="15"/>
                <w:szCs w:val="15"/>
              </w:rPr>
              <w:t>Účty v bankách</w:t>
            </w:r>
          </w:p>
        </w:tc>
        <w:tc>
          <w:tcPr>
            <w:tcW w:w="600" w:type="pct"/>
            <w:tcBorders>
              <w:top w:val="nil"/>
              <w:left w:val="nil"/>
              <w:bottom w:val="nil"/>
              <w:right w:val="nil"/>
            </w:tcBorders>
            <w:shd w:val="clear" w:color="auto" w:fill="auto"/>
            <w:vAlign w:val="center"/>
            <w:hideMark/>
          </w:tcPr>
          <w:p w:rsidR="00BA64AD" w:rsidRPr="00BA64AD" w:rsidRDefault="00BA64AD" w:rsidP="00BA64AD">
            <w:pPr>
              <w:jc w:val="center"/>
              <w:rPr>
                <w:rFonts w:cs="Arial"/>
                <w:sz w:val="15"/>
                <w:szCs w:val="15"/>
              </w:rPr>
            </w:pPr>
            <w:r w:rsidRPr="00BA64AD">
              <w:rPr>
                <w:rFonts w:cs="Arial"/>
                <w:sz w:val="15"/>
                <w:szCs w:val="15"/>
              </w:rPr>
              <w:t>221</w:t>
            </w:r>
          </w:p>
        </w:tc>
        <w:tc>
          <w:tcPr>
            <w:tcW w:w="717"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25 436 </w:t>
            </w:r>
          </w:p>
        </w:tc>
        <w:tc>
          <w:tcPr>
            <w:tcW w:w="717"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22 325 </w:t>
            </w:r>
          </w:p>
        </w:tc>
      </w:tr>
      <w:tr w:rsidR="00BA64AD" w:rsidRPr="00BA64AD" w:rsidTr="00BA64AD">
        <w:trPr>
          <w:trHeight w:val="195"/>
        </w:trPr>
        <w:tc>
          <w:tcPr>
            <w:tcW w:w="2966" w:type="pct"/>
            <w:tcBorders>
              <w:top w:val="nil"/>
              <w:left w:val="nil"/>
              <w:bottom w:val="nil"/>
              <w:right w:val="nil"/>
            </w:tcBorders>
            <w:shd w:val="clear" w:color="auto" w:fill="auto"/>
            <w:vAlign w:val="center"/>
            <w:hideMark/>
          </w:tcPr>
          <w:p w:rsidR="00BA64AD" w:rsidRPr="00BA64AD" w:rsidRDefault="00BA64AD" w:rsidP="00BA64AD">
            <w:pPr>
              <w:rPr>
                <w:rFonts w:cs="Arial"/>
                <w:sz w:val="15"/>
                <w:szCs w:val="15"/>
              </w:rPr>
            </w:pPr>
            <w:r w:rsidRPr="00BA64AD">
              <w:rPr>
                <w:rFonts w:cs="Arial"/>
                <w:sz w:val="15"/>
                <w:szCs w:val="15"/>
              </w:rPr>
              <w:t>Kontokorentný účet</w:t>
            </w:r>
          </w:p>
        </w:tc>
        <w:tc>
          <w:tcPr>
            <w:tcW w:w="600" w:type="pct"/>
            <w:tcBorders>
              <w:top w:val="nil"/>
              <w:left w:val="nil"/>
              <w:bottom w:val="nil"/>
              <w:right w:val="nil"/>
            </w:tcBorders>
            <w:shd w:val="clear" w:color="auto" w:fill="auto"/>
            <w:vAlign w:val="center"/>
            <w:hideMark/>
          </w:tcPr>
          <w:p w:rsidR="00BA64AD" w:rsidRPr="00BA64AD" w:rsidRDefault="00BA64AD" w:rsidP="00BA64AD">
            <w:pPr>
              <w:jc w:val="center"/>
              <w:rPr>
                <w:rFonts w:cs="Arial"/>
                <w:sz w:val="15"/>
                <w:szCs w:val="15"/>
              </w:rPr>
            </w:pPr>
            <w:r w:rsidRPr="00BA64AD">
              <w:rPr>
                <w:rFonts w:cs="Arial"/>
                <w:sz w:val="15"/>
                <w:szCs w:val="15"/>
              </w:rPr>
              <w:t>221</w:t>
            </w:r>
          </w:p>
        </w:tc>
        <w:tc>
          <w:tcPr>
            <w:tcW w:w="717"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17" w:type="pct"/>
            <w:tcBorders>
              <w:top w:val="nil"/>
              <w:left w:val="nil"/>
              <w:bottom w:val="nil"/>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r w:rsidR="00BA64AD" w:rsidRPr="00BA64AD" w:rsidTr="00BA64AD">
        <w:trPr>
          <w:trHeight w:val="195"/>
        </w:trPr>
        <w:tc>
          <w:tcPr>
            <w:tcW w:w="2966" w:type="pct"/>
            <w:tcBorders>
              <w:top w:val="nil"/>
              <w:left w:val="nil"/>
              <w:bottom w:val="nil"/>
              <w:right w:val="nil"/>
            </w:tcBorders>
            <w:shd w:val="clear" w:color="auto" w:fill="auto"/>
            <w:vAlign w:val="center"/>
            <w:hideMark/>
          </w:tcPr>
          <w:p w:rsidR="00BA64AD" w:rsidRPr="00BA64AD" w:rsidRDefault="00BA64AD" w:rsidP="00BA64AD">
            <w:pPr>
              <w:rPr>
                <w:rFonts w:cs="Arial"/>
                <w:b/>
                <w:bCs/>
                <w:sz w:val="15"/>
                <w:szCs w:val="15"/>
              </w:rPr>
            </w:pPr>
            <w:r w:rsidRPr="00BA64AD">
              <w:rPr>
                <w:rFonts w:cs="Arial"/>
                <w:b/>
                <w:bCs/>
                <w:sz w:val="15"/>
                <w:szCs w:val="15"/>
              </w:rPr>
              <w:t>Peňažné prostriedky a peňažné ekvivalenty</w:t>
            </w:r>
          </w:p>
        </w:tc>
        <w:tc>
          <w:tcPr>
            <w:tcW w:w="600" w:type="pct"/>
            <w:tcBorders>
              <w:top w:val="nil"/>
              <w:left w:val="nil"/>
              <w:bottom w:val="nil"/>
              <w:right w:val="nil"/>
            </w:tcBorders>
            <w:shd w:val="clear" w:color="auto" w:fill="auto"/>
            <w:vAlign w:val="center"/>
            <w:hideMark/>
          </w:tcPr>
          <w:p w:rsidR="00BA64AD" w:rsidRPr="00BA64AD" w:rsidRDefault="00BA64AD" w:rsidP="00BA64AD">
            <w:pPr>
              <w:jc w:val="center"/>
              <w:rPr>
                <w:rFonts w:cs="Arial"/>
                <w:b/>
                <w:bCs/>
                <w:sz w:val="15"/>
                <w:szCs w:val="15"/>
              </w:rPr>
            </w:pPr>
          </w:p>
        </w:tc>
        <w:tc>
          <w:tcPr>
            <w:tcW w:w="717"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xml:space="preserve">25 436 </w:t>
            </w:r>
          </w:p>
        </w:tc>
        <w:tc>
          <w:tcPr>
            <w:tcW w:w="717" w:type="pct"/>
            <w:tcBorders>
              <w:top w:val="single" w:sz="4" w:space="0" w:color="auto"/>
              <w:left w:val="nil"/>
              <w:bottom w:val="single" w:sz="4" w:space="0" w:color="auto"/>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xml:space="preserve">22 325 </w:t>
            </w:r>
          </w:p>
        </w:tc>
      </w:tr>
      <w:tr w:rsidR="00BA64AD" w:rsidRPr="00BA64AD" w:rsidTr="00BA64AD">
        <w:trPr>
          <w:trHeight w:val="195"/>
        </w:trPr>
        <w:tc>
          <w:tcPr>
            <w:tcW w:w="2966" w:type="pct"/>
            <w:tcBorders>
              <w:top w:val="nil"/>
              <w:left w:val="nil"/>
              <w:bottom w:val="nil"/>
              <w:right w:val="nil"/>
            </w:tcBorders>
            <w:shd w:val="clear" w:color="auto" w:fill="auto"/>
            <w:vAlign w:val="center"/>
            <w:hideMark/>
          </w:tcPr>
          <w:p w:rsidR="00BA64AD" w:rsidRPr="00BA64AD" w:rsidRDefault="00BA64AD" w:rsidP="00BA64AD">
            <w:pPr>
              <w:rPr>
                <w:rFonts w:cs="Arial"/>
                <w:b/>
                <w:bCs/>
                <w:sz w:val="15"/>
                <w:szCs w:val="15"/>
              </w:rPr>
            </w:pPr>
            <w:r w:rsidRPr="00BA64AD">
              <w:rPr>
                <w:rFonts w:cs="Arial"/>
                <w:b/>
                <w:bCs/>
                <w:sz w:val="15"/>
                <w:szCs w:val="15"/>
              </w:rPr>
              <w:t>Finančné účty spolu</w:t>
            </w:r>
          </w:p>
        </w:tc>
        <w:tc>
          <w:tcPr>
            <w:tcW w:w="600" w:type="pct"/>
            <w:tcBorders>
              <w:top w:val="nil"/>
              <w:left w:val="nil"/>
              <w:bottom w:val="nil"/>
              <w:right w:val="nil"/>
            </w:tcBorders>
            <w:shd w:val="clear" w:color="auto" w:fill="auto"/>
            <w:vAlign w:val="center"/>
            <w:hideMark/>
          </w:tcPr>
          <w:p w:rsidR="00BA64AD" w:rsidRPr="00BA64AD" w:rsidRDefault="00BA64AD" w:rsidP="00BA64AD">
            <w:pPr>
              <w:jc w:val="center"/>
              <w:rPr>
                <w:rFonts w:cs="Arial"/>
                <w:b/>
                <w:bCs/>
                <w:sz w:val="15"/>
                <w:szCs w:val="15"/>
              </w:rPr>
            </w:pPr>
          </w:p>
        </w:tc>
        <w:tc>
          <w:tcPr>
            <w:tcW w:w="717" w:type="pct"/>
            <w:tcBorders>
              <w:top w:val="nil"/>
              <w:left w:val="nil"/>
              <w:bottom w:val="nil"/>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xml:space="preserve">25 436 </w:t>
            </w:r>
          </w:p>
        </w:tc>
        <w:tc>
          <w:tcPr>
            <w:tcW w:w="717" w:type="pct"/>
            <w:tcBorders>
              <w:top w:val="nil"/>
              <w:left w:val="nil"/>
              <w:bottom w:val="nil"/>
              <w:right w:val="nil"/>
            </w:tcBorders>
            <w:shd w:val="clear" w:color="auto" w:fill="auto"/>
            <w:vAlign w:val="center"/>
            <w:hideMark/>
          </w:tcPr>
          <w:p w:rsidR="00BA64AD" w:rsidRPr="00BA64AD" w:rsidRDefault="00BA64AD" w:rsidP="00BA64AD">
            <w:pPr>
              <w:jc w:val="right"/>
              <w:rPr>
                <w:rFonts w:cs="Arial"/>
                <w:b/>
                <w:bCs/>
                <w:sz w:val="15"/>
                <w:szCs w:val="15"/>
              </w:rPr>
            </w:pPr>
            <w:r w:rsidRPr="00BA64AD">
              <w:rPr>
                <w:rFonts w:cs="Arial"/>
                <w:b/>
                <w:bCs/>
                <w:sz w:val="15"/>
                <w:szCs w:val="15"/>
              </w:rPr>
              <w:t xml:space="preserve">22 325 </w:t>
            </w:r>
          </w:p>
        </w:tc>
      </w:tr>
      <w:tr w:rsidR="00BA64AD" w:rsidRPr="00BA64AD" w:rsidTr="00BA64AD">
        <w:trPr>
          <w:trHeight w:val="210"/>
        </w:trPr>
        <w:tc>
          <w:tcPr>
            <w:tcW w:w="2966" w:type="pct"/>
            <w:tcBorders>
              <w:top w:val="nil"/>
              <w:left w:val="nil"/>
              <w:bottom w:val="single" w:sz="8" w:space="0" w:color="auto"/>
              <w:right w:val="nil"/>
            </w:tcBorders>
            <w:shd w:val="clear" w:color="auto" w:fill="auto"/>
            <w:vAlign w:val="center"/>
            <w:hideMark/>
          </w:tcPr>
          <w:p w:rsidR="00BA64AD" w:rsidRPr="00BA64AD" w:rsidRDefault="00BA64AD" w:rsidP="00BA64AD">
            <w:pPr>
              <w:rPr>
                <w:rFonts w:cs="Arial"/>
                <w:sz w:val="15"/>
                <w:szCs w:val="15"/>
              </w:rPr>
            </w:pPr>
            <w:r w:rsidRPr="00BA64AD">
              <w:rPr>
                <w:rFonts w:cs="Arial"/>
                <w:sz w:val="15"/>
                <w:szCs w:val="15"/>
              </w:rPr>
              <w:t>Rozdiel</w:t>
            </w:r>
          </w:p>
        </w:tc>
        <w:tc>
          <w:tcPr>
            <w:tcW w:w="600" w:type="pct"/>
            <w:tcBorders>
              <w:top w:val="nil"/>
              <w:left w:val="nil"/>
              <w:bottom w:val="single" w:sz="8" w:space="0" w:color="auto"/>
              <w:right w:val="nil"/>
            </w:tcBorders>
            <w:shd w:val="clear" w:color="auto" w:fill="auto"/>
            <w:vAlign w:val="center"/>
            <w:hideMark/>
          </w:tcPr>
          <w:p w:rsidR="00BA64AD" w:rsidRPr="00BA64AD" w:rsidRDefault="00BA64AD" w:rsidP="00BA64AD">
            <w:pPr>
              <w:jc w:val="center"/>
              <w:rPr>
                <w:rFonts w:cs="Arial"/>
                <w:sz w:val="15"/>
                <w:szCs w:val="15"/>
              </w:rPr>
            </w:pPr>
            <w:r w:rsidRPr="00BA64AD">
              <w:rPr>
                <w:rFonts w:cs="Arial"/>
                <w:sz w:val="15"/>
                <w:szCs w:val="15"/>
              </w:rPr>
              <w:t> </w:t>
            </w:r>
          </w:p>
        </w:tc>
        <w:tc>
          <w:tcPr>
            <w:tcW w:w="717" w:type="pct"/>
            <w:tcBorders>
              <w:top w:val="nil"/>
              <w:left w:val="nil"/>
              <w:bottom w:val="single" w:sz="8" w:space="0" w:color="auto"/>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c>
          <w:tcPr>
            <w:tcW w:w="717" w:type="pct"/>
            <w:tcBorders>
              <w:top w:val="nil"/>
              <w:left w:val="nil"/>
              <w:bottom w:val="single" w:sz="8" w:space="0" w:color="auto"/>
              <w:right w:val="nil"/>
            </w:tcBorders>
            <w:shd w:val="clear" w:color="auto" w:fill="auto"/>
            <w:vAlign w:val="center"/>
            <w:hideMark/>
          </w:tcPr>
          <w:p w:rsidR="00BA64AD" w:rsidRPr="00BA64AD" w:rsidRDefault="00BA64AD" w:rsidP="00BA64AD">
            <w:pPr>
              <w:jc w:val="right"/>
              <w:rPr>
                <w:rFonts w:cs="Arial"/>
                <w:sz w:val="15"/>
                <w:szCs w:val="15"/>
              </w:rPr>
            </w:pPr>
            <w:r w:rsidRPr="00BA64AD">
              <w:rPr>
                <w:rFonts w:cs="Arial"/>
                <w:sz w:val="15"/>
                <w:szCs w:val="15"/>
              </w:rPr>
              <w:t xml:space="preserve">- </w:t>
            </w:r>
          </w:p>
        </w:tc>
      </w:tr>
    </w:tbl>
    <w:p w:rsidR="00BA64AD" w:rsidRPr="000E2CA7" w:rsidRDefault="00BA64AD" w:rsidP="001E2635">
      <w:pPr>
        <w:rPr>
          <w:snapToGrid w:val="0"/>
        </w:rPr>
      </w:pPr>
    </w:p>
    <w:bookmarkEnd w:id="42"/>
    <w:p w:rsidR="00BA64AD" w:rsidRPr="000E2CA7" w:rsidRDefault="00BA64AD"/>
    <w:p w:rsidR="00BA64AD" w:rsidRPr="000E2CA7" w:rsidRDefault="00BA64AD"/>
    <w:tbl>
      <w:tblPr>
        <w:tblW w:w="9129" w:type="dxa"/>
        <w:tblInd w:w="108" w:type="dxa"/>
        <w:tblBorders>
          <w:top w:val="single" w:sz="8" w:space="0" w:color="auto"/>
          <w:bottom w:val="single" w:sz="8" w:space="0" w:color="auto"/>
        </w:tblBorders>
        <w:tblLook w:val="04A0" w:firstRow="1" w:lastRow="0" w:firstColumn="1" w:lastColumn="0" w:noHBand="0" w:noVBand="1"/>
      </w:tblPr>
      <w:tblGrid>
        <w:gridCol w:w="1843"/>
        <w:gridCol w:w="2428"/>
        <w:gridCol w:w="2429"/>
        <w:gridCol w:w="2429"/>
      </w:tblGrid>
      <w:tr w:rsidR="00BA64AD" w:rsidRPr="000E2CA7" w:rsidTr="0078180D">
        <w:tc>
          <w:tcPr>
            <w:tcW w:w="1843" w:type="dxa"/>
            <w:tcBorders>
              <w:top w:val="single" w:sz="8" w:space="0" w:color="auto"/>
              <w:left w:val="nil"/>
              <w:bottom w:val="single" w:sz="4" w:space="0" w:color="auto"/>
              <w:right w:val="nil"/>
            </w:tcBorders>
          </w:tcPr>
          <w:p w:rsidR="00BA64AD" w:rsidRPr="000E2CA7" w:rsidRDefault="00BA64AD" w:rsidP="0078180D">
            <w:pPr>
              <w:rPr>
                <w:b/>
                <w:i/>
                <w:sz w:val="15"/>
                <w:szCs w:val="15"/>
              </w:rPr>
            </w:pPr>
            <w:r w:rsidRPr="000E2CA7">
              <w:br w:type="page"/>
            </w:r>
            <w:r w:rsidRPr="000E2CA7">
              <w:rPr>
                <w:b/>
                <w:i/>
                <w:sz w:val="15"/>
                <w:szCs w:val="15"/>
              </w:rPr>
              <w:t>Zostavené dňa:</w:t>
            </w:r>
          </w:p>
          <w:p w:rsidR="00BA64AD" w:rsidRPr="000E2CA7" w:rsidRDefault="00BA64AD" w:rsidP="0078180D">
            <w:pPr>
              <w:rPr>
                <w:snapToGrid w:val="0"/>
                <w:sz w:val="15"/>
                <w:szCs w:val="15"/>
              </w:rPr>
            </w:pPr>
          </w:p>
          <w:p w:rsidR="00BA64AD" w:rsidRPr="00920A0E" w:rsidRDefault="00920A0E" w:rsidP="0078180D">
            <w:pPr>
              <w:rPr>
                <w:b/>
                <w:snapToGrid w:val="0"/>
                <w:sz w:val="15"/>
                <w:szCs w:val="15"/>
              </w:rPr>
            </w:pPr>
            <w:r w:rsidRPr="00920A0E">
              <w:rPr>
                <w:b/>
                <w:snapToGrid w:val="0"/>
                <w:sz w:val="15"/>
                <w:szCs w:val="15"/>
              </w:rPr>
              <w:t>30.3.2015</w:t>
            </w:r>
          </w:p>
          <w:p w:rsidR="00BA64AD" w:rsidRPr="000E2CA7" w:rsidRDefault="00BA64AD" w:rsidP="0078180D">
            <w:pPr>
              <w:rPr>
                <w:snapToGrid w:val="0"/>
                <w:sz w:val="15"/>
                <w:szCs w:val="15"/>
              </w:rPr>
            </w:pPr>
          </w:p>
        </w:tc>
        <w:tc>
          <w:tcPr>
            <w:tcW w:w="2428" w:type="dxa"/>
            <w:tcBorders>
              <w:top w:val="single" w:sz="8" w:space="0" w:color="auto"/>
              <w:left w:val="nil"/>
              <w:bottom w:val="single" w:sz="4" w:space="0" w:color="auto"/>
              <w:right w:val="nil"/>
            </w:tcBorders>
            <w:vAlign w:val="center"/>
            <w:hideMark/>
          </w:tcPr>
          <w:p w:rsidR="00BA64AD" w:rsidRDefault="00BA64AD" w:rsidP="0078180D">
            <w:pPr>
              <w:jc w:val="center"/>
              <w:rPr>
                <w:b/>
                <w:i/>
                <w:sz w:val="15"/>
                <w:szCs w:val="15"/>
              </w:rPr>
            </w:pPr>
            <w:r w:rsidRPr="000E2CA7">
              <w:rPr>
                <w:b/>
                <w:i/>
                <w:sz w:val="15"/>
                <w:szCs w:val="15"/>
              </w:rPr>
              <w:t>Podpisový záznam člena štatutárneho orgánu účtovnej jednotky alebo fyzickej osoby, ktorá je účtovnou jednotkou:</w:t>
            </w:r>
          </w:p>
          <w:p w:rsidR="00920A0E" w:rsidRDefault="00920A0E" w:rsidP="0078180D">
            <w:pPr>
              <w:jc w:val="center"/>
              <w:rPr>
                <w:b/>
                <w:i/>
                <w:sz w:val="15"/>
                <w:szCs w:val="15"/>
              </w:rPr>
            </w:pPr>
          </w:p>
          <w:p w:rsidR="00920A0E" w:rsidRDefault="00920A0E" w:rsidP="0078180D">
            <w:pPr>
              <w:jc w:val="center"/>
              <w:rPr>
                <w:b/>
                <w:i/>
                <w:sz w:val="15"/>
                <w:szCs w:val="15"/>
              </w:rPr>
            </w:pPr>
          </w:p>
          <w:p w:rsidR="00920A0E" w:rsidRDefault="00920A0E" w:rsidP="0078180D">
            <w:pPr>
              <w:jc w:val="center"/>
              <w:rPr>
                <w:b/>
                <w:i/>
                <w:sz w:val="15"/>
                <w:szCs w:val="15"/>
              </w:rPr>
            </w:pPr>
            <w:bookmarkStart w:id="44" w:name="_GoBack"/>
            <w:bookmarkEnd w:id="44"/>
          </w:p>
          <w:p w:rsidR="00920A0E" w:rsidRDefault="00920A0E" w:rsidP="00920A0E">
            <w:pPr>
              <w:rPr>
                <w:b/>
                <w:i/>
                <w:sz w:val="15"/>
                <w:szCs w:val="15"/>
              </w:rPr>
            </w:pPr>
          </w:p>
          <w:p w:rsidR="00920A0E" w:rsidRPr="000E2CA7" w:rsidRDefault="00920A0E" w:rsidP="0078180D">
            <w:pPr>
              <w:jc w:val="center"/>
              <w:rPr>
                <w:b/>
                <w:i/>
                <w:sz w:val="15"/>
                <w:szCs w:val="15"/>
              </w:rPr>
            </w:pPr>
          </w:p>
        </w:tc>
        <w:tc>
          <w:tcPr>
            <w:tcW w:w="2429" w:type="dxa"/>
            <w:tcBorders>
              <w:top w:val="single" w:sz="8" w:space="0" w:color="auto"/>
              <w:left w:val="nil"/>
              <w:bottom w:val="single" w:sz="4" w:space="0" w:color="auto"/>
              <w:right w:val="nil"/>
            </w:tcBorders>
            <w:vAlign w:val="center"/>
            <w:hideMark/>
          </w:tcPr>
          <w:p w:rsidR="00920A0E" w:rsidRDefault="00BA64AD" w:rsidP="0078180D">
            <w:pPr>
              <w:jc w:val="center"/>
              <w:rPr>
                <w:b/>
                <w:i/>
                <w:sz w:val="15"/>
                <w:szCs w:val="15"/>
              </w:rPr>
            </w:pPr>
            <w:r w:rsidRPr="000E2CA7">
              <w:rPr>
                <w:b/>
                <w:i/>
                <w:sz w:val="15"/>
                <w:szCs w:val="15"/>
              </w:rPr>
              <w:t xml:space="preserve">Podpisový záznam osoby zodpovednej za zostavenie účtovnej </w:t>
            </w:r>
          </w:p>
          <w:p w:rsidR="00BA64AD" w:rsidRDefault="00BA64AD" w:rsidP="0078180D">
            <w:pPr>
              <w:jc w:val="center"/>
              <w:rPr>
                <w:b/>
                <w:i/>
                <w:sz w:val="15"/>
                <w:szCs w:val="15"/>
              </w:rPr>
            </w:pPr>
            <w:r w:rsidRPr="000E2CA7">
              <w:rPr>
                <w:b/>
                <w:i/>
                <w:sz w:val="15"/>
                <w:szCs w:val="15"/>
              </w:rPr>
              <w:t>závierky:</w:t>
            </w:r>
          </w:p>
          <w:p w:rsidR="00920A0E" w:rsidRDefault="00920A0E" w:rsidP="0078180D">
            <w:pPr>
              <w:jc w:val="center"/>
              <w:rPr>
                <w:b/>
                <w:i/>
                <w:sz w:val="15"/>
                <w:szCs w:val="15"/>
              </w:rPr>
            </w:pPr>
          </w:p>
          <w:p w:rsidR="00920A0E" w:rsidRDefault="00920A0E" w:rsidP="0078180D">
            <w:pPr>
              <w:jc w:val="center"/>
              <w:rPr>
                <w:b/>
                <w:i/>
                <w:sz w:val="15"/>
                <w:szCs w:val="15"/>
              </w:rPr>
            </w:pPr>
          </w:p>
          <w:p w:rsidR="00920A0E" w:rsidRDefault="00920A0E" w:rsidP="0078180D">
            <w:pPr>
              <w:jc w:val="center"/>
              <w:rPr>
                <w:b/>
                <w:i/>
                <w:sz w:val="15"/>
                <w:szCs w:val="15"/>
              </w:rPr>
            </w:pPr>
          </w:p>
          <w:p w:rsidR="00920A0E" w:rsidRDefault="00920A0E" w:rsidP="0078180D">
            <w:pPr>
              <w:jc w:val="center"/>
              <w:rPr>
                <w:b/>
                <w:i/>
                <w:sz w:val="15"/>
                <w:szCs w:val="15"/>
              </w:rPr>
            </w:pPr>
          </w:p>
          <w:p w:rsidR="00920A0E" w:rsidRDefault="00920A0E" w:rsidP="0078180D">
            <w:pPr>
              <w:jc w:val="center"/>
              <w:rPr>
                <w:b/>
                <w:i/>
                <w:sz w:val="15"/>
                <w:szCs w:val="15"/>
              </w:rPr>
            </w:pPr>
          </w:p>
          <w:p w:rsidR="00920A0E" w:rsidRPr="000E2CA7" w:rsidRDefault="00920A0E" w:rsidP="0078180D">
            <w:pPr>
              <w:jc w:val="center"/>
              <w:rPr>
                <w:b/>
                <w:i/>
                <w:sz w:val="15"/>
                <w:szCs w:val="15"/>
              </w:rPr>
            </w:pPr>
          </w:p>
        </w:tc>
        <w:tc>
          <w:tcPr>
            <w:tcW w:w="2429" w:type="dxa"/>
            <w:tcBorders>
              <w:top w:val="single" w:sz="8" w:space="0" w:color="auto"/>
              <w:left w:val="nil"/>
              <w:bottom w:val="single" w:sz="4" w:space="0" w:color="auto"/>
              <w:right w:val="nil"/>
            </w:tcBorders>
            <w:vAlign w:val="center"/>
            <w:hideMark/>
          </w:tcPr>
          <w:p w:rsidR="00BA64AD" w:rsidRDefault="00BA64AD" w:rsidP="0078180D">
            <w:pPr>
              <w:jc w:val="center"/>
              <w:rPr>
                <w:b/>
                <w:i/>
                <w:sz w:val="15"/>
                <w:szCs w:val="15"/>
              </w:rPr>
            </w:pPr>
            <w:r w:rsidRPr="000E2CA7">
              <w:rPr>
                <w:b/>
                <w:i/>
                <w:sz w:val="15"/>
                <w:szCs w:val="15"/>
              </w:rPr>
              <w:t>Podpisový záznam osoby zodpovednej za vedenie účtovníctva:</w:t>
            </w:r>
          </w:p>
          <w:p w:rsidR="00920A0E" w:rsidRDefault="00920A0E" w:rsidP="0078180D">
            <w:pPr>
              <w:jc w:val="center"/>
              <w:rPr>
                <w:b/>
                <w:i/>
                <w:sz w:val="15"/>
                <w:szCs w:val="15"/>
              </w:rPr>
            </w:pPr>
          </w:p>
          <w:p w:rsidR="00920A0E" w:rsidRDefault="00920A0E" w:rsidP="0078180D">
            <w:pPr>
              <w:jc w:val="center"/>
              <w:rPr>
                <w:b/>
                <w:i/>
                <w:sz w:val="15"/>
                <w:szCs w:val="15"/>
              </w:rPr>
            </w:pPr>
          </w:p>
          <w:p w:rsidR="00920A0E" w:rsidRDefault="00920A0E" w:rsidP="0078180D">
            <w:pPr>
              <w:jc w:val="center"/>
              <w:rPr>
                <w:b/>
                <w:i/>
                <w:sz w:val="15"/>
                <w:szCs w:val="15"/>
              </w:rPr>
            </w:pPr>
          </w:p>
          <w:p w:rsidR="00920A0E" w:rsidRDefault="00920A0E" w:rsidP="0078180D">
            <w:pPr>
              <w:jc w:val="center"/>
              <w:rPr>
                <w:b/>
                <w:i/>
                <w:sz w:val="15"/>
                <w:szCs w:val="15"/>
              </w:rPr>
            </w:pPr>
          </w:p>
          <w:p w:rsidR="00920A0E" w:rsidRDefault="00920A0E" w:rsidP="0078180D">
            <w:pPr>
              <w:jc w:val="center"/>
              <w:rPr>
                <w:b/>
                <w:i/>
                <w:sz w:val="15"/>
                <w:szCs w:val="15"/>
              </w:rPr>
            </w:pPr>
          </w:p>
          <w:p w:rsidR="00920A0E" w:rsidRPr="000E2CA7" w:rsidRDefault="00920A0E" w:rsidP="00920A0E">
            <w:pPr>
              <w:rPr>
                <w:b/>
                <w:i/>
                <w:sz w:val="15"/>
                <w:szCs w:val="15"/>
              </w:rPr>
            </w:pPr>
          </w:p>
        </w:tc>
      </w:tr>
      <w:tr w:rsidR="00BA64AD" w:rsidRPr="000E2CA7" w:rsidTr="0078180D">
        <w:tc>
          <w:tcPr>
            <w:tcW w:w="1843" w:type="dxa"/>
            <w:tcBorders>
              <w:top w:val="single" w:sz="4" w:space="0" w:color="auto"/>
              <w:left w:val="nil"/>
              <w:bottom w:val="single" w:sz="8" w:space="0" w:color="auto"/>
              <w:right w:val="nil"/>
            </w:tcBorders>
          </w:tcPr>
          <w:p w:rsidR="00BA64AD" w:rsidRPr="000E2CA7" w:rsidRDefault="00BA64AD" w:rsidP="0078180D">
            <w:pPr>
              <w:rPr>
                <w:sz w:val="15"/>
                <w:szCs w:val="15"/>
              </w:rPr>
            </w:pPr>
            <w:r w:rsidRPr="000E2CA7">
              <w:rPr>
                <w:b/>
                <w:i/>
                <w:sz w:val="15"/>
                <w:szCs w:val="15"/>
              </w:rPr>
              <w:t>Schválené dňa:</w:t>
            </w:r>
          </w:p>
          <w:p w:rsidR="00BA64AD" w:rsidRPr="000E2CA7" w:rsidRDefault="00BA64AD" w:rsidP="0078180D">
            <w:pPr>
              <w:rPr>
                <w:snapToGrid w:val="0"/>
                <w:sz w:val="15"/>
                <w:szCs w:val="15"/>
              </w:rPr>
            </w:pPr>
          </w:p>
          <w:p w:rsidR="00BA64AD" w:rsidRPr="000E2CA7" w:rsidRDefault="00BA64AD" w:rsidP="0078180D">
            <w:pPr>
              <w:rPr>
                <w:snapToGrid w:val="0"/>
                <w:sz w:val="15"/>
                <w:szCs w:val="15"/>
              </w:rPr>
            </w:pPr>
          </w:p>
          <w:p w:rsidR="00BA64AD" w:rsidRPr="000E2CA7" w:rsidRDefault="00BA64AD" w:rsidP="0078180D">
            <w:pPr>
              <w:rPr>
                <w:snapToGrid w:val="0"/>
                <w:sz w:val="15"/>
                <w:szCs w:val="15"/>
              </w:rPr>
            </w:pPr>
          </w:p>
        </w:tc>
        <w:tc>
          <w:tcPr>
            <w:tcW w:w="2428" w:type="dxa"/>
            <w:tcBorders>
              <w:top w:val="single" w:sz="4" w:space="0" w:color="auto"/>
              <w:left w:val="nil"/>
              <w:bottom w:val="single" w:sz="8" w:space="0" w:color="auto"/>
              <w:right w:val="nil"/>
            </w:tcBorders>
            <w:vAlign w:val="center"/>
          </w:tcPr>
          <w:p w:rsidR="00BA64AD" w:rsidRPr="000E2CA7" w:rsidRDefault="00BA64AD" w:rsidP="0078180D">
            <w:pPr>
              <w:jc w:val="center"/>
              <w:rPr>
                <w:snapToGrid w:val="0"/>
                <w:sz w:val="15"/>
                <w:szCs w:val="15"/>
              </w:rPr>
            </w:pPr>
          </w:p>
        </w:tc>
        <w:tc>
          <w:tcPr>
            <w:tcW w:w="2429" w:type="dxa"/>
            <w:tcBorders>
              <w:top w:val="single" w:sz="4" w:space="0" w:color="auto"/>
              <w:left w:val="nil"/>
              <w:bottom w:val="single" w:sz="8" w:space="0" w:color="auto"/>
              <w:right w:val="nil"/>
            </w:tcBorders>
            <w:vAlign w:val="center"/>
          </w:tcPr>
          <w:p w:rsidR="00BA64AD" w:rsidRPr="000E2CA7" w:rsidRDefault="00BA64AD" w:rsidP="0078180D">
            <w:pPr>
              <w:jc w:val="center"/>
              <w:rPr>
                <w:snapToGrid w:val="0"/>
                <w:sz w:val="15"/>
                <w:szCs w:val="15"/>
              </w:rPr>
            </w:pPr>
          </w:p>
        </w:tc>
        <w:tc>
          <w:tcPr>
            <w:tcW w:w="2429" w:type="dxa"/>
            <w:tcBorders>
              <w:top w:val="single" w:sz="4" w:space="0" w:color="auto"/>
              <w:left w:val="nil"/>
              <w:bottom w:val="single" w:sz="8" w:space="0" w:color="auto"/>
              <w:right w:val="nil"/>
            </w:tcBorders>
            <w:vAlign w:val="center"/>
          </w:tcPr>
          <w:p w:rsidR="00BA64AD" w:rsidRPr="000E2CA7" w:rsidRDefault="00BA64AD" w:rsidP="0078180D">
            <w:pPr>
              <w:jc w:val="center"/>
              <w:rPr>
                <w:snapToGrid w:val="0"/>
                <w:sz w:val="15"/>
                <w:szCs w:val="15"/>
              </w:rPr>
            </w:pPr>
          </w:p>
        </w:tc>
      </w:tr>
    </w:tbl>
    <w:p w:rsidR="005B6728" w:rsidRPr="000E2CA7" w:rsidRDefault="005B6728" w:rsidP="001E2635">
      <w:pPr>
        <w:rPr>
          <w:snapToGrid w:val="0"/>
        </w:rPr>
      </w:pPr>
    </w:p>
    <w:sectPr w:rsidR="005B6728" w:rsidRPr="000E2CA7" w:rsidSect="008E3271">
      <w:headerReference w:type="default" r:id="rId10"/>
      <w:footerReference w:type="default" r:id="rId11"/>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24C6" w:rsidRDefault="00E124C6">
      <w:r>
        <w:separator/>
      </w:r>
    </w:p>
  </w:endnote>
  <w:endnote w:type="continuationSeparator" w:id="0">
    <w:p w:rsidR="00E124C6" w:rsidRDefault="00E124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 New Roman Bold">
    <w:altName w:val="Times New Roman"/>
    <w:panose1 w:val="02020803070505020304"/>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21FD" w:rsidRDefault="004F21FD" w:rsidP="001B30A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20A0E">
      <w:rPr>
        <w:rStyle w:val="PageNumber"/>
        <w:noProof/>
      </w:rPr>
      <w:t>9</w:t>
    </w:r>
    <w:r>
      <w:rPr>
        <w:rStyle w:val="PageNumber"/>
      </w:rPr>
      <w:fldChar w:fldCharType="end"/>
    </w:r>
  </w:p>
  <w:p w:rsidR="004F21FD" w:rsidRDefault="004F21FD" w:rsidP="00C81150">
    <w:pPr>
      <w:pStyle w:val="Footer"/>
      <w:pBdr>
        <w:top w:val="single" w:sz="4" w:space="1"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24C6" w:rsidRDefault="00E124C6">
      <w:r>
        <w:separator/>
      </w:r>
    </w:p>
  </w:footnote>
  <w:footnote w:type="continuationSeparator" w:id="0">
    <w:p w:rsidR="00E124C6" w:rsidRDefault="00E124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64AD" w:rsidRDefault="00BA64AD" w:rsidP="00BA64AD">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bookmarkStart w:id="45" w:name="Business_name"/>
    <w:r>
      <w:t>Poznámky Úč POD 3-01</w:t>
    </w:r>
    <w:r>
      <w:tab/>
      <w:t xml:space="preserve">IČO: </w:t>
    </w:r>
    <w:r w:rsidRPr="00BA64AD">
      <w:t>44803443</w:t>
    </w:r>
    <w:r>
      <w:tab/>
      <w:t xml:space="preserve">DIČ: </w:t>
    </w:r>
    <w:r w:rsidRPr="00BA64AD">
      <w:t>2022848542</w:t>
    </w:r>
  </w:p>
  <w:p w:rsidR="004F21FD" w:rsidRPr="0067003C" w:rsidRDefault="00BA64AD" w:rsidP="00C81150">
    <w:pPr>
      <w:pStyle w:val="Header"/>
    </w:pPr>
    <w:r>
      <w:t xml:space="preserve">Deloitte Security </w:t>
    </w:r>
    <w:bookmarkEnd w:id="45"/>
    <w:r w:rsidR="000E2CA7">
      <w:t>s.r.o.</w:t>
    </w:r>
  </w:p>
  <w:p w:rsidR="004F21FD" w:rsidRDefault="004F21FD" w:rsidP="00C81150">
    <w:pPr>
      <w:pStyle w:val="Header"/>
    </w:pPr>
    <w:r>
      <w:t>Poznámky individuálnej účtovnej závierky</w:t>
    </w:r>
  </w:p>
  <w:p w:rsidR="004F21FD" w:rsidRDefault="004F21FD" w:rsidP="00C81150">
    <w:pPr>
      <w:pStyle w:val="Header"/>
    </w:pPr>
    <w:r>
      <w:t>Zostavenej k 31. decembru 201</w:t>
    </w:r>
    <w:r w:rsidR="00BA64AD">
      <w:t>4</w:t>
    </w:r>
  </w:p>
  <w:p w:rsidR="004F21FD" w:rsidRDefault="004F21FD" w:rsidP="00C81150">
    <w:pPr>
      <w:pStyle w:val="Header"/>
      <w:pBdr>
        <w:bottom w:val="single" w:sz="4" w:space="1" w:color="auto"/>
      </w:pBdr>
    </w:pPr>
    <w:r>
      <w:t>(údaje v tabuľkách sú uvedené v celých eurách, ak nie je uvedené inak)</w:t>
    </w:r>
  </w:p>
  <w:p w:rsidR="004F21FD" w:rsidRDefault="004F21FD" w:rsidP="00C8115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0A30CE7"/>
    <w:multiLevelType w:val="hybridMultilevel"/>
    <w:tmpl w:val="649C3FE8"/>
    <w:lvl w:ilvl="0" w:tplc="031499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F107AB4"/>
    <w:multiLevelType w:val="multilevel"/>
    <w:tmpl w:val="B190736C"/>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2">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2"/>
  </w:num>
  <w:num w:numId="3">
    <w:abstractNumId w:val="16"/>
  </w:num>
  <w:num w:numId="4">
    <w:abstractNumId w:val="0"/>
  </w:num>
  <w:num w:numId="5">
    <w:abstractNumId w:val="7"/>
  </w:num>
  <w:num w:numId="6">
    <w:abstractNumId w:val="17"/>
  </w:num>
  <w:num w:numId="7">
    <w:abstractNumId w:val="3"/>
  </w:num>
  <w:num w:numId="8">
    <w:abstractNumId w:val="10"/>
  </w:num>
  <w:num w:numId="9">
    <w:abstractNumId w:val="13"/>
  </w:num>
  <w:num w:numId="10">
    <w:abstractNumId w:val="12"/>
  </w:num>
  <w:num w:numId="11">
    <w:abstractNumId w:val="1"/>
  </w:num>
  <w:num w:numId="12">
    <w:abstractNumId w:val="15"/>
  </w:num>
  <w:num w:numId="13">
    <w:abstractNumId w:val="5"/>
  </w:num>
  <w:num w:numId="14">
    <w:abstractNumId w:val="4"/>
  </w:num>
  <w:num w:numId="15">
    <w:abstractNumId w:val="14"/>
  </w:num>
  <w:num w:numId="16">
    <w:abstractNumId w:val="8"/>
  </w:num>
  <w:num w:numId="17">
    <w:abstractNumId w:val="9"/>
  </w:num>
  <w:num w:numId="18">
    <w:abstractNumId w:val="11"/>
  </w:num>
  <w:num w:numId="19">
    <w:abstractNumId w:val="1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52FD"/>
    <w:rsid w:val="00015718"/>
    <w:rsid w:val="00025E11"/>
    <w:rsid w:val="0003554D"/>
    <w:rsid w:val="0003701A"/>
    <w:rsid w:val="000413F6"/>
    <w:rsid w:val="00042DF7"/>
    <w:rsid w:val="00042E14"/>
    <w:rsid w:val="000505CF"/>
    <w:rsid w:val="00056876"/>
    <w:rsid w:val="00061A44"/>
    <w:rsid w:val="00066AED"/>
    <w:rsid w:val="000670A7"/>
    <w:rsid w:val="00072D4F"/>
    <w:rsid w:val="00086A37"/>
    <w:rsid w:val="000923F2"/>
    <w:rsid w:val="000A3022"/>
    <w:rsid w:val="000B638D"/>
    <w:rsid w:val="000C1342"/>
    <w:rsid w:val="000C3965"/>
    <w:rsid w:val="000C559C"/>
    <w:rsid w:val="000C6D1B"/>
    <w:rsid w:val="000D051D"/>
    <w:rsid w:val="000D4339"/>
    <w:rsid w:val="000D6844"/>
    <w:rsid w:val="000D7DAD"/>
    <w:rsid w:val="000E123F"/>
    <w:rsid w:val="000E1EAB"/>
    <w:rsid w:val="000E2CA7"/>
    <w:rsid w:val="000E4315"/>
    <w:rsid w:val="000F2546"/>
    <w:rsid w:val="000F3C33"/>
    <w:rsid w:val="000F3D4D"/>
    <w:rsid w:val="000F63F1"/>
    <w:rsid w:val="00100B64"/>
    <w:rsid w:val="00101342"/>
    <w:rsid w:val="00111C30"/>
    <w:rsid w:val="00113235"/>
    <w:rsid w:val="001145C2"/>
    <w:rsid w:val="00121FD2"/>
    <w:rsid w:val="00123B6F"/>
    <w:rsid w:val="001240E4"/>
    <w:rsid w:val="0013020B"/>
    <w:rsid w:val="001343A4"/>
    <w:rsid w:val="001354FB"/>
    <w:rsid w:val="00140952"/>
    <w:rsid w:val="00142157"/>
    <w:rsid w:val="001440A4"/>
    <w:rsid w:val="00150CFF"/>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7794"/>
    <w:rsid w:val="0021323C"/>
    <w:rsid w:val="00214BAA"/>
    <w:rsid w:val="0021575F"/>
    <w:rsid w:val="0021576C"/>
    <w:rsid w:val="002162B9"/>
    <w:rsid w:val="00223A9A"/>
    <w:rsid w:val="00224555"/>
    <w:rsid w:val="00234DAD"/>
    <w:rsid w:val="00234DD8"/>
    <w:rsid w:val="0024441D"/>
    <w:rsid w:val="002543B4"/>
    <w:rsid w:val="002551CB"/>
    <w:rsid w:val="00256108"/>
    <w:rsid w:val="002643ED"/>
    <w:rsid w:val="002647F4"/>
    <w:rsid w:val="00264D66"/>
    <w:rsid w:val="00271FCD"/>
    <w:rsid w:val="002747FF"/>
    <w:rsid w:val="00276E90"/>
    <w:rsid w:val="00280586"/>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154A"/>
    <w:rsid w:val="0032199B"/>
    <w:rsid w:val="00321F75"/>
    <w:rsid w:val="00330565"/>
    <w:rsid w:val="00330AB2"/>
    <w:rsid w:val="00332B4B"/>
    <w:rsid w:val="003407DC"/>
    <w:rsid w:val="00354434"/>
    <w:rsid w:val="00354E22"/>
    <w:rsid w:val="00363B4A"/>
    <w:rsid w:val="00366100"/>
    <w:rsid w:val="003661CA"/>
    <w:rsid w:val="0037364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C032B"/>
    <w:rsid w:val="003C12E4"/>
    <w:rsid w:val="003C309E"/>
    <w:rsid w:val="003C60C9"/>
    <w:rsid w:val="003D0CC4"/>
    <w:rsid w:val="003D74FC"/>
    <w:rsid w:val="003D76C3"/>
    <w:rsid w:val="003E168C"/>
    <w:rsid w:val="003F0FCA"/>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7854"/>
    <w:rsid w:val="00491B66"/>
    <w:rsid w:val="004964F5"/>
    <w:rsid w:val="004A1F58"/>
    <w:rsid w:val="004A273B"/>
    <w:rsid w:val="004A40D5"/>
    <w:rsid w:val="004A4A5A"/>
    <w:rsid w:val="004A4D49"/>
    <w:rsid w:val="004B5701"/>
    <w:rsid w:val="004B7838"/>
    <w:rsid w:val="004C09F3"/>
    <w:rsid w:val="004C2171"/>
    <w:rsid w:val="004D02DC"/>
    <w:rsid w:val="004D3F16"/>
    <w:rsid w:val="004D4CB4"/>
    <w:rsid w:val="004E1ADB"/>
    <w:rsid w:val="004E40B8"/>
    <w:rsid w:val="004F21FD"/>
    <w:rsid w:val="004F4E7B"/>
    <w:rsid w:val="004F5290"/>
    <w:rsid w:val="005009EF"/>
    <w:rsid w:val="00502A51"/>
    <w:rsid w:val="00502FB9"/>
    <w:rsid w:val="00507587"/>
    <w:rsid w:val="00511BA5"/>
    <w:rsid w:val="00511DA2"/>
    <w:rsid w:val="00514ACD"/>
    <w:rsid w:val="00516FB6"/>
    <w:rsid w:val="00517F4D"/>
    <w:rsid w:val="00520F36"/>
    <w:rsid w:val="00530F08"/>
    <w:rsid w:val="0053243B"/>
    <w:rsid w:val="0054112A"/>
    <w:rsid w:val="00541E0A"/>
    <w:rsid w:val="00542472"/>
    <w:rsid w:val="00542B27"/>
    <w:rsid w:val="0055258C"/>
    <w:rsid w:val="005533C4"/>
    <w:rsid w:val="005601EC"/>
    <w:rsid w:val="00566707"/>
    <w:rsid w:val="005703C3"/>
    <w:rsid w:val="005747D1"/>
    <w:rsid w:val="00576D18"/>
    <w:rsid w:val="00577700"/>
    <w:rsid w:val="00583EE0"/>
    <w:rsid w:val="00584733"/>
    <w:rsid w:val="00584EA1"/>
    <w:rsid w:val="00584F0C"/>
    <w:rsid w:val="00585041"/>
    <w:rsid w:val="00590F0A"/>
    <w:rsid w:val="00594311"/>
    <w:rsid w:val="0059698B"/>
    <w:rsid w:val="00596D07"/>
    <w:rsid w:val="005A27E3"/>
    <w:rsid w:val="005A5BEE"/>
    <w:rsid w:val="005B2929"/>
    <w:rsid w:val="005B36DD"/>
    <w:rsid w:val="005B4A69"/>
    <w:rsid w:val="005B5695"/>
    <w:rsid w:val="005B57EA"/>
    <w:rsid w:val="005B6728"/>
    <w:rsid w:val="005C21A4"/>
    <w:rsid w:val="005C501F"/>
    <w:rsid w:val="005D447B"/>
    <w:rsid w:val="005D55FF"/>
    <w:rsid w:val="005E121C"/>
    <w:rsid w:val="005E41B9"/>
    <w:rsid w:val="005F07B4"/>
    <w:rsid w:val="005F1651"/>
    <w:rsid w:val="005F2E78"/>
    <w:rsid w:val="00603BE4"/>
    <w:rsid w:val="00607D6C"/>
    <w:rsid w:val="00610D50"/>
    <w:rsid w:val="00612589"/>
    <w:rsid w:val="00614C42"/>
    <w:rsid w:val="006150D4"/>
    <w:rsid w:val="00615A60"/>
    <w:rsid w:val="006204AE"/>
    <w:rsid w:val="00621694"/>
    <w:rsid w:val="00626BD5"/>
    <w:rsid w:val="00626E98"/>
    <w:rsid w:val="00630717"/>
    <w:rsid w:val="006307C8"/>
    <w:rsid w:val="00634E56"/>
    <w:rsid w:val="00636A8D"/>
    <w:rsid w:val="006373DA"/>
    <w:rsid w:val="00640E59"/>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E9D"/>
    <w:rsid w:val="00720951"/>
    <w:rsid w:val="00725C93"/>
    <w:rsid w:val="0073254A"/>
    <w:rsid w:val="0073354C"/>
    <w:rsid w:val="00736B44"/>
    <w:rsid w:val="00741BCD"/>
    <w:rsid w:val="0074448F"/>
    <w:rsid w:val="00747C59"/>
    <w:rsid w:val="00750790"/>
    <w:rsid w:val="00751283"/>
    <w:rsid w:val="00751B5B"/>
    <w:rsid w:val="0075466C"/>
    <w:rsid w:val="00754810"/>
    <w:rsid w:val="007606BC"/>
    <w:rsid w:val="00760EE4"/>
    <w:rsid w:val="00762454"/>
    <w:rsid w:val="00765A18"/>
    <w:rsid w:val="00767A6E"/>
    <w:rsid w:val="00771B59"/>
    <w:rsid w:val="007722F9"/>
    <w:rsid w:val="00772CCA"/>
    <w:rsid w:val="00774339"/>
    <w:rsid w:val="0077630B"/>
    <w:rsid w:val="007829D0"/>
    <w:rsid w:val="0078504A"/>
    <w:rsid w:val="00787F5D"/>
    <w:rsid w:val="00793B10"/>
    <w:rsid w:val="007978F7"/>
    <w:rsid w:val="007A1D05"/>
    <w:rsid w:val="007A1F27"/>
    <w:rsid w:val="007A3FCA"/>
    <w:rsid w:val="007A4E31"/>
    <w:rsid w:val="007B0036"/>
    <w:rsid w:val="007B357C"/>
    <w:rsid w:val="007C3562"/>
    <w:rsid w:val="007C439E"/>
    <w:rsid w:val="007C4C15"/>
    <w:rsid w:val="007C6D77"/>
    <w:rsid w:val="007C73DF"/>
    <w:rsid w:val="007D06E6"/>
    <w:rsid w:val="007D27F2"/>
    <w:rsid w:val="007D3F5B"/>
    <w:rsid w:val="007D506E"/>
    <w:rsid w:val="007D6303"/>
    <w:rsid w:val="007D6C8D"/>
    <w:rsid w:val="007D77C0"/>
    <w:rsid w:val="007E1978"/>
    <w:rsid w:val="007E619C"/>
    <w:rsid w:val="007F1711"/>
    <w:rsid w:val="007F2B64"/>
    <w:rsid w:val="007F6E27"/>
    <w:rsid w:val="007F7D0E"/>
    <w:rsid w:val="008000C6"/>
    <w:rsid w:val="00801D76"/>
    <w:rsid w:val="00802D05"/>
    <w:rsid w:val="0080344C"/>
    <w:rsid w:val="0081477F"/>
    <w:rsid w:val="008177C9"/>
    <w:rsid w:val="0081796B"/>
    <w:rsid w:val="00824C92"/>
    <w:rsid w:val="00831E06"/>
    <w:rsid w:val="00837CD1"/>
    <w:rsid w:val="00842042"/>
    <w:rsid w:val="00845108"/>
    <w:rsid w:val="00853C59"/>
    <w:rsid w:val="00853D7D"/>
    <w:rsid w:val="008561C1"/>
    <w:rsid w:val="00857755"/>
    <w:rsid w:val="00862276"/>
    <w:rsid w:val="00862487"/>
    <w:rsid w:val="008634D1"/>
    <w:rsid w:val="00864105"/>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A0E"/>
    <w:rsid w:val="00923489"/>
    <w:rsid w:val="00932E9E"/>
    <w:rsid w:val="00933086"/>
    <w:rsid w:val="00936F55"/>
    <w:rsid w:val="00941D7F"/>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F4036"/>
    <w:rsid w:val="009F6044"/>
    <w:rsid w:val="009F7FD4"/>
    <w:rsid w:val="00A04E0D"/>
    <w:rsid w:val="00A0722C"/>
    <w:rsid w:val="00A109AB"/>
    <w:rsid w:val="00A10FFF"/>
    <w:rsid w:val="00A113C2"/>
    <w:rsid w:val="00A12EDC"/>
    <w:rsid w:val="00A1305F"/>
    <w:rsid w:val="00A228D3"/>
    <w:rsid w:val="00A25A3F"/>
    <w:rsid w:val="00A313C2"/>
    <w:rsid w:val="00A32384"/>
    <w:rsid w:val="00A33809"/>
    <w:rsid w:val="00A33AF8"/>
    <w:rsid w:val="00A33FE8"/>
    <w:rsid w:val="00A35C6F"/>
    <w:rsid w:val="00A36CCE"/>
    <w:rsid w:val="00A372D1"/>
    <w:rsid w:val="00A37DB2"/>
    <w:rsid w:val="00A40BD1"/>
    <w:rsid w:val="00A45117"/>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76D6"/>
    <w:rsid w:val="00AC79A3"/>
    <w:rsid w:val="00AD2025"/>
    <w:rsid w:val="00AD2CE4"/>
    <w:rsid w:val="00AD4EB2"/>
    <w:rsid w:val="00AD4EC6"/>
    <w:rsid w:val="00AE0171"/>
    <w:rsid w:val="00AE66CD"/>
    <w:rsid w:val="00AE7683"/>
    <w:rsid w:val="00AF17E8"/>
    <w:rsid w:val="00B03F2A"/>
    <w:rsid w:val="00B068A1"/>
    <w:rsid w:val="00B0734A"/>
    <w:rsid w:val="00B07A2F"/>
    <w:rsid w:val="00B1271B"/>
    <w:rsid w:val="00B17212"/>
    <w:rsid w:val="00B22433"/>
    <w:rsid w:val="00B23E54"/>
    <w:rsid w:val="00B2482F"/>
    <w:rsid w:val="00B26F12"/>
    <w:rsid w:val="00B3242B"/>
    <w:rsid w:val="00B33F31"/>
    <w:rsid w:val="00B347AF"/>
    <w:rsid w:val="00B36520"/>
    <w:rsid w:val="00B40F3C"/>
    <w:rsid w:val="00B4459D"/>
    <w:rsid w:val="00B451A4"/>
    <w:rsid w:val="00B475A1"/>
    <w:rsid w:val="00B52CAC"/>
    <w:rsid w:val="00B53B39"/>
    <w:rsid w:val="00B53E59"/>
    <w:rsid w:val="00B54C9D"/>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3F19"/>
    <w:rsid w:val="00BA4FAE"/>
    <w:rsid w:val="00BA64AD"/>
    <w:rsid w:val="00BA7C82"/>
    <w:rsid w:val="00BA7CF0"/>
    <w:rsid w:val="00BB6317"/>
    <w:rsid w:val="00BC235F"/>
    <w:rsid w:val="00BC279C"/>
    <w:rsid w:val="00BC4495"/>
    <w:rsid w:val="00BC6197"/>
    <w:rsid w:val="00BD0DDB"/>
    <w:rsid w:val="00BD2A15"/>
    <w:rsid w:val="00BE09FD"/>
    <w:rsid w:val="00BE6F6C"/>
    <w:rsid w:val="00BF0B0D"/>
    <w:rsid w:val="00BF1666"/>
    <w:rsid w:val="00BF238A"/>
    <w:rsid w:val="00BF2474"/>
    <w:rsid w:val="00C003E1"/>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57F9"/>
    <w:rsid w:val="00C9186D"/>
    <w:rsid w:val="00C9225A"/>
    <w:rsid w:val="00C931C5"/>
    <w:rsid w:val="00C96ACD"/>
    <w:rsid w:val="00CA36AE"/>
    <w:rsid w:val="00CA6376"/>
    <w:rsid w:val="00CB1400"/>
    <w:rsid w:val="00CB407B"/>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6902"/>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1407"/>
    <w:rsid w:val="00D3184D"/>
    <w:rsid w:val="00D3502A"/>
    <w:rsid w:val="00D473B3"/>
    <w:rsid w:val="00D50748"/>
    <w:rsid w:val="00D52BC7"/>
    <w:rsid w:val="00D52EBB"/>
    <w:rsid w:val="00D55A35"/>
    <w:rsid w:val="00D5663A"/>
    <w:rsid w:val="00D56AC4"/>
    <w:rsid w:val="00D56BE5"/>
    <w:rsid w:val="00D60195"/>
    <w:rsid w:val="00D6067B"/>
    <w:rsid w:val="00D61E51"/>
    <w:rsid w:val="00D636A0"/>
    <w:rsid w:val="00D636E6"/>
    <w:rsid w:val="00D64CF3"/>
    <w:rsid w:val="00D650AD"/>
    <w:rsid w:val="00D71A36"/>
    <w:rsid w:val="00D7273D"/>
    <w:rsid w:val="00D728CA"/>
    <w:rsid w:val="00D7744D"/>
    <w:rsid w:val="00D80980"/>
    <w:rsid w:val="00D85570"/>
    <w:rsid w:val="00D86E50"/>
    <w:rsid w:val="00D87F4B"/>
    <w:rsid w:val="00D92750"/>
    <w:rsid w:val="00D9771A"/>
    <w:rsid w:val="00DA178A"/>
    <w:rsid w:val="00DA1C62"/>
    <w:rsid w:val="00DA1DC1"/>
    <w:rsid w:val="00DA25D7"/>
    <w:rsid w:val="00DA7B78"/>
    <w:rsid w:val="00DB07AE"/>
    <w:rsid w:val="00DB09BD"/>
    <w:rsid w:val="00DB2CCC"/>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28E"/>
    <w:rsid w:val="00DF3A12"/>
    <w:rsid w:val="00E039FD"/>
    <w:rsid w:val="00E11848"/>
    <w:rsid w:val="00E124C6"/>
    <w:rsid w:val="00E127D2"/>
    <w:rsid w:val="00E17966"/>
    <w:rsid w:val="00E20BD8"/>
    <w:rsid w:val="00E23991"/>
    <w:rsid w:val="00E239D6"/>
    <w:rsid w:val="00E26668"/>
    <w:rsid w:val="00E26A6C"/>
    <w:rsid w:val="00E301B7"/>
    <w:rsid w:val="00E3502B"/>
    <w:rsid w:val="00E40DFC"/>
    <w:rsid w:val="00E41CDD"/>
    <w:rsid w:val="00E428E0"/>
    <w:rsid w:val="00E4714A"/>
    <w:rsid w:val="00E51641"/>
    <w:rsid w:val="00E52727"/>
    <w:rsid w:val="00E60EEA"/>
    <w:rsid w:val="00E650B1"/>
    <w:rsid w:val="00E65E15"/>
    <w:rsid w:val="00E662BA"/>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F99"/>
    <w:rsid w:val="00EF395A"/>
    <w:rsid w:val="00EF4646"/>
    <w:rsid w:val="00EF58B3"/>
    <w:rsid w:val="00F01A8D"/>
    <w:rsid w:val="00F03CF6"/>
    <w:rsid w:val="00F05C9B"/>
    <w:rsid w:val="00F07EBB"/>
    <w:rsid w:val="00F15EDB"/>
    <w:rsid w:val="00F15FC0"/>
    <w:rsid w:val="00F20FAF"/>
    <w:rsid w:val="00F21631"/>
    <w:rsid w:val="00F228D0"/>
    <w:rsid w:val="00F2393E"/>
    <w:rsid w:val="00F23A47"/>
    <w:rsid w:val="00F246DF"/>
    <w:rsid w:val="00F33229"/>
    <w:rsid w:val="00F3588F"/>
    <w:rsid w:val="00F35AF5"/>
    <w:rsid w:val="00F42AEA"/>
    <w:rsid w:val="00F44D28"/>
    <w:rsid w:val="00F4557C"/>
    <w:rsid w:val="00F46EBA"/>
    <w:rsid w:val="00F47951"/>
    <w:rsid w:val="00F50A57"/>
    <w:rsid w:val="00F54E9A"/>
    <w:rsid w:val="00F67CDD"/>
    <w:rsid w:val="00F706DC"/>
    <w:rsid w:val="00F827BE"/>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B01DC"/>
    <w:rsid w:val="00FB19B5"/>
    <w:rsid w:val="00FB26B6"/>
    <w:rsid w:val="00FB77AB"/>
    <w:rsid w:val="00FC59AC"/>
    <w:rsid w:val="00FC5BA7"/>
    <w:rsid w:val="00FD1CE3"/>
    <w:rsid w:val="00FD4DFC"/>
    <w:rsid w:val="00FD573A"/>
    <w:rsid w:val="00FD610B"/>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3F19"/>
    <w:pPr>
      <w:jc w:val="both"/>
    </w:pPr>
    <w:rPr>
      <w:rFonts w:ascii="Verdana" w:hAnsi="Verdana"/>
      <w:sz w:val="17"/>
    </w:rPr>
  </w:style>
  <w:style w:type="paragraph" w:styleId="Heading1">
    <w:name w:val="heading 1"/>
    <w:basedOn w:val="Normal"/>
    <w:next w:val="Normal"/>
    <w:qFormat/>
    <w:rsid w:val="00BA3F19"/>
    <w:pPr>
      <w:keepNext/>
      <w:numPr>
        <w:numId w:val="18"/>
      </w:numPr>
      <w:outlineLvl w:val="0"/>
    </w:pPr>
    <w:rPr>
      <w:rFonts w:cs="Arial"/>
      <w:b/>
      <w:bCs/>
      <w:caps/>
      <w:kern w:val="32"/>
      <w:sz w:val="18"/>
      <w:szCs w:val="32"/>
      <w:u w:val="single"/>
    </w:rPr>
  </w:style>
  <w:style w:type="paragraph" w:styleId="Heading2">
    <w:name w:val="heading 2"/>
    <w:basedOn w:val="Normal"/>
    <w:next w:val="Normal"/>
    <w:qFormat/>
    <w:rsid w:val="00BA3F19"/>
    <w:pPr>
      <w:keepNext/>
      <w:numPr>
        <w:ilvl w:val="1"/>
        <w:numId w:val="18"/>
      </w:numPr>
      <w:outlineLvl w:val="1"/>
    </w:pPr>
    <w:rPr>
      <w:rFonts w:cs="Arial"/>
      <w:b/>
      <w:bCs/>
      <w:iCs/>
      <w:szCs w:val="28"/>
    </w:rPr>
  </w:style>
  <w:style w:type="paragraph" w:styleId="Heading3">
    <w:name w:val="heading 3"/>
    <w:basedOn w:val="Normal"/>
    <w:next w:val="Normal"/>
    <w:qFormat/>
    <w:rsid w:val="00BA3F19"/>
    <w:pPr>
      <w:keepNext/>
      <w:numPr>
        <w:ilvl w:val="2"/>
        <w:numId w:val="18"/>
      </w:numPr>
      <w:outlineLvl w:val="2"/>
    </w:pPr>
    <w:rPr>
      <w:rFonts w:cs="Arial"/>
      <w:bCs/>
      <w:szCs w:val="26"/>
      <w:u w:val="single"/>
    </w:rPr>
  </w:style>
  <w:style w:type="paragraph" w:styleId="Heading4">
    <w:name w:val="heading 4"/>
    <w:basedOn w:val="Normal"/>
    <w:next w:val="Normal"/>
    <w:qFormat/>
    <w:rsid w:val="00BA3F19"/>
    <w:pPr>
      <w:keepNext/>
      <w:numPr>
        <w:ilvl w:val="3"/>
        <w:numId w:val="18"/>
      </w:numPr>
      <w:outlineLvl w:val="3"/>
    </w:pPr>
    <w:rPr>
      <w:bCs/>
      <w:i/>
      <w:szCs w:val="28"/>
    </w:rPr>
  </w:style>
  <w:style w:type="paragraph" w:styleId="Heading5">
    <w:name w:val="heading 5"/>
    <w:basedOn w:val="Normal"/>
    <w:next w:val="Normal"/>
    <w:qFormat/>
    <w:rsid w:val="00BA3F19"/>
    <w:pPr>
      <w:numPr>
        <w:ilvl w:val="4"/>
        <w:numId w:val="18"/>
      </w:numPr>
      <w:spacing w:before="240" w:after="60"/>
      <w:outlineLvl w:val="4"/>
    </w:pPr>
    <w:rPr>
      <w:b/>
      <w:bCs/>
      <w:i/>
      <w:iCs/>
      <w:szCs w:val="26"/>
    </w:rPr>
  </w:style>
  <w:style w:type="paragraph" w:styleId="Heading6">
    <w:name w:val="heading 6"/>
    <w:basedOn w:val="Normal"/>
    <w:next w:val="Normal"/>
    <w:qFormat/>
    <w:rsid w:val="00BA3F19"/>
    <w:pPr>
      <w:numPr>
        <w:ilvl w:val="5"/>
        <w:numId w:val="18"/>
      </w:numPr>
      <w:spacing w:before="240" w:after="60"/>
      <w:outlineLvl w:val="5"/>
    </w:pPr>
    <w:rPr>
      <w:b/>
      <w:bCs/>
      <w:szCs w:val="22"/>
    </w:rPr>
  </w:style>
  <w:style w:type="paragraph" w:styleId="Heading7">
    <w:name w:val="heading 7"/>
    <w:basedOn w:val="Normal"/>
    <w:next w:val="Normal"/>
    <w:qFormat/>
    <w:rsid w:val="00BA3F19"/>
    <w:pPr>
      <w:numPr>
        <w:ilvl w:val="6"/>
        <w:numId w:val="18"/>
      </w:numPr>
      <w:spacing w:before="240" w:after="60"/>
      <w:outlineLvl w:val="6"/>
    </w:pPr>
    <w:rPr>
      <w:szCs w:val="24"/>
    </w:rPr>
  </w:style>
  <w:style w:type="paragraph" w:styleId="Heading8">
    <w:name w:val="heading 8"/>
    <w:basedOn w:val="Normal"/>
    <w:next w:val="Normal"/>
    <w:qFormat/>
    <w:rsid w:val="00BA3F19"/>
    <w:pPr>
      <w:numPr>
        <w:ilvl w:val="7"/>
        <w:numId w:val="18"/>
      </w:numPr>
      <w:spacing w:before="240" w:after="60"/>
      <w:outlineLvl w:val="7"/>
    </w:pPr>
    <w:rPr>
      <w:i/>
      <w:iCs/>
      <w:szCs w:val="24"/>
    </w:rPr>
  </w:style>
  <w:style w:type="paragraph" w:styleId="Heading9">
    <w:name w:val="heading 9"/>
    <w:basedOn w:val="Normal"/>
    <w:next w:val="Normal"/>
    <w:qFormat/>
    <w:rsid w:val="00BA3F19"/>
    <w:pPr>
      <w:numPr>
        <w:ilvl w:val="8"/>
        <w:numId w:val="18"/>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BA64AD"/>
    <w:rPr>
      <w:rFonts w:ascii="Verdana" w:hAnsi="Verdana"/>
      <w:b/>
      <w:sz w:val="17"/>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3F19"/>
    <w:pPr>
      <w:jc w:val="both"/>
    </w:pPr>
    <w:rPr>
      <w:rFonts w:ascii="Verdana" w:hAnsi="Verdana"/>
      <w:sz w:val="17"/>
    </w:rPr>
  </w:style>
  <w:style w:type="paragraph" w:styleId="Heading1">
    <w:name w:val="heading 1"/>
    <w:basedOn w:val="Normal"/>
    <w:next w:val="Normal"/>
    <w:qFormat/>
    <w:rsid w:val="00BA3F19"/>
    <w:pPr>
      <w:keepNext/>
      <w:numPr>
        <w:numId w:val="18"/>
      </w:numPr>
      <w:outlineLvl w:val="0"/>
    </w:pPr>
    <w:rPr>
      <w:rFonts w:cs="Arial"/>
      <w:b/>
      <w:bCs/>
      <w:caps/>
      <w:kern w:val="32"/>
      <w:sz w:val="18"/>
      <w:szCs w:val="32"/>
      <w:u w:val="single"/>
    </w:rPr>
  </w:style>
  <w:style w:type="paragraph" w:styleId="Heading2">
    <w:name w:val="heading 2"/>
    <w:basedOn w:val="Normal"/>
    <w:next w:val="Normal"/>
    <w:qFormat/>
    <w:rsid w:val="00BA3F19"/>
    <w:pPr>
      <w:keepNext/>
      <w:numPr>
        <w:ilvl w:val="1"/>
        <w:numId w:val="18"/>
      </w:numPr>
      <w:outlineLvl w:val="1"/>
    </w:pPr>
    <w:rPr>
      <w:rFonts w:cs="Arial"/>
      <w:b/>
      <w:bCs/>
      <w:iCs/>
      <w:szCs w:val="28"/>
    </w:rPr>
  </w:style>
  <w:style w:type="paragraph" w:styleId="Heading3">
    <w:name w:val="heading 3"/>
    <w:basedOn w:val="Normal"/>
    <w:next w:val="Normal"/>
    <w:qFormat/>
    <w:rsid w:val="00BA3F19"/>
    <w:pPr>
      <w:keepNext/>
      <w:numPr>
        <w:ilvl w:val="2"/>
        <w:numId w:val="18"/>
      </w:numPr>
      <w:outlineLvl w:val="2"/>
    </w:pPr>
    <w:rPr>
      <w:rFonts w:cs="Arial"/>
      <w:bCs/>
      <w:szCs w:val="26"/>
      <w:u w:val="single"/>
    </w:rPr>
  </w:style>
  <w:style w:type="paragraph" w:styleId="Heading4">
    <w:name w:val="heading 4"/>
    <w:basedOn w:val="Normal"/>
    <w:next w:val="Normal"/>
    <w:qFormat/>
    <w:rsid w:val="00BA3F19"/>
    <w:pPr>
      <w:keepNext/>
      <w:numPr>
        <w:ilvl w:val="3"/>
        <w:numId w:val="18"/>
      </w:numPr>
      <w:outlineLvl w:val="3"/>
    </w:pPr>
    <w:rPr>
      <w:bCs/>
      <w:i/>
      <w:szCs w:val="28"/>
    </w:rPr>
  </w:style>
  <w:style w:type="paragraph" w:styleId="Heading5">
    <w:name w:val="heading 5"/>
    <w:basedOn w:val="Normal"/>
    <w:next w:val="Normal"/>
    <w:qFormat/>
    <w:rsid w:val="00BA3F19"/>
    <w:pPr>
      <w:numPr>
        <w:ilvl w:val="4"/>
        <w:numId w:val="18"/>
      </w:numPr>
      <w:spacing w:before="240" w:after="60"/>
      <w:outlineLvl w:val="4"/>
    </w:pPr>
    <w:rPr>
      <w:b/>
      <w:bCs/>
      <w:i/>
      <w:iCs/>
      <w:szCs w:val="26"/>
    </w:rPr>
  </w:style>
  <w:style w:type="paragraph" w:styleId="Heading6">
    <w:name w:val="heading 6"/>
    <w:basedOn w:val="Normal"/>
    <w:next w:val="Normal"/>
    <w:qFormat/>
    <w:rsid w:val="00BA3F19"/>
    <w:pPr>
      <w:numPr>
        <w:ilvl w:val="5"/>
        <w:numId w:val="18"/>
      </w:numPr>
      <w:spacing w:before="240" w:after="60"/>
      <w:outlineLvl w:val="5"/>
    </w:pPr>
    <w:rPr>
      <w:b/>
      <w:bCs/>
      <w:szCs w:val="22"/>
    </w:rPr>
  </w:style>
  <w:style w:type="paragraph" w:styleId="Heading7">
    <w:name w:val="heading 7"/>
    <w:basedOn w:val="Normal"/>
    <w:next w:val="Normal"/>
    <w:qFormat/>
    <w:rsid w:val="00BA3F19"/>
    <w:pPr>
      <w:numPr>
        <w:ilvl w:val="6"/>
        <w:numId w:val="18"/>
      </w:numPr>
      <w:spacing w:before="240" w:after="60"/>
      <w:outlineLvl w:val="6"/>
    </w:pPr>
    <w:rPr>
      <w:szCs w:val="24"/>
    </w:rPr>
  </w:style>
  <w:style w:type="paragraph" w:styleId="Heading8">
    <w:name w:val="heading 8"/>
    <w:basedOn w:val="Normal"/>
    <w:next w:val="Normal"/>
    <w:qFormat/>
    <w:rsid w:val="00BA3F19"/>
    <w:pPr>
      <w:numPr>
        <w:ilvl w:val="7"/>
        <w:numId w:val="18"/>
      </w:numPr>
      <w:spacing w:before="240" w:after="60"/>
      <w:outlineLvl w:val="7"/>
    </w:pPr>
    <w:rPr>
      <w:i/>
      <w:iCs/>
      <w:szCs w:val="24"/>
    </w:rPr>
  </w:style>
  <w:style w:type="paragraph" w:styleId="Heading9">
    <w:name w:val="heading 9"/>
    <w:basedOn w:val="Normal"/>
    <w:next w:val="Normal"/>
    <w:qFormat/>
    <w:rsid w:val="00BA3F19"/>
    <w:pPr>
      <w:numPr>
        <w:ilvl w:val="8"/>
        <w:numId w:val="18"/>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BA64AD"/>
    <w:rPr>
      <w:rFonts w:ascii="Verdana" w:hAnsi="Verdana"/>
      <w:b/>
      <w:sz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3940891">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39598387">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68505217">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575550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9392010">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2447737">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483930">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6445662">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582264">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7610737">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1609801">
      <w:bodyDiv w:val="1"/>
      <w:marLeft w:val="0"/>
      <w:marRight w:val="0"/>
      <w:marTop w:val="0"/>
      <w:marBottom w:val="0"/>
      <w:divBdr>
        <w:top w:val="none" w:sz="0" w:space="0" w:color="auto"/>
        <w:left w:val="none" w:sz="0" w:space="0" w:color="auto"/>
        <w:bottom w:val="none" w:sz="0" w:space="0" w:color="auto"/>
        <w:right w:val="none" w:sz="0" w:space="0" w:color="auto"/>
      </w:divBdr>
    </w:div>
    <w:div w:id="351615668">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0250786">
      <w:bodyDiv w:val="1"/>
      <w:marLeft w:val="0"/>
      <w:marRight w:val="0"/>
      <w:marTop w:val="0"/>
      <w:marBottom w:val="0"/>
      <w:divBdr>
        <w:top w:val="none" w:sz="0" w:space="0" w:color="auto"/>
        <w:left w:val="none" w:sz="0" w:space="0" w:color="auto"/>
        <w:bottom w:val="none" w:sz="0" w:space="0" w:color="auto"/>
        <w:right w:val="none" w:sz="0" w:space="0" w:color="auto"/>
      </w:divBdr>
    </w:div>
    <w:div w:id="402223241">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49785080">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49948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197653">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349215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0584046">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1089251">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48171028">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7348059">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746013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0133360">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08988888">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0641821">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0592202">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17645873">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737542">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2402701">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85943864">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29196547">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39291625">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5279949">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5087319">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0782602">
      <w:bodyDiv w:val="1"/>
      <w:marLeft w:val="0"/>
      <w:marRight w:val="0"/>
      <w:marTop w:val="0"/>
      <w:marBottom w:val="0"/>
      <w:divBdr>
        <w:top w:val="none" w:sz="0" w:space="0" w:color="auto"/>
        <w:left w:val="none" w:sz="0" w:space="0" w:color="auto"/>
        <w:bottom w:val="none" w:sz="0" w:space="0" w:color="auto"/>
        <w:right w:val="none" w:sz="0" w:space="0" w:color="auto"/>
      </w:divBdr>
    </w:div>
    <w:div w:id="1042249780">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0328476">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1657538">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340562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2500382">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050558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7100813">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1495117">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0732670">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3812958">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352461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7882430">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109050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350556">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1741889">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8337936">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7874766">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6953985">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4935174">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39664676">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58818523">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318889">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4232480">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7529829">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1630760">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1719813">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4813536">
      <w:bodyDiv w:val="1"/>
      <w:marLeft w:val="0"/>
      <w:marRight w:val="0"/>
      <w:marTop w:val="0"/>
      <w:marBottom w:val="0"/>
      <w:divBdr>
        <w:top w:val="none" w:sz="0" w:space="0" w:color="auto"/>
        <w:left w:val="none" w:sz="0" w:space="0" w:color="auto"/>
        <w:bottom w:val="none" w:sz="0" w:space="0" w:color="auto"/>
        <w:right w:val="none" w:sz="0" w:space="0" w:color="auto"/>
      </w:divBdr>
    </w:div>
    <w:div w:id="2004816604">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3779432">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5500174">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2608050">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4496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0B39EB-2ECA-4E07-B197-4F21CFF9C710}">
  <ds:schemaRefs>
    <ds:schemaRef ds:uri="http://schemas.openxmlformats.org/officeDocument/2006/bibliography"/>
  </ds:schemaRefs>
</ds:datastoreItem>
</file>

<file path=customXml/itemProps2.xml><?xml version="1.0" encoding="utf-8"?>
<ds:datastoreItem xmlns:ds="http://schemas.openxmlformats.org/officeDocument/2006/customXml" ds:itemID="{C731B09A-75C5-47CA-B92D-7F9ECD844B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10</Pages>
  <Words>3328</Words>
  <Characters>17808</Characters>
  <Application>Microsoft Office Word</Application>
  <DocSecurity>0</DocSecurity>
  <Lines>148</Lines>
  <Paragraphs>42</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21094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Erika Galova</cp:lastModifiedBy>
  <cp:revision>12</cp:revision>
  <cp:lastPrinted>2013-12-12T09:54:00Z</cp:lastPrinted>
  <dcterms:created xsi:type="dcterms:W3CDTF">2014-03-26T14:50:00Z</dcterms:created>
  <dcterms:modified xsi:type="dcterms:W3CDTF">2015-03-27T07:41:00Z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